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8D7B596" w14:textId="28E3D1D2" w:rsidR="00397DFB" w:rsidRDefault="00397DFB">
      <w:bookmarkStart w:id="0" w:name="_GoBack"/>
      <w:bookmarkEnd w:id="0"/>
    </w:p>
    <w:p w14:paraId="46F53E74" w14:textId="1BA664B9" w:rsidR="00397DFB" w:rsidRDefault="00397DFB"/>
    <w:p w14:paraId="5972D55D" w14:textId="5EE6B743" w:rsidR="00397DFB" w:rsidRDefault="00397DFB"/>
    <w:p w14:paraId="54116C97" w14:textId="77777777" w:rsidR="00397DFB" w:rsidRDefault="00397DFB"/>
    <w:tbl>
      <w:tblPr>
        <w:tblStyle w:val="Tablaconcuadrcula"/>
        <w:tblW w:w="10060" w:type="dxa"/>
        <w:tblLook w:val="04A0" w:firstRow="1" w:lastRow="0" w:firstColumn="1" w:lastColumn="0" w:noHBand="0" w:noVBand="1"/>
      </w:tblPr>
      <w:tblGrid>
        <w:gridCol w:w="2830"/>
        <w:gridCol w:w="7230"/>
      </w:tblGrid>
      <w:tr w:rsidR="00693195" w:rsidRPr="0006315B" w14:paraId="57CF847A" w14:textId="77777777" w:rsidTr="00740130">
        <w:trPr>
          <w:trHeight w:val="1275"/>
        </w:trPr>
        <w:tc>
          <w:tcPr>
            <w:tcW w:w="2830" w:type="dxa"/>
          </w:tcPr>
          <w:p w14:paraId="76597442" w14:textId="3DC18C3A" w:rsidR="00693195" w:rsidRPr="0006315B" w:rsidRDefault="00693195" w:rsidP="00740130">
            <w:pPr>
              <w:ind w:left="2124" w:hanging="2124"/>
              <w:contextualSpacing/>
              <w:rPr>
                <w:rFonts w:ascii="Times New Roman" w:eastAsia="Times New Roman" w:hAnsi="Times New Roman" w:cs="Times New Roman"/>
                <w:sz w:val="24"/>
                <w:szCs w:val="24"/>
              </w:rPr>
            </w:pPr>
            <w:r w:rsidRPr="0006315B">
              <w:rPr>
                <w:rFonts w:ascii="Times New Roman" w:hAnsi="Times New Roman" w:cs="Times New Roman"/>
                <w:noProof/>
                <w:sz w:val="24"/>
                <w:szCs w:val="24"/>
                <w:lang w:eastAsia="es-CO"/>
              </w:rPr>
              <w:drawing>
                <wp:anchor distT="0" distB="0" distL="114300" distR="114300" simplePos="0" relativeHeight="251658240" behindDoc="1" locked="0" layoutInCell="1" allowOverlap="1" wp14:anchorId="7243F6D0" wp14:editId="34607D41">
                  <wp:simplePos x="0" y="0"/>
                  <wp:positionH relativeFrom="column">
                    <wp:posOffset>233045</wp:posOffset>
                  </wp:positionH>
                  <wp:positionV relativeFrom="paragraph">
                    <wp:posOffset>69850</wp:posOffset>
                  </wp:positionV>
                  <wp:extent cx="1171575" cy="599440"/>
                  <wp:effectExtent l="0" t="0" r="9525" b="0"/>
                  <wp:wrapThrough wrapText="bothSides">
                    <wp:wrapPolygon edited="0">
                      <wp:start x="19317" y="0"/>
                      <wp:lineTo x="17912" y="686"/>
                      <wp:lineTo x="0" y="10297"/>
                      <wp:lineTo x="0" y="18534"/>
                      <wp:lineTo x="19317" y="20593"/>
                      <wp:lineTo x="21424" y="20593"/>
                      <wp:lineTo x="21073" y="0"/>
                      <wp:lineTo x="19317" y="0"/>
                    </wp:wrapPolygon>
                  </wp:wrapThrough>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bogota.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71575" cy="599440"/>
                          </a:xfrm>
                          <a:prstGeom prst="rect">
                            <a:avLst/>
                          </a:prstGeom>
                        </pic:spPr>
                      </pic:pic>
                    </a:graphicData>
                  </a:graphic>
                  <wp14:sizeRelH relativeFrom="margin">
                    <wp14:pctWidth>0</wp14:pctWidth>
                  </wp14:sizeRelH>
                  <wp14:sizeRelV relativeFrom="margin">
                    <wp14:pctHeight>0</wp14:pctHeight>
                  </wp14:sizeRelV>
                </wp:anchor>
              </w:drawing>
            </w:r>
            <w:r w:rsidR="00A22438">
              <w:rPr>
                <w:rFonts w:ascii="Times New Roman" w:eastAsia="Times New Roman" w:hAnsi="Times New Roman" w:cs="Times New Roman"/>
                <w:sz w:val="24"/>
                <w:szCs w:val="24"/>
              </w:rPr>
              <w:t xml:space="preserve"> </w:t>
            </w:r>
            <w:r w:rsidR="5AA13809" w:rsidRPr="5EFFA72E">
              <w:rPr>
                <w:rFonts w:ascii="Times New Roman" w:eastAsia="Times New Roman" w:hAnsi="Times New Roman" w:cs="Times New Roman"/>
                <w:sz w:val="24"/>
                <w:szCs w:val="24"/>
              </w:rPr>
              <w:t xml:space="preserve"> </w:t>
            </w:r>
          </w:p>
        </w:tc>
        <w:tc>
          <w:tcPr>
            <w:tcW w:w="7230" w:type="dxa"/>
            <w:vAlign w:val="center"/>
          </w:tcPr>
          <w:p w14:paraId="60CDF226" w14:textId="77777777" w:rsidR="00693195" w:rsidRPr="0006315B" w:rsidRDefault="1B5C357A" w:rsidP="008B29A2">
            <w:pPr>
              <w:contextualSpacing/>
              <w:jc w:val="center"/>
              <w:rPr>
                <w:rFonts w:ascii="Times New Roman" w:eastAsia="Times New Roman" w:hAnsi="Times New Roman" w:cs="Times New Roman"/>
                <w:b/>
                <w:bCs/>
                <w:sz w:val="24"/>
                <w:szCs w:val="24"/>
              </w:rPr>
            </w:pPr>
            <w:r w:rsidRPr="4BF3870E">
              <w:rPr>
                <w:rFonts w:ascii="Times New Roman" w:eastAsia="Times New Roman" w:hAnsi="Times New Roman" w:cs="Times New Roman"/>
                <w:b/>
                <w:bCs/>
                <w:sz w:val="24"/>
                <w:szCs w:val="24"/>
              </w:rPr>
              <w:t>FORMATO DE EXPOSICIÓN DE MOTIVOS</w:t>
            </w:r>
          </w:p>
        </w:tc>
      </w:tr>
    </w:tbl>
    <w:p w14:paraId="4F1A3302" w14:textId="77777777" w:rsidR="00147738" w:rsidRPr="0006315B" w:rsidRDefault="00147738" w:rsidP="008B29A2">
      <w:pPr>
        <w:spacing w:after="0" w:line="240" w:lineRule="auto"/>
        <w:contextualSpacing/>
        <w:rPr>
          <w:rFonts w:ascii="Times New Roman" w:eastAsia="Times New Roman" w:hAnsi="Times New Roman" w:cs="Times New Roman"/>
          <w:sz w:val="24"/>
          <w:szCs w:val="24"/>
        </w:rPr>
      </w:pPr>
    </w:p>
    <w:tbl>
      <w:tblPr>
        <w:tblStyle w:val="Tablaconcuadrcula"/>
        <w:tblW w:w="0" w:type="auto"/>
        <w:tblLook w:val="04A0" w:firstRow="1" w:lastRow="0" w:firstColumn="1" w:lastColumn="0" w:noHBand="0" w:noVBand="1"/>
      </w:tblPr>
      <w:tblGrid>
        <w:gridCol w:w="2972"/>
        <w:gridCol w:w="7098"/>
      </w:tblGrid>
      <w:tr w:rsidR="00693195" w:rsidRPr="0006315B" w14:paraId="688F5077" w14:textId="77777777" w:rsidTr="00B0680A">
        <w:tc>
          <w:tcPr>
            <w:tcW w:w="2972" w:type="dxa"/>
            <w:vAlign w:val="center"/>
          </w:tcPr>
          <w:p w14:paraId="3B23A2C7" w14:textId="77777777" w:rsidR="00693195" w:rsidRPr="0006315B" w:rsidRDefault="1B5C357A" w:rsidP="008B29A2">
            <w:pPr>
              <w:contextualSpacing/>
              <w:rPr>
                <w:rFonts w:ascii="Times New Roman" w:eastAsia="Times New Roman" w:hAnsi="Times New Roman" w:cs="Times New Roman"/>
                <w:b/>
                <w:bCs/>
                <w:sz w:val="24"/>
                <w:szCs w:val="24"/>
              </w:rPr>
            </w:pPr>
            <w:r w:rsidRPr="4BF3870E">
              <w:rPr>
                <w:rFonts w:ascii="Times New Roman" w:eastAsia="Times New Roman" w:hAnsi="Times New Roman" w:cs="Times New Roman"/>
                <w:b/>
                <w:bCs/>
                <w:sz w:val="24"/>
                <w:szCs w:val="24"/>
              </w:rPr>
              <w:t>Entidad reguladora</w:t>
            </w:r>
          </w:p>
        </w:tc>
        <w:tc>
          <w:tcPr>
            <w:tcW w:w="7098" w:type="dxa"/>
            <w:vAlign w:val="center"/>
          </w:tcPr>
          <w:p w14:paraId="612877F8" w14:textId="36085F8F" w:rsidR="00693195" w:rsidRPr="00922407" w:rsidRDefault="4FF1A2B8" w:rsidP="008B29A2">
            <w:pPr>
              <w:contextualSpacing/>
              <w:rPr>
                <w:rFonts w:ascii="Times New Roman" w:eastAsia="Times New Roman" w:hAnsi="Times New Roman" w:cs="Times New Roman"/>
                <w:color w:val="767171" w:themeColor="background2" w:themeShade="80"/>
                <w:sz w:val="24"/>
                <w:szCs w:val="24"/>
              </w:rPr>
            </w:pPr>
            <w:r w:rsidRPr="4BF3870E">
              <w:rPr>
                <w:rFonts w:ascii="Times New Roman" w:eastAsia="Times New Roman" w:hAnsi="Times New Roman" w:cs="Times New Roman"/>
                <w:sz w:val="24"/>
                <w:szCs w:val="24"/>
              </w:rPr>
              <w:t>Secretaría Distrital de Hacienda</w:t>
            </w:r>
          </w:p>
        </w:tc>
      </w:tr>
      <w:tr w:rsidR="00693195" w:rsidRPr="0006315B" w14:paraId="60E27DB7" w14:textId="77777777" w:rsidTr="00B0680A">
        <w:tc>
          <w:tcPr>
            <w:tcW w:w="2972" w:type="dxa"/>
            <w:vAlign w:val="center"/>
          </w:tcPr>
          <w:p w14:paraId="5D0ECA3B" w14:textId="77777777" w:rsidR="00693195" w:rsidRPr="0006315B" w:rsidRDefault="1B5C357A" w:rsidP="008B29A2">
            <w:pPr>
              <w:contextualSpacing/>
              <w:rPr>
                <w:rFonts w:ascii="Times New Roman" w:eastAsia="Times New Roman" w:hAnsi="Times New Roman" w:cs="Times New Roman"/>
                <w:b/>
                <w:bCs/>
                <w:sz w:val="24"/>
                <w:szCs w:val="24"/>
              </w:rPr>
            </w:pPr>
            <w:r w:rsidRPr="4BF3870E">
              <w:rPr>
                <w:rFonts w:ascii="Times New Roman" w:eastAsia="Times New Roman" w:hAnsi="Times New Roman" w:cs="Times New Roman"/>
                <w:b/>
                <w:bCs/>
                <w:sz w:val="24"/>
                <w:szCs w:val="24"/>
              </w:rPr>
              <w:t>Fecha (dd/mm/aaaa)</w:t>
            </w:r>
          </w:p>
        </w:tc>
        <w:tc>
          <w:tcPr>
            <w:tcW w:w="7098" w:type="dxa"/>
            <w:vAlign w:val="center"/>
          </w:tcPr>
          <w:p w14:paraId="1B7133F2" w14:textId="6AC73255" w:rsidR="00693195" w:rsidRPr="002F4FC3" w:rsidRDefault="6FA8F02F" w:rsidP="008B29A2">
            <w:pPr>
              <w:contextualSpacing/>
              <w:rPr>
                <w:rFonts w:ascii="Times New Roman" w:eastAsia="Times New Roman" w:hAnsi="Times New Roman" w:cs="Times New Roman"/>
                <w:color w:val="000000" w:themeColor="text1"/>
                <w:sz w:val="24"/>
                <w:szCs w:val="24"/>
              </w:rPr>
            </w:pPr>
            <w:r w:rsidRPr="4CBDDAA5">
              <w:rPr>
                <w:rFonts w:ascii="Times New Roman" w:eastAsia="Times New Roman" w:hAnsi="Times New Roman" w:cs="Times New Roman"/>
                <w:color w:val="000000" w:themeColor="text1"/>
                <w:sz w:val="24"/>
                <w:szCs w:val="24"/>
              </w:rPr>
              <w:t>31</w:t>
            </w:r>
            <w:r w:rsidR="002F4FC3" w:rsidRPr="002F4FC3">
              <w:rPr>
                <w:rFonts w:ascii="Times New Roman" w:eastAsia="Times New Roman" w:hAnsi="Times New Roman" w:cs="Times New Roman"/>
                <w:color w:val="000000" w:themeColor="text1"/>
                <w:sz w:val="24"/>
                <w:szCs w:val="24"/>
              </w:rPr>
              <w:t>/07/2025</w:t>
            </w:r>
          </w:p>
        </w:tc>
      </w:tr>
      <w:tr w:rsidR="00693195" w:rsidRPr="0006315B" w14:paraId="6C1501BA" w14:textId="77777777" w:rsidTr="00B0680A">
        <w:tc>
          <w:tcPr>
            <w:tcW w:w="2972" w:type="dxa"/>
            <w:vAlign w:val="center"/>
          </w:tcPr>
          <w:p w14:paraId="6BFDB529" w14:textId="08574474" w:rsidR="00693195" w:rsidRPr="0006315B" w:rsidRDefault="1B5C357A" w:rsidP="008B29A2">
            <w:pPr>
              <w:contextualSpacing/>
              <w:rPr>
                <w:rFonts w:ascii="Times New Roman" w:eastAsia="Times New Roman" w:hAnsi="Times New Roman" w:cs="Times New Roman"/>
                <w:b/>
                <w:bCs/>
                <w:sz w:val="24"/>
                <w:szCs w:val="24"/>
              </w:rPr>
            </w:pPr>
            <w:r w:rsidRPr="4BF3870E">
              <w:rPr>
                <w:rFonts w:ascii="Times New Roman" w:eastAsia="Times New Roman" w:hAnsi="Times New Roman" w:cs="Times New Roman"/>
                <w:b/>
                <w:bCs/>
                <w:sz w:val="24"/>
                <w:szCs w:val="24"/>
              </w:rPr>
              <w:t xml:space="preserve">Proyecto de </w:t>
            </w:r>
            <w:r w:rsidR="4FF1A2B8" w:rsidRPr="4BF3870E">
              <w:rPr>
                <w:rFonts w:ascii="Times New Roman" w:eastAsia="Times New Roman" w:hAnsi="Times New Roman" w:cs="Times New Roman"/>
                <w:b/>
                <w:bCs/>
                <w:sz w:val="24"/>
                <w:szCs w:val="24"/>
              </w:rPr>
              <w:t>Acuerdo</w:t>
            </w:r>
            <w:r w:rsidR="00397DFB">
              <w:rPr>
                <w:rFonts w:ascii="Times New Roman" w:eastAsia="Times New Roman" w:hAnsi="Times New Roman" w:cs="Times New Roman"/>
                <w:b/>
                <w:bCs/>
                <w:sz w:val="24"/>
                <w:szCs w:val="24"/>
              </w:rPr>
              <w:t xml:space="preserve"> 767 de 2025</w:t>
            </w:r>
          </w:p>
        </w:tc>
        <w:tc>
          <w:tcPr>
            <w:tcW w:w="7098" w:type="dxa"/>
            <w:vAlign w:val="center"/>
          </w:tcPr>
          <w:p w14:paraId="7F1BE45F" w14:textId="56890718" w:rsidR="00693195" w:rsidRPr="0006315B" w:rsidRDefault="008F4F65" w:rsidP="008B29A2">
            <w:pPr>
              <w:contextualSpacing/>
              <w:jc w:val="both"/>
              <w:rPr>
                <w:rFonts w:ascii="Times New Roman" w:eastAsia="Times New Roman" w:hAnsi="Times New Roman" w:cs="Times New Roman"/>
                <w:i/>
                <w:iCs/>
                <w:color w:val="767171" w:themeColor="background2" w:themeShade="80"/>
                <w:sz w:val="24"/>
                <w:szCs w:val="24"/>
              </w:rPr>
            </w:pPr>
            <w:r w:rsidRPr="4BF3870E">
              <w:rPr>
                <w:rFonts w:ascii="Times New Roman" w:eastAsia="Times New Roman" w:hAnsi="Times New Roman" w:cs="Times New Roman"/>
                <w:i/>
                <w:iCs/>
                <w:sz w:val="24"/>
                <w:szCs w:val="24"/>
              </w:rPr>
              <w:t>“</w:t>
            </w:r>
            <w:r w:rsidR="00776A4C" w:rsidRPr="00776A4C">
              <w:rPr>
                <w:rFonts w:ascii="Times New Roman" w:eastAsia="Times New Roman" w:hAnsi="Times New Roman" w:cs="Times New Roman"/>
                <w:i/>
                <w:iCs/>
                <w:sz w:val="24"/>
                <w:szCs w:val="24"/>
              </w:rPr>
              <w:t>Por medio del cual se establecen incentivos tributarios para la competitividad, la inversión y la generación de empleo en Bogotá D.C., se optimiza el recaudo de los tributos distritales, se autoriza la compilación de la normativa tributaria distrital y se dictan otras disposiciones</w:t>
            </w:r>
            <w:r w:rsidRPr="4BF3870E">
              <w:rPr>
                <w:rFonts w:ascii="Times New Roman" w:eastAsia="Times New Roman" w:hAnsi="Times New Roman" w:cs="Times New Roman"/>
                <w:i/>
                <w:iCs/>
                <w:sz w:val="24"/>
                <w:szCs w:val="24"/>
              </w:rPr>
              <w:t>”</w:t>
            </w:r>
          </w:p>
        </w:tc>
      </w:tr>
    </w:tbl>
    <w:p w14:paraId="7CF02817" w14:textId="77777777" w:rsidR="00693195" w:rsidRPr="0006315B" w:rsidRDefault="00693195" w:rsidP="008B29A2">
      <w:pPr>
        <w:spacing w:after="0" w:line="240" w:lineRule="auto"/>
        <w:contextualSpacing/>
        <w:rPr>
          <w:rFonts w:ascii="Times New Roman" w:eastAsia="Times New Roman" w:hAnsi="Times New Roman" w:cs="Times New Roman"/>
          <w:sz w:val="24"/>
          <w:szCs w:val="24"/>
        </w:rPr>
      </w:pPr>
    </w:p>
    <w:tbl>
      <w:tblPr>
        <w:tblStyle w:val="Tablaconcuadrcula"/>
        <w:tblW w:w="10290" w:type="dxa"/>
        <w:tblLayout w:type="fixed"/>
        <w:tblLook w:val="04A0" w:firstRow="1" w:lastRow="0" w:firstColumn="1" w:lastColumn="0" w:noHBand="0" w:noVBand="1"/>
      </w:tblPr>
      <w:tblGrid>
        <w:gridCol w:w="10290"/>
      </w:tblGrid>
      <w:tr w:rsidR="003A7E0E" w:rsidRPr="00EA0322" w14:paraId="1D252876" w14:textId="77777777" w:rsidTr="00740130">
        <w:trPr>
          <w:trHeight w:val="300"/>
        </w:trPr>
        <w:tc>
          <w:tcPr>
            <w:tcW w:w="10290" w:type="dxa"/>
          </w:tcPr>
          <w:p w14:paraId="243EED5F" w14:textId="39D532C3" w:rsidR="003A7E0E" w:rsidRPr="00EA0322" w:rsidRDefault="003A7E0E" w:rsidP="008B29A2">
            <w:pPr>
              <w:contextualSpacing/>
              <w:jc w:val="center"/>
              <w:rPr>
                <w:rFonts w:ascii="Times New Roman" w:eastAsia="Times New Roman" w:hAnsi="Times New Roman" w:cs="Times New Roman"/>
                <w:b/>
                <w:bCs/>
                <w:sz w:val="24"/>
                <w:szCs w:val="24"/>
              </w:rPr>
            </w:pPr>
            <w:r w:rsidRPr="00EA0322">
              <w:rPr>
                <w:rFonts w:ascii="Times New Roman" w:eastAsia="Times New Roman" w:hAnsi="Times New Roman" w:cs="Times New Roman"/>
                <w:b/>
                <w:bCs/>
                <w:sz w:val="24"/>
                <w:szCs w:val="24"/>
              </w:rPr>
              <w:t>AN</w:t>
            </w:r>
            <w:r w:rsidR="0051447B" w:rsidRPr="00EA0322">
              <w:rPr>
                <w:rFonts w:ascii="Times New Roman" w:eastAsia="Times New Roman" w:hAnsi="Times New Roman" w:cs="Times New Roman"/>
                <w:b/>
                <w:bCs/>
                <w:sz w:val="24"/>
                <w:szCs w:val="24"/>
              </w:rPr>
              <w:t>Á</w:t>
            </w:r>
            <w:r w:rsidRPr="00EA0322">
              <w:rPr>
                <w:rFonts w:ascii="Times New Roman" w:eastAsia="Times New Roman" w:hAnsi="Times New Roman" w:cs="Times New Roman"/>
                <w:b/>
                <w:bCs/>
                <w:sz w:val="24"/>
                <w:szCs w:val="24"/>
              </w:rPr>
              <w:t>LISIS</w:t>
            </w:r>
            <w:r w:rsidR="00F70D76" w:rsidRPr="00EA0322">
              <w:rPr>
                <w:rFonts w:ascii="Times New Roman" w:eastAsia="Times New Roman" w:hAnsi="Times New Roman" w:cs="Times New Roman"/>
                <w:b/>
                <w:bCs/>
                <w:sz w:val="24"/>
                <w:szCs w:val="24"/>
              </w:rPr>
              <w:t xml:space="preserve"> T</w:t>
            </w:r>
            <w:r w:rsidR="00E0130E" w:rsidRPr="00EA0322">
              <w:rPr>
                <w:rFonts w:ascii="Times New Roman" w:eastAsia="Times New Roman" w:hAnsi="Times New Roman" w:cs="Times New Roman"/>
                <w:b/>
                <w:bCs/>
                <w:sz w:val="24"/>
                <w:szCs w:val="24"/>
              </w:rPr>
              <w:t>É</w:t>
            </w:r>
            <w:r w:rsidR="00F70D76" w:rsidRPr="00EA0322">
              <w:rPr>
                <w:rFonts w:ascii="Times New Roman" w:eastAsia="Times New Roman" w:hAnsi="Times New Roman" w:cs="Times New Roman"/>
                <w:b/>
                <w:bCs/>
                <w:sz w:val="24"/>
                <w:szCs w:val="24"/>
              </w:rPr>
              <w:t xml:space="preserve">CNICO Y DE CONVENIENCIA PARA LA EXPEDICIÓN DEL PROYECTO DE REGULACIÓN </w:t>
            </w:r>
          </w:p>
        </w:tc>
      </w:tr>
      <w:tr w:rsidR="003A7E0E" w:rsidRPr="00EA0322" w14:paraId="20D41E99" w14:textId="77777777" w:rsidTr="00740130">
        <w:tblPrEx>
          <w:tblCellMar>
            <w:left w:w="70" w:type="dxa"/>
            <w:right w:w="70" w:type="dxa"/>
          </w:tblCellMar>
        </w:tblPrEx>
        <w:trPr>
          <w:trHeight w:val="300"/>
        </w:trPr>
        <w:tc>
          <w:tcPr>
            <w:tcW w:w="10290" w:type="dxa"/>
          </w:tcPr>
          <w:p w14:paraId="0770A282" w14:textId="77777777" w:rsidR="00CC715B" w:rsidRPr="009D74A3" w:rsidRDefault="00CC715B">
            <w:pPr>
              <w:pStyle w:val="Prrafodelista"/>
              <w:numPr>
                <w:ilvl w:val="0"/>
                <w:numId w:val="6"/>
              </w:numPr>
              <w:rPr>
                <w:rFonts w:ascii="Times New Roman" w:hAnsi="Times New Roman" w:cs="Times New Roman"/>
                <w:b/>
                <w:bCs/>
                <w:sz w:val="24"/>
                <w:szCs w:val="24"/>
              </w:rPr>
            </w:pPr>
            <w:r w:rsidRPr="009D74A3">
              <w:rPr>
                <w:rFonts w:ascii="Times New Roman" w:hAnsi="Times New Roman" w:cs="Times New Roman"/>
                <w:b/>
                <w:bCs/>
                <w:sz w:val="24"/>
                <w:szCs w:val="24"/>
              </w:rPr>
              <w:t>Introducción</w:t>
            </w:r>
          </w:p>
          <w:p w14:paraId="07171332" w14:textId="77777777" w:rsidR="00CC715B" w:rsidRPr="009D74A3" w:rsidRDefault="00CC715B" w:rsidP="00CC715B">
            <w:pPr>
              <w:pStyle w:val="Prrafodelista"/>
              <w:rPr>
                <w:rFonts w:ascii="Times New Roman" w:hAnsi="Times New Roman" w:cs="Times New Roman"/>
                <w:sz w:val="24"/>
                <w:szCs w:val="24"/>
              </w:rPr>
            </w:pPr>
          </w:p>
          <w:p w14:paraId="1B4820F6" w14:textId="77777777" w:rsidR="00CC715B" w:rsidRPr="009D74A3" w:rsidRDefault="00CC715B" w:rsidP="00CC715B">
            <w:pPr>
              <w:contextualSpacing/>
              <w:jc w:val="both"/>
              <w:rPr>
                <w:rFonts w:ascii="Times New Roman" w:hAnsi="Times New Roman" w:cs="Times New Roman"/>
                <w:sz w:val="24"/>
                <w:szCs w:val="24"/>
              </w:rPr>
            </w:pPr>
            <w:r w:rsidRPr="009D74A3">
              <w:rPr>
                <w:rFonts w:ascii="Times New Roman" w:hAnsi="Times New Roman" w:cs="Times New Roman"/>
                <w:sz w:val="24"/>
                <w:szCs w:val="24"/>
              </w:rPr>
              <w:t>El Acuerdo 927 de 2024 que adoptó el Plan Distrital de Desarrollo (PDD) incluyó en el artículo 276 varias estrategias de financiación, entre las cuales se incluyó la “</w:t>
            </w:r>
            <w:r w:rsidRPr="009D74A3">
              <w:rPr>
                <w:rFonts w:ascii="Times New Roman" w:hAnsi="Times New Roman" w:cs="Times New Roman"/>
                <w:i/>
                <w:iCs/>
                <w:sz w:val="24"/>
                <w:szCs w:val="24"/>
              </w:rPr>
              <w:t>tributación como motor de desarrollo económico y social</w:t>
            </w:r>
            <w:r w:rsidRPr="009D74A3">
              <w:rPr>
                <w:rFonts w:ascii="Times New Roman" w:hAnsi="Times New Roman" w:cs="Times New Roman"/>
                <w:sz w:val="24"/>
                <w:szCs w:val="24"/>
              </w:rPr>
              <w:t>”, así como otros mecanismos que eventualmente requirieran aprobación por parte del Concejo de Bogotá D.C. Adicionalmente, en su artículo 230 designó a la Secretaría Distrital de Hacienda para “</w:t>
            </w:r>
            <w:r w:rsidRPr="009D74A3">
              <w:rPr>
                <w:rFonts w:ascii="Times New Roman" w:hAnsi="Times New Roman" w:cs="Times New Roman"/>
                <w:i/>
                <w:iCs/>
                <w:sz w:val="24"/>
                <w:szCs w:val="24"/>
              </w:rPr>
              <w:t>revisar los tributos vigentes en el Distrito Capital con el fin de presentar el Concejo de la ciudad una propuesta que permita optimizar el recaudo de la ciudad con criterios de progresividad y competitividad</w:t>
            </w:r>
            <w:r w:rsidRPr="009D74A3">
              <w:rPr>
                <w:rFonts w:ascii="Times New Roman" w:hAnsi="Times New Roman" w:cs="Times New Roman"/>
                <w:sz w:val="24"/>
                <w:szCs w:val="24"/>
              </w:rPr>
              <w:t>”.</w:t>
            </w:r>
          </w:p>
          <w:p w14:paraId="39252EE5" w14:textId="77777777" w:rsidR="00CC715B" w:rsidRPr="009D74A3" w:rsidRDefault="00CC715B" w:rsidP="00CC715B">
            <w:pPr>
              <w:contextualSpacing/>
              <w:jc w:val="both"/>
              <w:rPr>
                <w:rFonts w:ascii="Times New Roman" w:hAnsi="Times New Roman" w:cs="Times New Roman"/>
                <w:sz w:val="24"/>
                <w:szCs w:val="24"/>
              </w:rPr>
            </w:pPr>
          </w:p>
          <w:p w14:paraId="6284E380" w14:textId="77777777" w:rsidR="00CC715B" w:rsidRPr="009D74A3" w:rsidRDefault="00CC715B" w:rsidP="00CC715B">
            <w:pPr>
              <w:contextualSpacing/>
              <w:jc w:val="both"/>
              <w:rPr>
                <w:rFonts w:ascii="Times New Roman" w:hAnsi="Times New Roman" w:cs="Times New Roman"/>
                <w:spacing w:val="-2"/>
                <w:sz w:val="24"/>
                <w:szCs w:val="24"/>
              </w:rPr>
            </w:pPr>
            <w:r w:rsidRPr="009D74A3">
              <w:rPr>
                <w:rFonts w:ascii="Times New Roman" w:hAnsi="Times New Roman" w:cs="Times New Roman"/>
                <w:sz w:val="24"/>
                <w:szCs w:val="24"/>
              </w:rPr>
              <w:t>De manera paralela, el artículo 230 también permitió conformar una ‘Comisión de Expertos Tributarios’ con miras a “p</w:t>
            </w:r>
            <w:r w:rsidRPr="009D74A3">
              <w:rPr>
                <w:rFonts w:ascii="Times New Roman" w:hAnsi="Times New Roman" w:cs="Times New Roman"/>
                <w:i/>
                <w:iCs/>
                <w:sz w:val="24"/>
                <w:szCs w:val="24"/>
              </w:rPr>
              <w:t>resentar propuestas y escenarios para fortalecer el estudio de los tributos vigentes</w:t>
            </w:r>
            <w:r w:rsidRPr="009D74A3">
              <w:rPr>
                <w:rFonts w:ascii="Times New Roman" w:hAnsi="Times New Roman" w:cs="Times New Roman"/>
                <w:sz w:val="24"/>
                <w:szCs w:val="24"/>
              </w:rPr>
              <w:t xml:space="preserve">”. En este sentido, el presente Proyecto de Acuerdo responde al análisis, discusión, y socialización de la situación económica y tributaria de Bogotá de acuerdo con lo revisado por este grupo de expertos, lo que a su vez sirvió de fundamento para las propuestas que se plasman en esta exposición de motivos, las cuales </w:t>
            </w:r>
            <w:r w:rsidRPr="009D74A3">
              <w:rPr>
                <w:rFonts w:ascii="Times New Roman" w:hAnsi="Times New Roman" w:cs="Times New Roman"/>
                <w:spacing w:val="-2"/>
                <w:sz w:val="24"/>
                <w:szCs w:val="24"/>
              </w:rPr>
              <w:t>buscan contribuir para que la ciudad alcance su crecimiento económico potencial, con generación de empleo formal, apoyado por la mayor inversión y la optimización del sistema tributario.</w:t>
            </w:r>
          </w:p>
          <w:p w14:paraId="3B382CBC" w14:textId="77777777" w:rsidR="008236BD" w:rsidRPr="009D74A3" w:rsidRDefault="008236BD" w:rsidP="008B29A2">
            <w:pPr>
              <w:contextualSpacing/>
              <w:jc w:val="both"/>
              <w:rPr>
                <w:rFonts w:ascii="Times New Roman" w:hAnsi="Times New Roman" w:cs="Times New Roman"/>
                <w:spacing w:val="-2"/>
                <w:sz w:val="24"/>
                <w:szCs w:val="24"/>
              </w:rPr>
            </w:pPr>
          </w:p>
          <w:p w14:paraId="04243FF7" w14:textId="25DFA97B" w:rsidR="00CC715B" w:rsidRPr="009D74A3" w:rsidRDefault="00CC715B">
            <w:pPr>
              <w:pStyle w:val="Prrafodelista"/>
              <w:numPr>
                <w:ilvl w:val="0"/>
                <w:numId w:val="6"/>
              </w:numPr>
              <w:rPr>
                <w:rFonts w:ascii="Times New Roman" w:hAnsi="Times New Roman" w:cs="Times New Roman"/>
                <w:b/>
                <w:bCs/>
                <w:sz w:val="24"/>
                <w:szCs w:val="24"/>
              </w:rPr>
            </w:pPr>
            <w:bookmarkStart w:id="1" w:name="_Toc201047945"/>
            <w:r w:rsidRPr="009D74A3">
              <w:rPr>
                <w:rFonts w:ascii="Times New Roman" w:hAnsi="Times New Roman" w:cs="Times New Roman"/>
                <w:b/>
                <w:bCs/>
                <w:sz w:val="24"/>
                <w:szCs w:val="24"/>
              </w:rPr>
              <w:t xml:space="preserve">Propósito </w:t>
            </w:r>
            <w:bookmarkEnd w:id="1"/>
            <w:r w:rsidRPr="009D74A3">
              <w:rPr>
                <w:rFonts w:ascii="Times New Roman" w:hAnsi="Times New Roman" w:cs="Times New Roman"/>
                <w:b/>
                <w:bCs/>
                <w:sz w:val="24"/>
                <w:szCs w:val="24"/>
              </w:rPr>
              <w:t>del proyecto</w:t>
            </w:r>
          </w:p>
          <w:p w14:paraId="7DB6909D" w14:textId="77777777" w:rsidR="00CC715B" w:rsidRPr="009D74A3" w:rsidRDefault="00CC715B" w:rsidP="00CC715B">
            <w:pPr>
              <w:contextualSpacing/>
              <w:rPr>
                <w:rFonts w:ascii="Times New Roman" w:hAnsi="Times New Roman" w:cs="Times New Roman"/>
                <w:sz w:val="24"/>
                <w:szCs w:val="24"/>
              </w:rPr>
            </w:pPr>
          </w:p>
          <w:p w14:paraId="5FD6C57A" w14:textId="75C3E482" w:rsidR="00CC715B" w:rsidRPr="009D74A3" w:rsidRDefault="00CC715B" w:rsidP="00CC715B">
            <w:p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Los objetivos del proyecto de acuerdo son la </w:t>
            </w:r>
            <w:r w:rsidRPr="46221FE5">
              <w:rPr>
                <w:rFonts w:ascii="Times New Roman" w:hAnsi="Times New Roman" w:cs="Times New Roman"/>
                <w:sz w:val="24"/>
                <w:szCs w:val="24"/>
              </w:rPr>
              <w:t>promoción de la competitividad</w:t>
            </w:r>
            <w:r w:rsidRPr="009D74A3">
              <w:rPr>
                <w:rFonts w:ascii="Times New Roman" w:hAnsi="Times New Roman" w:cs="Times New Roman"/>
                <w:sz w:val="24"/>
                <w:szCs w:val="24"/>
              </w:rPr>
              <w:t xml:space="preserve"> y el </w:t>
            </w:r>
            <w:r w:rsidRPr="46221FE5">
              <w:rPr>
                <w:rFonts w:ascii="Times New Roman" w:hAnsi="Times New Roman" w:cs="Times New Roman"/>
                <w:sz w:val="24"/>
                <w:szCs w:val="24"/>
              </w:rPr>
              <w:t>crecimiento económico</w:t>
            </w:r>
            <w:r w:rsidRPr="009D74A3">
              <w:rPr>
                <w:rFonts w:ascii="Times New Roman" w:hAnsi="Times New Roman" w:cs="Times New Roman"/>
                <w:sz w:val="24"/>
                <w:szCs w:val="24"/>
              </w:rPr>
              <w:t xml:space="preserve"> de la ciudad, la </w:t>
            </w:r>
            <w:r w:rsidRPr="46221FE5">
              <w:rPr>
                <w:rFonts w:ascii="Times New Roman" w:hAnsi="Times New Roman" w:cs="Times New Roman"/>
                <w:sz w:val="24"/>
                <w:szCs w:val="24"/>
              </w:rPr>
              <w:t>formalización empresarial</w:t>
            </w:r>
            <w:r w:rsidRPr="009D74A3">
              <w:rPr>
                <w:rFonts w:ascii="Times New Roman" w:hAnsi="Times New Roman" w:cs="Times New Roman"/>
                <w:sz w:val="24"/>
                <w:szCs w:val="24"/>
              </w:rPr>
              <w:t xml:space="preserve">, la </w:t>
            </w:r>
            <w:r w:rsidRPr="46221FE5">
              <w:rPr>
                <w:rFonts w:ascii="Times New Roman" w:hAnsi="Times New Roman" w:cs="Times New Roman"/>
                <w:sz w:val="24"/>
                <w:szCs w:val="24"/>
              </w:rPr>
              <w:t>generación de empleo</w:t>
            </w:r>
            <w:r w:rsidRPr="009D74A3">
              <w:rPr>
                <w:rFonts w:ascii="Times New Roman" w:hAnsi="Times New Roman" w:cs="Times New Roman"/>
                <w:sz w:val="24"/>
                <w:szCs w:val="24"/>
              </w:rPr>
              <w:t xml:space="preserve">, la </w:t>
            </w:r>
            <w:r w:rsidRPr="46221FE5">
              <w:rPr>
                <w:rFonts w:ascii="Times New Roman" w:hAnsi="Times New Roman" w:cs="Times New Roman"/>
                <w:sz w:val="24"/>
                <w:szCs w:val="24"/>
              </w:rPr>
              <w:t>mejora del servicio a los contribuyentes</w:t>
            </w:r>
            <w:r w:rsidRPr="009D74A3">
              <w:rPr>
                <w:rFonts w:ascii="Times New Roman" w:hAnsi="Times New Roman" w:cs="Times New Roman"/>
                <w:sz w:val="24"/>
                <w:szCs w:val="24"/>
              </w:rPr>
              <w:t xml:space="preserve"> y la </w:t>
            </w:r>
            <w:r w:rsidRPr="46221FE5">
              <w:rPr>
                <w:rFonts w:ascii="Times New Roman" w:hAnsi="Times New Roman" w:cs="Times New Roman"/>
                <w:sz w:val="24"/>
                <w:szCs w:val="24"/>
              </w:rPr>
              <w:t>optimización del recaudo</w:t>
            </w:r>
            <w:r w:rsidR="00CF5793">
              <w:rPr>
                <w:rFonts w:ascii="Times New Roman" w:hAnsi="Times New Roman" w:cs="Times New Roman"/>
                <w:sz w:val="24"/>
                <w:szCs w:val="24"/>
              </w:rPr>
              <w:t>.</w:t>
            </w:r>
            <w:r w:rsidRPr="009D74A3">
              <w:rPr>
                <w:rFonts w:ascii="Times New Roman" w:hAnsi="Times New Roman" w:cs="Times New Roman"/>
                <w:sz w:val="24"/>
                <w:szCs w:val="24"/>
              </w:rPr>
              <w:t xml:space="preserve"> </w:t>
            </w:r>
            <w:r w:rsidR="00754F52">
              <w:rPr>
                <w:rFonts w:ascii="Times New Roman" w:hAnsi="Times New Roman" w:cs="Times New Roman"/>
                <w:sz w:val="24"/>
                <w:szCs w:val="24"/>
              </w:rPr>
              <w:t>T</w:t>
            </w:r>
            <w:r w:rsidRPr="009D74A3">
              <w:rPr>
                <w:rFonts w:ascii="Times New Roman" w:hAnsi="Times New Roman" w:cs="Times New Roman"/>
                <w:sz w:val="24"/>
                <w:szCs w:val="24"/>
              </w:rPr>
              <w:t>odo ello enmarcado bajo los principios rectores de progresividad, simplicidad y eficiencia, que deben permear la estructura del sistema tributario.</w:t>
            </w:r>
          </w:p>
          <w:p w14:paraId="3B7C41A3" w14:textId="77777777" w:rsidR="008236BD" w:rsidRPr="009D74A3" w:rsidRDefault="008236BD" w:rsidP="008B29A2">
            <w:pPr>
              <w:contextualSpacing/>
              <w:jc w:val="both"/>
              <w:rPr>
                <w:rFonts w:ascii="Times New Roman" w:hAnsi="Times New Roman" w:cs="Times New Roman"/>
                <w:sz w:val="24"/>
                <w:szCs w:val="24"/>
              </w:rPr>
            </w:pPr>
            <w:bookmarkStart w:id="2" w:name="_Toc201047946"/>
          </w:p>
          <w:p w14:paraId="7AE9F821" w14:textId="46029C90" w:rsidR="00A94DF0" w:rsidRPr="009D74A3" w:rsidRDefault="00A94DF0">
            <w:pPr>
              <w:pStyle w:val="Prrafodelista"/>
              <w:numPr>
                <w:ilvl w:val="0"/>
                <w:numId w:val="6"/>
              </w:numPr>
              <w:jc w:val="both"/>
              <w:rPr>
                <w:rFonts w:ascii="Times New Roman" w:hAnsi="Times New Roman" w:cs="Times New Roman"/>
                <w:b/>
                <w:bCs/>
                <w:sz w:val="24"/>
                <w:szCs w:val="24"/>
              </w:rPr>
            </w:pPr>
            <w:r w:rsidRPr="009D74A3">
              <w:rPr>
                <w:rFonts w:ascii="Times New Roman" w:hAnsi="Times New Roman" w:cs="Times New Roman"/>
                <w:b/>
                <w:bCs/>
                <w:sz w:val="24"/>
                <w:szCs w:val="24"/>
              </w:rPr>
              <w:lastRenderedPageBreak/>
              <w:t>Contexto económico</w:t>
            </w:r>
            <w:bookmarkEnd w:id="2"/>
          </w:p>
          <w:p w14:paraId="6337AA6B" w14:textId="2B68C31D" w:rsidR="008236BD" w:rsidRPr="009D74A3" w:rsidRDefault="008236BD" w:rsidP="00CC715B">
            <w:pPr>
              <w:pStyle w:val="Ttulo2"/>
              <w:numPr>
                <w:ilvl w:val="0"/>
                <w:numId w:val="0"/>
              </w:numPr>
              <w:spacing w:before="0"/>
              <w:contextualSpacing/>
              <w:outlineLvl w:val="1"/>
              <w:rPr>
                <w:rFonts w:ascii="Times New Roman" w:hAnsi="Times New Roman" w:cs="Times New Roman"/>
              </w:rPr>
            </w:pPr>
          </w:p>
          <w:p w14:paraId="59A61406" w14:textId="21FAD419" w:rsidR="00CC715B" w:rsidRPr="009D74A3" w:rsidRDefault="005B4D07" w:rsidP="00CC715B">
            <w:pPr>
              <w:jc w:val="both"/>
              <w:rPr>
                <w:rFonts w:ascii="Times New Roman" w:hAnsi="Times New Roman" w:cs="Times New Roman"/>
                <w:sz w:val="24"/>
                <w:szCs w:val="24"/>
              </w:rPr>
            </w:pPr>
            <w:r w:rsidRPr="009D74A3">
              <w:rPr>
                <w:rFonts w:ascii="Times New Roman" w:hAnsi="Times New Roman" w:cs="Times New Roman"/>
                <w:sz w:val="24"/>
                <w:szCs w:val="24"/>
              </w:rPr>
              <w:t>Bogotá</w:t>
            </w:r>
            <w:r w:rsidR="006F1A78">
              <w:rPr>
                <w:rFonts w:ascii="Times New Roman" w:hAnsi="Times New Roman" w:cs="Times New Roman"/>
                <w:sz w:val="24"/>
                <w:szCs w:val="24"/>
              </w:rPr>
              <w:t xml:space="preserve"> D.C</w:t>
            </w:r>
            <w:r w:rsidR="00C21B72">
              <w:rPr>
                <w:rFonts w:ascii="Times New Roman" w:hAnsi="Times New Roman" w:cs="Times New Roman"/>
                <w:sz w:val="24"/>
                <w:szCs w:val="24"/>
              </w:rPr>
              <w:t>.</w:t>
            </w:r>
            <w:r w:rsidRPr="009D74A3">
              <w:rPr>
                <w:rFonts w:ascii="Times New Roman" w:hAnsi="Times New Roman" w:cs="Times New Roman"/>
                <w:sz w:val="24"/>
                <w:szCs w:val="24"/>
              </w:rPr>
              <w:t xml:space="preserve"> </w:t>
            </w:r>
            <w:r w:rsidR="00CC715B" w:rsidRPr="009D74A3">
              <w:rPr>
                <w:rFonts w:ascii="Times New Roman" w:hAnsi="Times New Roman" w:cs="Times New Roman"/>
                <w:sz w:val="24"/>
                <w:szCs w:val="24"/>
              </w:rPr>
              <w:t xml:space="preserve">es el centro político, económico y financiero del país. La estabilidad institucional, la infraestructura de primer nivel de servicios públicos, la conectividad vial, el talento humano calificado y la existencia de servicios especializados para el proceso productivo hacen del Distrito Capital un lugar favorable para el fortalecimiento empresarial y el acceso a nuevos mercados. </w:t>
            </w:r>
          </w:p>
          <w:p w14:paraId="535AFF39" w14:textId="77777777" w:rsidR="00CC715B" w:rsidRPr="009D74A3" w:rsidRDefault="00CC715B" w:rsidP="00CC715B">
            <w:pPr>
              <w:jc w:val="both"/>
              <w:rPr>
                <w:rFonts w:ascii="Times New Roman" w:hAnsi="Times New Roman" w:cs="Times New Roman"/>
                <w:sz w:val="24"/>
                <w:szCs w:val="24"/>
              </w:rPr>
            </w:pPr>
          </w:p>
          <w:p w14:paraId="64FE0DC3" w14:textId="772255B8" w:rsidR="00CC715B" w:rsidRPr="009D74A3" w:rsidRDefault="000B2B03" w:rsidP="00CC715B">
            <w:pPr>
              <w:jc w:val="both"/>
              <w:rPr>
                <w:rFonts w:ascii="Times New Roman" w:hAnsi="Times New Roman" w:cs="Times New Roman"/>
                <w:sz w:val="24"/>
                <w:szCs w:val="24"/>
              </w:rPr>
            </w:pPr>
            <w:r w:rsidRPr="0661FB2E">
              <w:rPr>
                <w:rFonts w:ascii="Times New Roman" w:hAnsi="Times New Roman" w:cs="Times New Roman"/>
                <w:sz w:val="24"/>
                <w:szCs w:val="24"/>
              </w:rPr>
              <w:t>El</w:t>
            </w:r>
            <w:r w:rsidR="00CC715B" w:rsidRPr="0661FB2E">
              <w:rPr>
                <w:rFonts w:ascii="Times New Roman" w:hAnsi="Times New Roman" w:cs="Times New Roman"/>
                <w:sz w:val="24"/>
                <w:szCs w:val="24"/>
              </w:rPr>
              <w:t xml:space="preserve"> Producto Interno Bruto (PIB) </w:t>
            </w:r>
            <w:r w:rsidRPr="0661FB2E">
              <w:rPr>
                <w:rFonts w:ascii="Times New Roman" w:hAnsi="Times New Roman" w:cs="Times New Roman"/>
                <w:sz w:val="24"/>
                <w:szCs w:val="24"/>
              </w:rPr>
              <w:t>de</w:t>
            </w:r>
            <w:r w:rsidR="000F3F61" w:rsidRPr="0661FB2E">
              <w:rPr>
                <w:rFonts w:ascii="Times New Roman" w:hAnsi="Times New Roman" w:cs="Times New Roman"/>
                <w:sz w:val="24"/>
                <w:szCs w:val="24"/>
              </w:rPr>
              <w:t xml:space="preserve"> Bogotá </w:t>
            </w:r>
            <w:r w:rsidR="00CC715B" w:rsidRPr="0661FB2E">
              <w:rPr>
                <w:rFonts w:ascii="Times New Roman" w:hAnsi="Times New Roman" w:cs="Times New Roman"/>
                <w:sz w:val="24"/>
                <w:szCs w:val="24"/>
              </w:rPr>
              <w:t xml:space="preserve">en 2024 </w:t>
            </w:r>
            <w:r w:rsidR="000F3F61" w:rsidRPr="0661FB2E">
              <w:rPr>
                <w:rFonts w:ascii="Times New Roman" w:hAnsi="Times New Roman" w:cs="Times New Roman"/>
                <w:sz w:val="24"/>
                <w:szCs w:val="24"/>
              </w:rPr>
              <w:t xml:space="preserve">fue </w:t>
            </w:r>
            <w:r w:rsidR="00CC715B" w:rsidRPr="0661FB2E">
              <w:rPr>
                <w:rFonts w:ascii="Times New Roman" w:hAnsi="Times New Roman" w:cs="Times New Roman"/>
                <w:sz w:val="24"/>
                <w:szCs w:val="24"/>
              </w:rPr>
              <w:t xml:space="preserve">cercano a los </w:t>
            </w:r>
            <w:r w:rsidR="000F3F61" w:rsidRPr="0661FB2E">
              <w:rPr>
                <w:rFonts w:ascii="Times New Roman" w:hAnsi="Times New Roman" w:cs="Times New Roman"/>
                <w:sz w:val="24"/>
                <w:szCs w:val="24"/>
              </w:rPr>
              <w:t>$</w:t>
            </w:r>
            <w:r w:rsidR="00CC715B" w:rsidRPr="0661FB2E">
              <w:rPr>
                <w:rFonts w:ascii="Times New Roman" w:hAnsi="Times New Roman" w:cs="Times New Roman"/>
                <w:sz w:val="24"/>
                <w:szCs w:val="24"/>
              </w:rPr>
              <w:t>430 billones, representa</w:t>
            </w:r>
            <w:r w:rsidR="000F3F61" w:rsidRPr="0661FB2E">
              <w:rPr>
                <w:rFonts w:ascii="Times New Roman" w:hAnsi="Times New Roman" w:cs="Times New Roman"/>
                <w:sz w:val="24"/>
                <w:szCs w:val="24"/>
              </w:rPr>
              <w:t>ndo</w:t>
            </w:r>
            <w:r w:rsidR="00CC715B" w:rsidRPr="0661FB2E">
              <w:rPr>
                <w:rFonts w:ascii="Times New Roman" w:hAnsi="Times New Roman" w:cs="Times New Roman"/>
                <w:sz w:val="24"/>
                <w:szCs w:val="24"/>
              </w:rPr>
              <w:t xml:space="preserve"> el 25,2% del tamaño total de la economía colombiana ($1.706 billones) seguido en su orden por los departamentos de Antioquia (14,8%), Valle de Cauca (9,7%), Santander (6,4%), Cundinamarca (6,3%) y Atlántico (4,5%)</w:t>
            </w:r>
            <w:r w:rsidR="000F3F61" w:rsidRPr="0661FB2E">
              <w:rPr>
                <w:rFonts w:ascii="Times New Roman" w:hAnsi="Times New Roman" w:cs="Times New Roman"/>
                <w:sz w:val="24"/>
                <w:szCs w:val="24"/>
              </w:rPr>
              <w:t>, principalmente</w:t>
            </w:r>
            <w:r w:rsidR="00CC715B" w:rsidRPr="0661FB2E">
              <w:rPr>
                <w:rFonts w:ascii="Times New Roman" w:hAnsi="Times New Roman" w:cs="Times New Roman"/>
                <w:sz w:val="24"/>
                <w:szCs w:val="24"/>
              </w:rPr>
              <w:t xml:space="preserve"> (</w:t>
            </w:r>
            <w:r w:rsidR="00CC715B" w:rsidRPr="0661FB2E">
              <w:rPr>
                <w:rFonts w:ascii="Times New Roman" w:hAnsi="Times New Roman" w:cs="Times New Roman"/>
                <w:b/>
                <w:bCs/>
                <w:sz w:val="24"/>
                <w:szCs w:val="24"/>
              </w:rPr>
              <w:t>Gráfico 1</w:t>
            </w:r>
            <w:r w:rsidR="00CC715B" w:rsidRPr="0661FB2E">
              <w:rPr>
                <w:rFonts w:ascii="Times New Roman" w:hAnsi="Times New Roman" w:cs="Times New Roman"/>
                <w:sz w:val="24"/>
                <w:szCs w:val="24"/>
              </w:rPr>
              <w:t>).</w:t>
            </w:r>
          </w:p>
          <w:p w14:paraId="0162ECCD" w14:textId="77777777" w:rsidR="00CC715B" w:rsidRPr="009D74A3" w:rsidRDefault="00CC715B" w:rsidP="00CC715B">
            <w:pPr>
              <w:pStyle w:val="Prrafodelista"/>
              <w:jc w:val="both"/>
              <w:rPr>
                <w:rFonts w:ascii="Times New Roman" w:hAnsi="Times New Roman" w:cs="Times New Roman"/>
                <w:b/>
                <w:bCs/>
                <w:sz w:val="24"/>
                <w:szCs w:val="24"/>
              </w:rPr>
            </w:pPr>
          </w:p>
          <w:p w14:paraId="4B232AB8" w14:textId="77777777" w:rsidR="00CC715B" w:rsidRPr="009D74A3" w:rsidRDefault="00CC715B" w:rsidP="00CC715B">
            <w:pPr>
              <w:contextualSpacing/>
              <w:jc w:val="center"/>
              <w:rPr>
                <w:rFonts w:ascii="Times New Roman" w:hAnsi="Times New Roman" w:cs="Times New Roman"/>
                <w:b/>
              </w:rPr>
            </w:pPr>
            <w:r w:rsidRPr="009D74A3">
              <w:rPr>
                <w:rFonts w:ascii="Times New Roman" w:hAnsi="Times New Roman" w:cs="Times New Roman"/>
                <w:b/>
              </w:rPr>
              <w:t>Gráfico 1.</w:t>
            </w:r>
          </w:p>
          <w:p w14:paraId="1F2AC22B" w14:textId="77777777" w:rsidR="00CC715B" w:rsidRPr="009D74A3" w:rsidRDefault="00CC715B" w:rsidP="00CC715B">
            <w:pPr>
              <w:contextualSpacing/>
              <w:jc w:val="center"/>
              <w:rPr>
                <w:rFonts w:ascii="Times New Roman" w:hAnsi="Times New Roman" w:cs="Times New Roman"/>
                <w:b/>
              </w:rPr>
            </w:pPr>
            <w:r w:rsidRPr="009D74A3">
              <w:rPr>
                <w:rFonts w:ascii="Times New Roman" w:hAnsi="Times New Roman" w:cs="Times New Roman"/>
                <w:b/>
              </w:rPr>
              <w:t>Participación regional del Producto Interno Bruto – 2024</w:t>
            </w:r>
            <w:r w:rsidRPr="009D74A3">
              <w:rPr>
                <w:rFonts w:ascii="Times New Roman" w:hAnsi="Times New Roman" w:cs="Times New Roman"/>
                <w:b/>
                <w:vertAlign w:val="superscript"/>
              </w:rPr>
              <w:t>pr</w:t>
            </w:r>
          </w:p>
          <w:p w14:paraId="4667AB16" w14:textId="77777777" w:rsidR="00CC715B" w:rsidRPr="009D74A3" w:rsidRDefault="00CC715B" w:rsidP="00CC715B">
            <w:pPr>
              <w:contextualSpacing/>
              <w:jc w:val="center"/>
              <w:rPr>
                <w:rFonts w:ascii="Times New Roman" w:hAnsi="Times New Roman" w:cs="Times New Roman"/>
                <w:bCs/>
                <w:i/>
                <w:iCs/>
              </w:rPr>
            </w:pPr>
            <w:r w:rsidRPr="009D74A3">
              <w:rPr>
                <w:rFonts w:ascii="Times New Roman" w:hAnsi="Times New Roman" w:cs="Times New Roman"/>
                <w:bCs/>
                <w:i/>
                <w:iCs/>
              </w:rPr>
              <w:t xml:space="preserve">Porcentaje </w:t>
            </w:r>
          </w:p>
          <w:p w14:paraId="121B3F11" w14:textId="77777777" w:rsidR="00CC715B" w:rsidRPr="009D74A3" w:rsidRDefault="00CC715B" w:rsidP="00CC715B">
            <w:pPr>
              <w:contextualSpacing/>
              <w:jc w:val="center"/>
              <w:rPr>
                <w:rFonts w:ascii="Times New Roman" w:hAnsi="Times New Roman" w:cs="Times New Roman"/>
              </w:rPr>
            </w:pPr>
            <w:r w:rsidRPr="009D74A3">
              <w:rPr>
                <w:rFonts w:ascii="Times New Roman" w:hAnsi="Times New Roman" w:cs="Times New Roman"/>
                <w:noProof/>
                <w:lang w:eastAsia="es-CO"/>
              </w:rPr>
              <w:drawing>
                <wp:inline distT="0" distB="0" distL="0" distR="0" wp14:anchorId="30ECCD18" wp14:editId="0784EFE8">
                  <wp:extent cx="4218940" cy="2346960"/>
                  <wp:effectExtent l="0" t="0" r="0" b="0"/>
                  <wp:docPr id="90748843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18940" cy="2346960"/>
                          </a:xfrm>
                          <a:prstGeom prst="rect">
                            <a:avLst/>
                          </a:prstGeom>
                          <a:noFill/>
                        </pic:spPr>
                      </pic:pic>
                    </a:graphicData>
                  </a:graphic>
                </wp:inline>
              </w:drawing>
            </w:r>
          </w:p>
          <w:p w14:paraId="3A4F1B02" w14:textId="77777777" w:rsidR="00CC715B" w:rsidRPr="009D74A3" w:rsidRDefault="00CC715B" w:rsidP="00CC715B">
            <w:pPr>
              <w:ind w:left="1059" w:right="1180"/>
              <w:contextualSpacing/>
              <w:jc w:val="both"/>
              <w:rPr>
                <w:rFonts w:ascii="Times New Roman" w:hAnsi="Times New Roman" w:cs="Times New Roman"/>
                <w:sz w:val="20"/>
                <w:szCs w:val="20"/>
              </w:rPr>
            </w:pPr>
            <w:r w:rsidRPr="009D74A3">
              <w:rPr>
                <w:rFonts w:ascii="Times New Roman" w:hAnsi="Times New Roman" w:cs="Times New Roman"/>
                <w:b/>
                <w:bCs/>
                <w:sz w:val="20"/>
                <w:szCs w:val="20"/>
              </w:rPr>
              <w:t xml:space="preserve">Nota: </w:t>
            </w:r>
            <w:r w:rsidRPr="009D74A3">
              <w:rPr>
                <w:rFonts w:ascii="Times New Roman" w:hAnsi="Times New Roman" w:cs="Times New Roman"/>
                <w:sz w:val="20"/>
                <w:szCs w:val="20"/>
              </w:rPr>
              <w:t>La categoría resto comprende los siguientes departamentos: Boyacá, Tolima, Cauca, Córdoba, Risaralda, Cesar, Caldas, Norte de Santander, Huila, Nariño, Magdalena, La guajira, Sucre, Quindío, Chocó, Caquetá, Amazonas, Arauca, Casanare, Guainía, Guaviare, Putumayo, San Andrés, Providencia y Santa Catalina (Archipiélago), Vaupés y Vichada.</w:t>
            </w:r>
          </w:p>
          <w:p w14:paraId="07CBFF89" w14:textId="77777777" w:rsidR="00CC715B" w:rsidRPr="009D74A3" w:rsidRDefault="00CC715B" w:rsidP="00CC715B">
            <w:pPr>
              <w:ind w:left="1059" w:right="1180"/>
              <w:contextualSpacing/>
              <w:rPr>
                <w:rFonts w:ascii="Times New Roman" w:hAnsi="Times New Roman" w:cs="Times New Roman"/>
                <w:sz w:val="20"/>
                <w:szCs w:val="20"/>
              </w:rPr>
            </w:pPr>
            <w:r w:rsidRPr="009D74A3">
              <w:rPr>
                <w:rFonts w:ascii="Times New Roman" w:hAnsi="Times New Roman" w:cs="Times New Roman"/>
                <w:b/>
                <w:bCs/>
                <w:sz w:val="20"/>
                <w:szCs w:val="20"/>
              </w:rPr>
              <w:t>Fuente:</w:t>
            </w:r>
            <w:r w:rsidRPr="009D74A3">
              <w:rPr>
                <w:rFonts w:ascii="Times New Roman" w:hAnsi="Times New Roman" w:cs="Times New Roman"/>
                <w:sz w:val="20"/>
                <w:szCs w:val="20"/>
              </w:rPr>
              <w:t xml:space="preserve"> DANE, Cuentas departamentales.</w:t>
            </w:r>
          </w:p>
          <w:p w14:paraId="3816DC26" w14:textId="77777777" w:rsidR="00CC715B" w:rsidRPr="009D74A3" w:rsidRDefault="00CC715B" w:rsidP="00CC715B">
            <w:pPr>
              <w:pStyle w:val="Prrafodelista"/>
              <w:jc w:val="both"/>
              <w:rPr>
                <w:rFonts w:ascii="Times New Roman" w:hAnsi="Times New Roman" w:cs="Times New Roman"/>
                <w:b/>
                <w:bCs/>
                <w:sz w:val="24"/>
                <w:szCs w:val="24"/>
              </w:rPr>
            </w:pPr>
          </w:p>
          <w:p w14:paraId="60086C2E" w14:textId="77777777" w:rsidR="00CC715B" w:rsidRPr="009D74A3" w:rsidRDefault="00CC715B" w:rsidP="00CC715B">
            <w:pPr>
              <w:jc w:val="both"/>
              <w:rPr>
                <w:rFonts w:ascii="Times New Roman" w:hAnsi="Times New Roman" w:cs="Times New Roman"/>
                <w:sz w:val="24"/>
                <w:szCs w:val="24"/>
              </w:rPr>
            </w:pPr>
            <w:r w:rsidRPr="009D74A3">
              <w:rPr>
                <w:rFonts w:ascii="Times New Roman" w:hAnsi="Times New Roman" w:cs="Times New Roman"/>
                <w:sz w:val="24"/>
                <w:szCs w:val="24"/>
              </w:rPr>
              <w:t>En comparación con el total nacional, donde las actividades primarias (agropecuarias y mineras) tienen una mayor presencia económica, la estructura productiva en Bogotá tiene mayor participación de actividades terciarias (servicios). De ellas, cinco actividades representan el 72,5% del valor agregado de la ciudad (</w:t>
            </w:r>
            <w:r w:rsidRPr="009D74A3">
              <w:rPr>
                <w:rFonts w:ascii="Times New Roman" w:hAnsi="Times New Roman" w:cs="Times New Roman"/>
                <w:b/>
                <w:bCs/>
                <w:sz w:val="24"/>
                <w:szCs w:val="24"/>
              </w:rPr>
              <w:t>Tabla 1</w:t>
            </w:r>
            <w:r w:rsidRPr="009D74A3">
              <w:rPr>
                <w:rFonts w:ascii="Times New Roman" w:hAnsi="Times New Roman" w:cs="Times New Roman"/>
                <w:sz w:val="24"/>
                <w:szCs w:val="24"/>
              </w:rPr>
              <w:t>): el gran comercio (comercio, transporte y alojamiento y servicios de comida); la administración pública, defensa, educación y salud; las actividades inmobiliarias, profesionales y las financieras.</w:t>
            </w:r>
          </w:p>
          <w:p w14:paraId="3E2AFA67" w14:textId="77777777" w:rsidR="00CC715B" w:rsidRPr="009D74A3" w:rsidRDefault="00CC715B" w:rsidP="00CC715B">
            <w:pPr>
              <w:pStyle w:val="Prrafodelista"/>
              <w:jc w:val="both"/>
              <w:rPr>
                <w:rFonts w:ascii="Times New Roman" w:hAnsi="Times New Roman" w:cs="Times New Roman"/>
                <w:b/>
                <w:bCs/>
                <w:sz w:val="24"/>
                <w:szCs w:val="24"/>
              </w:rPr>
            </w:pPr>
          </w:p>
          <w:p w14:paraId="11D50528" w14:textId="74200A0E" w:rsidR="00CC715B" w:rsidRPr="009D74A3" w:rsidRDefault="00CC715B" w:rsidP="00CC715B">
            <w:pPr>
              <w:jc w:val="both"/>
              <w:rPr>
                <w:rFonts w:ascii="Times New Roman" w:hAnsi="Times New Roman" w:cs="Times New Roman"/>
                <w:sz w:val="24"/>
                <w:szCs w:val="24"/>
              </w:rPr>
            </w:pPr>
            <w:r w:rsidRPr="009D74A3">
              <w:rPr>
                <w:rFonts w:ascii="Times New Roman" w:hAnsi="Times New Roman" w:cs="Times New Roman"/>
                <w:sz w:val="24"/>
                <w:szCs w:val="24"/>
              </w:rPr>
              <w:t xml:space="preserve">A lo largo de los últimos 20 años (2005-2024) las actividades terciarias </w:t>
            </w:r>
            <w:r w:rsidR="000F3F61">
              <w:rPr>
                <w:rFonts w:ascii="Times New Roman" w:hAnsi="Times New Roman" w:cs="Times New Roman"/>
                <w:sz w:val="24"/>
                <w:szCs w:val="24"/>
              </w:rPr>
              <w:t xml:space="preserve">son </w:t>
            </w:r>
            <w:r w:rsidRPr="009D74A3">
              <w:rPr>
                <w:rFonts w:ascii="Times New Roman" w:hAnsi="Times New Roman" w:cs="Times New Roman"/>
                <w:sz w:val="24"/>
                <w:szCs w:val="24"/>
              </w:rPr>
              <w:t xml:space="preserve">las que han </w:t>
            </w:r>
            <w:r w:rsidR="000F3F61">
              <w:rPr>
                <w:rFonts w:ascii="Times New Roman" w:hAnsi="Times New Roman" w:cs="Times New Roman"/>
                <w:sz w:val="24"/>
                <w:szCs w:val="24"/>
              </w:rPr>
              <w:t xml:space="preserve">registrado un mayor </w:t>
            </w:r>
            <w:r w:rsidRPr="009D74A3">
              <w:rPr>
                <w:rFonts w:ascii="Times New Roman" w:hAnsi="Times New Roman" w:cs="Times New Roman"/>
                <w:sz w:val="24"/>
                <w:szCs w:val="24"/>
              </w:rPr>
              <w:t>creci</w:t>
            </w:r>
            <w:r w:rsidR="000F3F61">
              <w:rPr>
                <w:rFonts w:ascii="Times New Roman" w:hAnsi="Times New Roman" w:cs="Times New Roman"/>
                <w:sz w:val="24"/>
                <w:szCs w:val="24"/>
              </w:rPr>
              <w:t>miento</w:t>
            </w:r>
            <w:r w:rsidRPr="009D74A3">
              <w:rPr>
                <w:rFonts w:ascii="Times New Roman" w:hAnsi="Times New Roman" w:cs="Times New Roman"/>
                <w:sz w:val="24"/>
                <w:szCs w:val="24"/>
              </w:rPr>
              <w:t xml:space="preserve"> y, por </w:t>
            </w:r>
            <w:r w:rsidR="00930F52">
              <w:rPr>
                <w:rFonts w:ascii="Times New Roman" w:hAnsi="Times New Roman" w:cs="Times New Roman"/>
                <w:sz w:val="24"/>
                <w:szCs w:val="24"/>
              </w:rPr>
              <w:t>tanto,</w:t>
            </w:r>
            <w:r w:rsidRPr="009D74A3">
              <w:rPr>
                <w:rFonts w:ascii="Times New Roman" w:hAnsi="Times New Roman" w:cs="Times New Roman"/>
                <w:sz w:val="24"/>
                <w:szCs w:val="24"/>
              </w:rPr>
              <w:t xml:space="preserve"> han ganado mayor participación en la estructura productiva bogotana. </w:t>
            </w:r>
            <w:r w:rsidRPr="46221FE5">
              <w:rPr>
                <w:rFonts w:ascii="Times New Roman" w:hAnsi="Times New Roman" w:cs="Times New Roman"/>
                <w:sz w:val="24"/>
                <w:szCs w:val="24"/>
              </w:rPr>
              <w:t>Las actividades financieras</w:t>
            </w:r>
            <w:r w:rsidRPr="009D74A3">
              <w:rPr>
                <w:rFonts w:ascii="Times New Roman" w:hAnsi="Times New Roman" w:cs="Times New Roman"/>
                <w:sz w:val="24"/>
                <w:szCs w:val="24"/>
              </w:rPr>
              <w:t xml:space="preserve">, en particular, apalancadas en un mayor acceso de las personas y empresas a los productos bancarios y en el desarrollo del mercado de capitales, </w:t>
            </w:r>
            <w:r w:rsidRPr="46221FE5">
              <w:rPr>
                <w:rFonts w:ascii="Times New Roman" w:hAnsi="Times New Roman" w:cs="Times New Roman"/>
                <w:sz w:val="24"/>
                <w:szCs w:val="24"/>
              </w:rPr>
              <w:t>son las que tienen la tasa promedio de crecimiento anual más alta (7%)</w:t>
            </w:r>
            <w:r w:rsidRPr="009D74A3">
              <w:rPr>
                <w:rFonts w:ascii="Times New Roman" w:hAnsi="Times New Roman" w:cs="Times New Roman"/>
                <w:sz w:val="24"/>
                <w:szCs w:val="24"/>
              </w:rPr>
              <w:t xml:space="preserve"> y las que más han ampliado su participación en el valor agregado (5,0 puntos porcentuales – p.p. adicionales)</w:t>
            </w:r>
            <w:r w:rsidR="001507D2">
              <w:rPr>
                <w:rFonts w:ascii="Times New Roman" w:hAnsi="Times New Roman" w:cs="Times New Roman"/>
                <w:sz w:val="24"/>
                <w:szCs w:val="24"/>
              </w:rPr>
              <w:t>, en el período analizado</w:t>
            </w:r>
            <w:r w:rsidRPr="009D74A3">
              <w:rPr>
                <w:rFonts w:ascii="Times New Roman" w:hAnsi="Times New Roman" w:cs="Times New Roman"/>
                <w:sz w:val="24"/>
                <w:szCs w:val="24"/>
              </w:rPr>
              <w:t xml:space="preserve"> (</w:t>
            </w:r>
            <w:r w:rsidRPr="009D74A3">
              <w:rPr>
                <w:rFonts w:ascii="Times New Roman" w:hAnsi="Times New Roman" w:cs="Times New Roman"/>
                <w:b/>
                <w:bCs/>
                <w:sz w:val="24"/>
                <w:szCs w:val="24"/>
              </w:rPr>
              <w:t>Tabla 1</w:t>
            </w:r>
            <w:r w:rsidRPr="009D74A3">
              <w:rPr>
                <w:rFonts w:ascii="Times New Roman" w:hAnsi="Times New Roman" w:cs="Times New Roman"/>
                <w:sz w:val="24"/>
                <w:szCs w:val="24"/>
              </w:rPr>
              <w:t xml:space="preserve"> y </w:t>
            </w:r>
            <w:r w:rsidRPr="009D74A3">
              <w:rPr>
                <w:rFonts w:ascii="Times New Roman" w:hAnsi="Times New Roman" w:cs="Times New Roman"/>
                <w:b/>
                <w:bCs/>
                <w:sz w:val="24"/>
                <w:szCs w:val="24"/>
              </w:rPr>
              <w:t>Gráfico 2</w:t>
            </w:r>
            <w:r w:rsidRPr="009D74A3">
              <w:rPr>
                <w:rFonts w:ascii="Times New Roman" w:hAnsi="Times New Roman" w:cs="Times New Roman"/>
                <w:sz w:val="24"/>
                <w:szCs w:val="24"/>
              </w:rPr>
              <w:t>).</w:t>
            </w:r>
          </w:p>
          <w:p w14:paraId="6FBA9B13" w14:textId="77777777" w:rsidR="009D74A3" w:rsidRPr="009D74A3" w:rsidRDefault="009D74A3" w:rsidP="00CC715B">
            <w:pPr>
              <w:jc w:val="both"/>
              <w:rPr>
                <w:rFonts w:ascii="Times New Roman" w:hAnsi="Times New Roman" w:cs="Times New Roman"/>
                <w:b/>
                <w:bCs/>
                <w:sz w:val="24"/>
                <w:szCs w:val="24"/>
              </w:rPr>
            </w:pPr>
          </w:p>
          <w:p w14:paraId="1C6FF8C7" w14:textId="77777777" w:rsidR="009D74A3" w:rsidRDefault="009D74A3" w:rsidP="00CC715B">
            <w:pPr>
              <w:contextualSpacing/>
              <w:jc w:val="center"/>
              <w:rPr>
                <w:rFonts w:ascii="Times New Roman" w:hAnsi="Times New Roman" w:cs="Times New Roman"/>
                <w:b/>
              </w:rPr>
            </w:pPr>
          </w:p>
          <w:p w14:paraId="4FE939E7" w14:textId="77777777" w:rsidR="009D74A3" w:rsidRDefault="009D74A3" w:rsidP="00CC715B">
            <w:pPr>
              <w:contextualSpacing/>
              <w:jc w:val="center"/>
              <w:rPr>
                <w:rFonts w:ascii="Times New Roman" w:hAnsi="Times New Roman" w:cs="Times New Roman"/>
                <w:b/>
              </w:rPr>
            </w:pPr>
          </w:p>
          <w:p w14:paraId="79AF9261" w14:textId="77777777" w:rsidR="009D74A3" w:rsidRDefault="009D74A3" w:rsidP="00CC715B">
            <w:pPr>
              <w:contextualSpacing/>
              <w:jc w:val="center"/>
              <w:rPr>
                <w:rFonts w:ascii="Times New Roman" w:hAnsi="Times New Roman" w:cs="Times New Roman"/>
                <w:b/>
              </w:rPr>
            </w:pPr>
          </w:p>
          <w:p w14:paraId="22DE7ECD" w14:textId="77777777" w:rsidR="009D74A3" w:rsidRDefault="009D74A3" w:rsidP="00CC715B">
            <w:pPr>
              <w:contextualSpacing/>
              <w:jc w:val="center"/>
              <w:rPr>
                <w:rFonts w:ascii="Times New Roman" w:hAnsi="Times New Roman" w:cs="Times New Roman"/>
                <w:b/>
              </w:rPr>
            </w:pPr>
          </w:p>
          <w:p w14:paraId="14E002CD" w14:textId="77777777" w:rsidR="009D74A3" w:rsidRDefault="009D74A3" w:rsidP="00CC715B">
            <w:pPr>
              <w:contextualSpacing/>
              <w:jc w:val="center"/>
              <w:rPr>
                <w:rFonts w:ascii="Times New Roman" w:hAnsi="Times New Roman" w:cs="Times New Roman"/>
                <w:b/>
              </w:rPr>
            </w:pPr>
          </w:p>
          <w:p w14:paraId="30EC792A" w14:textId="77777777" w:rsidR="009D74A3" w:rsidRDefault="009D74A3" w:rsidP="00CC715B">
            <w:pPr>
              <w:contextualSpacing/>
              <w:jc w:val="center"/>
              <w:rPr>
                <w:rFonts w:ascii="Times New Roman" w:hAnsi="Times New Roman" w:cs="Times New Roman"/>
                <w:b/>
              </w:rPr>
            </w:pPr>
          </w:p>
          <w:p w14:paraId="34338ACD" w14:textId="70D83169" w:rsidR="00CC715B" w:rsidRPr="009D74A3" w:rsidRDefault="00CC715B" w:rsidP="00CC715B">
            <w:pPr>
              <w:contextualSpacing/>
              <w:jc w:val="center"/>
              <w:rPr>
                <w:rFonts w:ascii="Times New Roman" w:hAnsi="Times New Roman" w:cs="Times New Roman"/>
                <w:b/>
              </w:rPr>
            </w:pPr>
            <w:r w:rsidRPr="009D74A3">
              <w:rPr>
                <w:rFonts w:ascii="Times New Roman" w:hAnsi="Times New Roman" w:cs="Times New Roman"/>
                <w:b/>
              </w:rPr>
              <w:t>Tabla 1.</w:t>
            </w:r>
            <w:r w:rsidRPr="009D74A3">
              <w:rPr>
                <w:rFonts w:ascii="Times New Roman" w:hAnsi="Times New Roman" w:cs="Times New Roman"/>
                <w:b/>
              </w:rPr>
              <w:br/>
              <w:t>Estructura productiva de Bogotá</w:t>
            </w:r>
          </w:p>
          <w:p w14:paraId="3860A7F3" w14:textId="77777777" w:rsidR="00CC715B" w:rsidRPr="009D74A3" w:rsidRDefault="00CC715B" w:rsidP="00CC715B">
            <w:pPr>
              <w:contextualSpacing/>
              <w:jc w:val="center"/>
              <w:rPr>
                <w:rFonts w:ascii="Times New Roman" w:hAnsi="Times New Roman" w:cs="Times New Roman"/>
              </w:rPr>
            </w:pPr>
            <w:r w:rsidRPr="009D74A3">
              <w:rPr>
                <w:rFonts w:ascii="Times New Roman" w:hAnsi="Times New Roman" w:cs="Times New Roman"/>
                <w:bCs/>
                <w:i/>
                <w:iCs/>
              </w:rPr>
              <w:t>Porcentaje</w:t>
            </w:r>
          </w:p>
          <w:p w14:paraId="6F17E812" w14:textId="77777777" w:rsidR="00CC715B" w:rsidRPr="009D74A3" w:rsidRDefault="00CC715B" w:rsidP="00CC715B">
            <w:pPr>
              <w:contextualSpacing/>
              <w:jc w:val="center"/>
              <w:rPr>
                <w:rFonts w:ascii="Times New Roman" w:hAnsi="Times New Roman" w:cs="Times New Roman"/>
              </w:rPr>
            </w:pPr>
            <w:r w:rsidRPr="009D74A3">
              <w:rPr>
                <w:rFonts w:ascii="Times New Roman" w:hAnsi="Times New Roman" w:cs="Times New Roman"/>
                <w:noProof/>
                <w:lang w:eastAsia="es-CO"/>
              </w:rPr>
              <w:drawing>
                <wp:inline distT="0" distB="0" distL="0" distR="0" wp14:anchorId="11F45720" wp14:editId="65BF10CF">
                  <wp:extent cx="5612130" cy="1981200"/>
                  <wp:effectExtent l="0" t="0" r="7620" b="0"/>
                  <wp:docPr id="113973044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12130" cy="1981200"/>
                          </a:xfrm>
                          <a:prstGeom prst="rect">
                            <a:avLst/>
                          </a:prstGeom>
                          <a:noFill/>
                          <a:ln>
                            <a:noFill/>
                          </a:ln>
                        </pic:spPr>
                      </pic:pic>
                    </a:graphicData>
                  </a:graphic>
                </wp:inline>
              </w:drawing>
            </w:r>
          </w:p>
          <w:p w14:paraId="032EEFBB" w14:textId="77777777" w:rsidR="00CC715B" w:rsidRPr="009D74A3" w:rsidRDefault="00CC715B" w:rsidP="00CC715B">
            <w:pPr>
              <w:ind w:firstLine="634"/>
              <w:contextualSpacing/>
              <w:jc w:val="both"/>
              <w:rPr>
                <w:rFonts w:ascii="Times New Roman" w:hAnsi="Times New Roman" w:cs="Times New Roman"/>
                <w:sz w:val="20"/>
                <w:szCs w:val="20"/>
              </w:rPr>
            </w:pPr>
            <w:r w:rsidRPr="009D74A3">
              <w:rPr>
                <w:rFonts w:ascii="Times New Roman" w:hAnsi="Times New Roman" w:cs="Times New Roman"/>
                <w:b/>
                <w:bCs/>
                <w:sz w:val="20"/>
                <w:szCs w:val="20"/>
              </w:rPr>
              <w:t>Fuente:</w:t>
            </w:r>
            <w:r w:rsidRPr="009D74A3">
              <w:rPr>
                <w:rFonts w:ascii="Times New Roman" w:hAnsi="Times New Roman" w:cs="Times New Roman"/>
                <w:sz w:val="20"/>
                <w:szCs w:val="20"/>
              </w:rPr>
              <w:t xml:space="preserve"> DANE, PIB trimestral de Bogotá D.C.</w:t>
            </w:r>
          </w:p>
          <w:p w14:paraId="3AAF8FB5" w14:textId="77777777" w:rsidR="00CC715B" w:rsidRPr="009D74A3" w:rsidRDefault="00CC715B" w:rsidP="00CC715B">
            <w:pPr>
              <w:pStyle w:val="Prrafodelista"/>
              <w:jc w:val="both"/>
              <w:rPr>
                <w:rFonts w:ascii="Times New Roman" w:hAnsi="Times New Roman" w:cs="Times New Roman"/>
                <w:b/>
                <w:bCs/>
                <w:sz w:val="24"/>
                <w:szCs w:val="24"/>
              </w:rPr>
            </w:pPr>
          </w:p>
          <w:p w14:paraId="7C28E420" w14:textId="77777777" w:rsidR="00CC715B" w:rsidRPr="009D74A3" w:rsidRDefault="00CC715B" w:rsidP="00CC715B">
            <w:pPr>
              <w:contextualSpacing/>
              <w:jc w:val="center"/>
              <w:rPr>
                <w:rFonts w:ascii="Times New Roman" w:hAnsi="Times New Roman" w:cs="Times New Roman"/>
                <w:b/>
              </w:rPr>
            </w:pPr>
            <w:r w:rsidRPr="009D74A3">
              <w:rPr>
                <w:rFonts w:ascii="Times New Roman" w:hAnsi="Times New Roman" w:cs="Times New Roman"/>
                <w:b/>
              </w:rPr>
              <w:t>Gráfico 2.</w:t>
            </w:r>
          </w:p>
          <w:p w14:paraId="47C49A82" w14:textId="77777777" w:rsidR="00CC715B" w:rsidRPr="009D74A3" w:rsidRDefault="00CC715B" w:rsidP="00CC715B">
            <w:pPr>
              <w:contextualSpacing/>
              <w:jc w:val="center"/>
              <w:rPr>
                <w:rFonts w:ascii="Times New Roman" w:hAnsi="Times New Roman" w:cs="Times New Roman"/>
                <w:b/>
              </w:rPr>
            </w:pPr>
            <w:r w:rsidRPr="009D74A3">
              <w:rPr>
                <w:rFonts w:ascii="Times New Roman" w:hAnsi="Times New Roman" w:cs="Times New Roman"/>
                <w:b/>
              </w:rPr>
              <w:t>Participación regional del Producto Interno Bruto – 2024</w:t>
            </w:r>
            <w:r w:rsidRPr="009D74A3">
              <w:rPr>
                <w:rFonts w:ascii="Times New Roman" w:hAnsi="Times New Roman" w:cs="Times New Roman"/>
                <w:b/>
                <w:vertAlign w:val="superscript"/>
              </w:rPr>
              <w:t>pr</w:t>
            </w:r>
          </w:p>
          <w:p w14:paraId="5C6842DE" w14:textId="77777777" w:rsidR="00CC715B" w:rsidRPr="009D74A3" w:rsidRDefault="00CC715B" w:rsidP="00CC715B">
            <w:pPr>
              <w:contextualSpacing/>
              <w:jc w:val="center"/>
              <w:rPr>
                <w:rFonts w:ascii="Times New Roman" w:hAnsi="Times New Roman" w:cs="Times New Roman"/>
                <w:bCs/>
                <w:i/>
                <w:iCs/>
              </w:rPr>
            </w:pPr>
            <w:r w:rsidRPr="009D74A3">
              <w:rPr>
                <w:rFonts w:ascii="Times New Roman" w:hAnsi="Times New Roman" w:cs="Times New Roman"/>
                <w:bCs/>
                <w:i/>
                <w:iCs/>
              </w:rPr>
              <w:t xml:space="preserve">Porcentaje </w:t>
            </w:r>
          </w:p>
          <w:p w14:paraId="26DA3017" w14:textId="77777777" w:rsidR="00CC715B" w:rsidRPr="009D74A3" w:rsidRDefault="00CC715B" w:rsidP="00CC715B">
            <w:pPr>
              <w:contextualSpacing/>
              <w:jc w:val="center"/>
              <w:rPr>
                <w:rFonts w:ascii="Times New Roman" w:hAnsi="Times New Roman" w:cs="Times New Roman"/>
              </w:rPr>
            </w:pPr>
            <w:r w:rsidRPr="009D74A3">
              <w:rPr>
                <w:rFonts w:ascii="Times New Roman" w:hAnsi="Times New Roman" w:cs="Times New Roman"/>
                <w:noProof/>
                <w:lang w:eastAsia="es-CO"/>
              </w:rPr>
              <w:drawing>
                <wp:inline distT="0" distB="0" distL="0" distR="0" wp14:anchorId="6DF4B927" wp14:editId="606FF2D8">
                  <wp:extent cx="4527550" cy="2581275"/>
                  <wp:effectExtent l="0" t="0" r="6350" b="9525"/>
                  <wp:docPr id="86110486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394" t="13508" r="1048" b="2145"/>
                          <a:stretch>
                            <a:fillRect/>
                          </a:stretch>
                        </pic:blipFill>
                        <pic:spPr bwMode="auto">
                          <a:xfrm>
                            <a:off x="0" y="0"/>
                            <a:ext cx="4554004" cy="2596357"/>
                          </a:xfrm>
                          <a:prstGeom prst="rect">
                            <a:avLst/>
                          </a:prstGeom>
                          <a:noFill/>
                          <a:ln>
                            <a:noFill/>
                          </a:ln>
                          <a:extLst>
                            <a:ext uri="{53640926-AAD7-44D8-BBD7-CCE9431645EC}">
                              <a14:shadowObscured xmlns:a14="http://schemas.microsoft.com/office/drawing/2010/main"/>
                            </a:ext>
                          </a:extLst>
                        </pic:spPr>
                      </pic:pic>
                    </a:graphicData>
                  </a:graphic>
                </wp:inline>
              </w:drawing>
            </w:r>
          </w:p>
          <w:p w14:paraId="1B73BC59" w14:textId="77777777" w:rsidR="00CC715B" w:rsidRPr="009D74A3" w:rsidRDefault="00CC715B" w:rsidP="00CC715B">
            <w:pPr>
              <w:ind w:left="1059" w:right="1180"/>
              <w:contextualSpacing/>
              <w:rPr>
                <w:rFonts w:ascii="Times New Roman" w:hAnsi="Times New Roman" w:cs="Times New Roman"/>
                <w:sz w:val="20"/>
                <w:szCs w:val="20"/>
              </w:rPr>
            </w:pPr>
            <w:r w:rsidRPr="009D74A3">
              <w:rPr>
                <w:rFonts w:ascii="Times New Roman" w:hAnsi="Times New Roman" w:cs="Times New Roman"/>
                <w:b/>
                <w:bCs/>
                <w:sz w:val="20"/>
                <w:szCs w:val="20"/>
              </w:rPr>
              <w:t>Fuente:</w:t>
            </w:r>
            <w:r w:rsidRPr="009D74A3">
              <w:rPr>
                <w:rFonts w:ascii="Times New Roman" w:hAnsi="Times New Roman" w:cs="Times New Roman"/>
                <w:sz w:val="20"/>
                <w:szCs w:val="20"/>
              </w:rPr>
              <w:t xml:space="preserve"> DANE, PIB trimestral de Bogotá D.C.</w:t>
            </w:r>
          </w:p>
          <w:p w14:paraId="420D5B94" w14:textId="77777777" w:rsidR="00CC715B" w:rsidRPr="009D74A3" w:rsidRDefault="00CC715B" w:rsidP="00CC715B">
            <w:pPr>
              <w:pStyle w:val="Prrafodelista"/>
              <w:jc w:val="both"/>
              <w:rPr>
                <w:rFonts w:ascii="Times New Roman" w:hAnsi="Times New Roman" w:cs="Times New Roman"/>
                <w:b/>
                <w:bCs/>
                <w:sz w:val="24"/>
                <w:szCs w:val="24"/>
              </w:rPr>
            </w:pPr>
          </w:p>
          <w:p w14:paraId="157F0DEA" w14:textId="695E093A" w:rsidR="00CC715B" w:rsidRPr="009D74A3" w:rsidRDefault="001507D2" w:rsidP="00CC715B">
            <w:pPr>
              <w:jc w:val="both"/>
              <w:rPr>
                <w:rFonts w:ascii="Times New Roman" w:hAnsi="Times New Roman" w:cs="Times New Roman"/>
                <w:sz w:val="24"/>
                <w:szCs w:val="24"/>
              </w:rPr>
            </w:pPr>
            <w:r>
              <w:rPr>
                <w:rFonts w:ascii="Times New Roman" w:hAnsi="Times New Roman" w:cs="Times New Roman"/>
                <w:sz w:val="24"/>
                <w:szCs w:val="24"/>
              </w:rPr>
              <w:t>Por el contrario</w:t>
            </w:r>
            <w:r w:rsidR="00CC715B" w:rsidRPr="009D74A3">
              <w:rPr>
                <w:rFonts w:ascii="Times New Roman" w:hAnsi="Times New Roman" w:cs="Times New Roman"/>
                <w:sz w:val="24"/>
                <w:szCs w:val="24"/>
              </w:rPr>
              <w:t xml:space="preserve">, la </w:t>
            </w:r>
            <w:r w:rsidR="00CC715B" w:rsidRPr="46221FE5">
              <w:rPr>
                <w:rFonts w:ascii="Times New Roman" w:hAnsi="Times New Roman" w:cs="Times New Roman"/>
                <w:sz w:val="24"/>
                <w:szCs w:val="24"/>
              </w:rPr>
              <w:t>industria manufacturera ha registrado un crecimiento histórico débil en comparación con otras actividades económicas,</w:t>
            </w:r>
            <w:r w:rsidR="00CC715B" w:rsidRPr="009D74A3">
              <w:rPr>
                <w:rFonts w:ascii="Times New Roman" w:hAnsi="Times New Roman" w:cs="Times New Roman"/>
                <w:sz w:val="24"/>
                <w:szCs w:val="24"/>
              </w:rPr>
              <w:t xml:space="preserve"> lo que explica que haya perdido 6,2 p.p. en su participación en el valor agregado (</w:t>
            </w:r>
            <w:r w:rsidR="00CC715B" w:rsidRPr="009D74A3">
              <w:rPr>
                <w:rFonts w:ascii="Times New Roman" w:hAnsi="Times New Roman" w:cs="Times New Roman"/>
                <w:b/>
                <w:bCs/>
                <w:sz w:val="24"/>
                <w:szCs w:val="24"/>
              </w:rPr>
              <w:t>Gráfico 2</w:t>
            </w:r>
            <w:r w:rsidR="00CC715B" w:rsidRPr="009D74A3">
              <w:rPr>
                <w:rFonts w:ascii="Times New Roman" w:hAnsi="Times New Roman" w:cs="Times New Roman"/>
                <w:sz w:val="24"/>
                <w:szCs w:val="24"/>
              </w:rPr>
              <w:t>)</w:t>
            </w:r>
            <w:r>
              <w:rPr>
                <w:rFonts w:ascii="Times New Roman" w:hAnsi="Times New Roman" w:cs="Times New Roman"/>
                <w:sz w:val="24"/>
                <w:szCs w:val="24"/>
              </w:rPr>
              <w:t xml:space="preserve"> en las últimas décadas</w:t>
            </w:r>
            <w:r w:rsidR="00CC715B" w:rsidRPr="009D74A3">
              <w:rPr>
                <w:rFonts w:ascii="Times New Roman" w:hAnsi="Times New Roman" w:cs="Times New Roman"/>
                <w:sz w:val="24"/>
                <w:szCs w:val="24"/>
              </w:rPr>
              <w:t xml:space="preserve">. Aunque es importante tener en cuenta que “parte de la pérdida del valor agregado industrial se debe a la tercerización de procesos que antes se internalizaban en la producción industrial y que ahora se subcontratan (…) y </w:t>
            </w:r>
            <w:r w:rsidR="00CC715B" w:rsidRPr="46221FE5">
              <w:rPr>
                <w:rFonts w:ascii="Times New Roman" w:hAnsi="Times New Roman" w:cs="Times New Roman"/>
                <w:sz w:val="24"/>
                <w:szCs w:val="24"/>
              </w:rPr>
              <w:t>que en años anteriores hubo un fenómeno de desplazamiento de la industria intensiva en suelo hacia los municipios aledaños”</w:t>
            </w:r>
            <w:r w:rsidR="00CC715B" w:rsidRPr="46221FE5">
              <w:rPr>
                <w:rStyle w:val="Refdenotaalpie"/>
                <w:rFonts w:ascii="Times New Roman" w:hAnsi="Times New Roman" w:cs="Times New Roman"/>
                <w:sz w:val="24"/>
                <w:szCs w:val="24"/>
              </w:rPr>
              <w:footnoteReference w:id="2"/>
            </w:r>
            <w:r w:rsidR="00CC715B" w:rsidRPr="46221FE5">
              <w:rPr>
                <w:rFonts w:ascii="Times New Roman" w:hAnsi="Times New Roman" w:cs="Times New Roman"/>
                <w:sz w:val="24"/>
                <w:szCs w:val="24"/>
              </w:rPr>
              <w:t xml:space="preserve">, la industria sigue siendo un sector económicamente relevante para el Distrito Capital por la creación de empleos y sus fuertes enlaces productivos con el comercio, </w:t>
            </w:r>
            <w:r w:rsidR="001B0420" w:rsidRPr="00077220">
              <w:rPr>
                <w:rFonts w:ascii="Times New Roman" w:hAnsi="Times New Roman" w:cs="Times New Roman"/>
                <w:sz w:val="24"/>
                <w:szCs w:val="24"/>
              </w:rPr>
              <w:t xml:space="preserve">el </w:t>
            </w:r>
            <w:r w:rsidR="00CC715B" w:rsidRPr="46221FE5">
              <w:rPr>
                <w:rFonts w:ascii="Times New Roman" w:hAnsi="Times New Roman" w:cs="Times New Roman"/>
                <w:sz w:val="24"/>
                <w:szCs w:val="24"/>
              </w:rPr>
              <w:t>transporte y la construcción</w:t>
            </w:r>
            <w:r w:rsidR="005D08EA" w:rsidRPr="46221FE5">
              <w:rPr>
                <w:rFonts w:ascii="Times New Roman" w:hAnsi="Times New Roman" w:cs="Times New Roman"/>
                <w:sz w:val="24"/>
                <w:szCs w:val="24"/>
              </w:rPr>
              <w:t>,</w:t>
            </w:r>
            <w:r w:rsidR="00CC715B" w:rsidRPr="46221FE5">
              <w:rPr>
                <w:rFonts w:ascii="Times New Roman" w:hAnsi="Times New Roman" w:cs="Times New Roman"/>
                <w:sz w:val="24"/>
                <w:szCs w:val="24"/>
              </w:rPr>
              <w:t xml:space="preserve"> principalmente.</w:t>
            </w:r>
          </w:p>
          <w:p w14:paraId="6B7D16D4" w14:textId="77777777" w:rsidR="009D74A3" w:rsidRPr="009D74A3" w:rsidRDefault="009D74A3" w:rsidP="00CC715B">
            <w:pPr>
              <w:jc w:val="both"/>
              <w:rPr>
                <w:rFonts w:ascii="Times New Roman" w:hAnsi="Times New Roman" w:cs="Times New Roman"/>
                <w:sz w:val="24"/>
                <w:szCs w:val="24"/>
              </w:rPr>
            </w:pPr>
          </w:p>
          <w:p w14:paraId="464598FB" w14:textId="77777777" w:rsidR="00CC715B" w:rsidRPr="009D74A3" w:rsidRDefault="00CC715B" w:rsidP="00CC715B">
            <w:pPr>
              <w:jc w:val="both"/>
              <w:rPr>
                <w:rFonts w:ascii="Times New Roman" w:hAnsi="Times New Roman" w:cs="Times New Roman"/>
                <w:bCs/>
                <w:kern w:val="2"/>
                <w:sz w:val="24"/>
                <w:szCs w:val="24"/>
                <w14:ligatures w14:val="standardContextual"/>
              </w:rPr>
            </w:pPr>
            <w:r w:rsidRPr="009D74A3">
              <w:rPr>
                <w:rFonts w:ascii="Times New Roman" w:hAnsi="Times New Roman" w:cs="Times New Roman"/>
                <w:sz w:val="24"/>
                <w:szCs w:val="24"/>
              </w:rPr>
              <w:t xml:space="preserve">Por otro lado, de acuerdo con </w:t>
            </w:r>
            <w:r w:rsidRPr="009D74A3">
              <w:rPr>
                <w:rFonts w:ascii="Times New Roman" w:hAnsi="Times New Roman" w:cs="Times New Roman"/>
                <w:bCs/>
                <w:kern w:val="2"/>
                <w:sz w:val="24"/>
                <w:szCs w:val="24"/>
                <w14:ligatures w14:val="standardContextual"/>
              </w:rPr>
              <w:t>Consejo Privado de Competitividad y la Universidad del Rosario</w:t>
            </w:r>
            <w:r w:rsidRPr="009D74A3">
              <w:rPr>
                <w:rFonts w:ascii="Times New Roman" w:hAnsi="Times New Roman" w:cs="Times New Roman"/>
                <w:sz w:val="24"/>
                <w:szCs w:val="24"/>
              </w:rPr>
              <w:t xml:space="preserve">, Bogotá es la ciudad más competitiva del país. </w:t>
            </w:r>
            <w:r w:rsidRPr="009D74A3">
              <w:rPr>
                <w:rFonts w:ascii="Times New Roman" w:hAnsi="Times New Roman" w:cs="Times New Roman"/>
                <w:bCs/>
                <w:kern w:val="2"/>
                <w:sz w:val="24"/>
                <w:szCs w:val="24"/>
                <w14:ligatures w14:val="standardContextual"/>
              </w:rPr>
              <w:t>Según el informe del Índice Competitividad de Ciudades</w:t>
            </w:r>
            <w:r w:rsidRPr="009D74A3">
              <w:rPr>
                <w:rStyle w:val="Refdenotaalpie"/>
                <w:rFonts w:ascii="Times New Roman" w:hAnsi="Times New Roman" w:cs="Times New Roman"/>
                <w:bCs/>
                <w:kern w:val="2"/>
                <w:sz w:val="24"/>
                <w:szCs w:val="24"/>
                <w14:ligatures w14:val="standardContextual"/>
              </w:rPr>
              <w:footnoteReference w:id="3"/>
            </w:r>
            <w:r w:rsidRPr="009D74A3">
              <w:rPr>
                <w:rFonts w:ascii="Times New Roman" w:hAnsi="Times New Roman" w:cs="Times New Roman"/>
                <w:bCs/>
                <w:kern w:val="2"/>
                <w:sz w:val="24"/>
                <w:szCs w:val="24"/>
                <w14:ligatures w14:val="standardContextual"/>
              </w:rPr>
              <w:t xml:space="preserve"> (ICC) en 2024 el ICC de Bogotá se ubicó en 7,4; mayor en 0,1 al presentado en 2023 (7,3) (</w:t>
            </w:r>
            <w:r w:rsidRPr="009D74A3">
              <w:rPr>
                <w:rFonts w:ascii="Times New Roman" w:hAnsi="Times New Roman" w:cs="Times New Roman"/>
                <w:b/>
                <w:kern w:val="2"/>
                <w:sz w:val="24"/>
                <w:szCs w:val="24"/>
                <w14:ligatures w14:val="standardContextual"/>
              </w:rPr>
              <w:t>Gráfico 3</w:t>
            </w:r>
            <w:r w:rsidRPr="009D74A3">
              <w:rPr>
                <w:rFonts w:ascii="Times New Roman" w:hAnsi="Times New Roman" w:cs="Times New Roman"/>
                <w:bCs/>
                <w:kern w:val="2"/>
                <w:sz w:val="24"/>
                <w:szCs w:val="24"/>
                <w14:ligatures w14:val="standardContextual"/>
              </w:rPr>
              <w:t xml:space="preserve">), y manteniendo el primer lugar del ranking de las 32 ciudades capitales del país. </w:t>
            </w:r>
          </w:p>
          <w:p w14:paraId="770AC041" w14:textId="77777777" w:rsidR="00CC715B" w:rsidRPr="009D74A3" w:rsidRDefault="00CC715B" w:rsidP="00CC715B">
            <w:pPr>
              <w:jc w:val="both"/>
              <w:rPr>
                <w:rFonts w:ascii="Times New Roman" w:hAnsi="Times New Roman" w:cs="Times New Roman"/>
                <w:bCs/>
                <w:kern w:val="2"/>
                <w:sz w:val="24"/>
                <w:szCs w:val="24"/>
                <w14:ligatures w14:val="standardContextual"/>
              </w:rPr>
            </w:pPr>
          </w:p>
          <w:p w14:paraId="727E6D1B" w14:textId="77777777" w:rsidR="00CC715B" w:rsidRPr="009D74A3" w:rsidRDefault="00CC715B" w:rsidP="00CC715B">
            <w:pPr>
              <w:contextualSpacing/>
              <w:jc w:val="center"/>
              <w:rPr>
                <w:rFonts w:ascii="Times New Roman" w:hAnsi="Times New Roman" w:cs="Times New Roman"/>
                <w:b/>
              </w:rPr>
            </w:pPr>
            <w:r w:rsidRPr="009D74A3">
              <w:rPr>
                <w:rFonts w:ascii="Times New Roman" w:hAnsi="Times New Roman" w:cs="Times New Roman"/>
                <w:b/>
              </w:rPr>
              <w:t>Gráfico 3.</w:t>
            </w:r>
            <w:r w:rsidRPr="009D74A3">
              <w:rPr>
                <w:rFonts w:ascii="Times New Roman" w:hAnsi="Times New Roman" w:cs="Times New Roman"/>
                <w:b/>
              </w:rPr>
              <w:br/>
              <w:t>Índice de Competitividad de Ciudades</w:t>
            </w:r>
          </w:p>
          <w:p w14:paraId="772C896F" w14:textId="77777777" w:rsidR="00CC715B" w:rsidRPr="009D74A3" w:rsidRDefault="00CC715B" w:rsidP="00CC715B">
            <w:pPr>
              <w:contextualSpacing/>
              <w:jc w:val="center"/>
              <w:rPr>
                <w:rFonts w:ascii="Times New Roman" w:hAnsi="Times New Roman" w:cs="Times New Roman"/>
                <w:bCs/>
                <w:i/>
                <w:iCs/>
              </w:rPr>
            </w:pPr>
            <w:r w:rsidRPr="009D74A3">
              <w:rPr>
                <w:rFonts w:ascii="Times New Roman" w:hAnsi="Times New Roman" w:cs="Times New Roman"/>
                <w:bCs/>
                <w:i/>
                <w:iCs/>
              </w:rPr>
              <w:t>puntos</w:t>
            </w:r>
          </w:p>
          <w:p w14:paraId="02A1656F" w14:textId="77777777" w:rsidR="00CC715B" w:rsidRPr="009D74A3" w:rsidRDefault="00CC715B" w:rsidP="00CC715B">
            <w:pPr>
              <w:jc w:val="center"/>
              <w:rPr>
                <w:rFonts w:ascii="Times New Roman" w:hAnsi="Times New Roman" w:cs="Times New Roman"/>
                <w:bCs/>
                <w:kern w:val="2"/>
                <w:sz w:val="24"/>
                <w:szCs w:val="24"/>
                <w14:ligatures w14:val="standardContextual"/>
              </w:rPr>
            </w:pPr>
            <w:r w:rsidRPr="009D74A3">
              <w:rPr>
                <w:rFonts w:ascii="Times New Roman" w:hAnsi="Times New Roman" w:cs="Times New Roman"/>
                <w:bCs/>
                <w:noProof/>
                <w:kern w:val="2"/>
                <w:sz w:val="24"/>
                <w:szCs w:val="24"/>
                <w:lang w:eastAsia="es-CO"/>
                <w14:ligatures w14:val="standardContextual"/>
              </w:rPr>
              <w:drawing>
                <wp:inline distT="0" distB="0" distL="0" distR="0" wp14:anchorId="41C4350A" wp14:editId="1F33A20B">
                  <wp:extent cx="5578475" cy="1943100"/>
                  <wp:effectExtent l="0" t="0" r="0" b="0"/>
                  <wp:docPr id="153733059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78475" cy="1943100"/>
                          </a:xfrm>
                          <a:prstGeom prst="rect">
                            <a:avLst/>
                          </a:prstGeom>
                          <a:noFill/>
                        </pic:spPr>
                      </pic:pic>
                    </a:graphicData>
                  </a:graphic>
                </wp:inline>
              </w:drawing>
            </w:r>
          </w:p>
          <w:p w14:paraId="04BCFB6A" w14:textId="77777777" w:rsidR="00CC715B" w:rsidRPr="009D74A3" w:rsidRDefault="00CC715B" w:rsidP="00CC715B">
            <w:pPr>
              <w:ind w:left="918" w:right="897"/>
              <w:contextualSpacing/>
              <w:jc w:val="both"/>
              <w:rPr>
                <w:rFonts w:ascii="Times New Roman" w:hAnsi="Times New Roman" w:cs="Times New Roman"/>
                <w:sz w:val="20"/>
                <w:szCs w:val="20"/>
              </w:rPr>
            </w:pPr>
            <w:r w:rsidRPr="009D74A3">
              <w:rPr>
                <w:rFonts w:ascii="Times New Roman" w:hAnsi="Times New Roman" w:cs="Times New Roman"/>
                <w:b/>
                <w:sz w:val="20"/>
                <w:szCs w:val="20"/>
              </w:rPr>
              <w:t xml:space="preserve">Fuente: </w:t>
            </w:r>
            <w:r w:rsidRPr="009D74A3">
              <w:rPr>
                <w:rFonts w:ascii="Times New Roman" w:hAnsi="Times New Roman" w:cs="Times New Roman"/>
                <w:sz w:val="20"/>
                <w:szCs w:val="20"/>
              </w:rPr>
              <w:t>Consejo Privado de Competitividad y Universidad del Rosario.</w:t>
            </w:r>
          </w:p>
          <w:p w14:paraId="6105CBCD" w14:textId="77777777" w:rsidR="00CC715B" w:rsidRPr="009D74A3" w:rsidRDefault="00CC715B" w:rsidP="00CC715B">
            <w:pPr>
              <w:jc w:val="center"/>
              <w:rPr>
                <w:rFonts w:ascii="Times New Roman" w:hAnsi="Times New Roman" w:cs="Times New Roman"/>
                <w:bCs/>
                <w:kern w:val="2"/>
                <w:sz w:val="24"/>
                <w:szCs w:val="24"/>
                <w14:ligatures w14:val="standardContextual"/>
              </w:rPr>
            </w:pPr>
          </w:p>
          <w:p w14:paraId="36687472" w14:textId="78B69269" w:rsidR="00CC715B" w:rsidRPr="009D74A3" w:rsidRDefault="00CC715B" w:rsidP="00CC715B">
            <w:pPr>
              <w:tabs>
                <w:tab w:val="left" w:pos="7710"/>
              </w:tabs>
              <w:contextualSpacing/>
              <w:jc w:val="both"/>
              <w:rPr>
                <w:rFonts w:ascii="Times New Roman" w:hAnsi="Times New Roman" w:cs="Times New Roman"/>
              </w:rPr>
            </w:pPr>
            <w:r w:rsidRPr="009D74A3">
              <w:rPr>
                <w:rFonts w:ascii="Times New Roman" w:hAnsi="Times New Roman" w:cs="Times New Roman"/>
              </w:rPr>
              <w:t xml:space="preserve">De los 13 pilares que componen el ICC, Bogotá lidera el ranking en 7 de </w:t>
            </w:r>
            <w:r w:rsidR="005D08EA">
              <w:rPr>
                <w:rFonts w:ascii="Times New Roman" w:hAnsi="Times New Roman" w:cs="Times New Roman"/>
              </w:rPr>
              <w:t>ellos</w:t>
            </w:r>
            <w:r w:rsidRPr="009D74A3">
              <w:rPr>
                <w:rFonts w:ascii="Times New Roman" w:hAnsi="Times New Roman" w:cs="Times New Roman"/>
              </w:rPr>
              <w:t xml:space="preserve"> (instituciones, infraestructura y equipamiento, adopción TIC, educación superior y formación para el trabajo, entorno para los negocios, tamaño de mercado, e innovación) entre las 32 ciudades capitales del país. Lo que evidencia la gran capacidad que tiene el Distrito y la importancia que tiene a nivel nacional.</w:t>
            </w:r>
          </w:p>
          <w:p w14:paraId="60480311" w14:textId="77777777" w:rsidR="00CC715B" w:rsidRPr="009D74A3" w:rsidRDefault="00CC715B" w:rsidP="00CC715B">
            <w:pPr>
              <w:tabs>
                <w:tab w:val="left" w:pos="7710"/>
              </w:tabs>
              <w:contextualSpacing/>
              <w:jc w:val="both"/>
              <w:rPr>
                <w:rFonts w:ascii="Times New Roman" w:hAnsi="Times New Roman" w:cs="Times New Roman"/>
              </w:rPr>
            </w:pPr>
          </w:p>
          <w:p w14:paraId="45AA9238" w14:textId="77777777" w:rsidR="00CC715B" w:rsidRPr="009D74A3" w:rsidRDefault="00CC715B" w:rsidP="00CC715B">
            <w:pPr>
              <w:tabs>
                <w:tab w:val="left" w:pos="7710"/>
              </w:tabs>
              <w:contextualSpacing/>
              <w:jc w:val="both"/>
              <w:rPr>
                <w:rFonts w:ascii="Times New Roman" w:hAnsi="Times New Roman" w:cs="Times New Roman"/>
              </w:rPr>
            </w:pPr>
            <w:r w:rsidRPr="009D74A3">
              <w:rPr>
                <w:rFonts w:ascii="Times New Roman" w:hAnsi="Times New Roman" w:cs="Times New Roman"/>
              </w:rPr>
              <w:t xml:space="preserve">Para el caso de Bogotá, en 2024, cinco (5) pilares presentaron mejoría frente al 2023, dos (2) se mantuvieron estables, y seis (6) presentaron una disminución. Los pilares que mayores incrementos presentaron fueron: Instituciones (+0,7 puntos), Adopción TIC (+0,6 puntos), y Educación superior y formación para el trabajo (+0,5 puntos), los pilares que presentaron las caídas más grandes fueron: Infraestructura y equipamiento (-0,4 puntos), y Sostenibilidad ambiental (-0,3 puntos). Mientras que se mantuvieron estables: Mercado Laboral y Sistema Financiero. </w:t>
            </w:r>
          </w:p>
          <w:p w14:paraId="3BB84F87" w14:textId="77777777" w:rsidR="00CC715B" w:rsidRPr="009D74A3" w:rsidRDefault="00CC715B" w:rsidP="00CC715B">
            <w:pPr>
              <w:tabs>
                <w:tab w:val="left" w:pos="7710"/>
              </w:tabs>
              <w:contextualSpacing/>
              <w:jc w:val="both"/>
              <w:rPr>
                <w:rFonts w:ascii="Times New Roman" w:hAnsi="Times New Roman" w:cs="Times New Roman"/>
              </w:rPr>
            </w:pPr>
          </w:p>
          <w:p w14:paraId="28CFB813" w14:textId="77777777" w:rsidR="00CC715B" w:rsidRPr="009D74A3" w:rsidRDefault="00CC715B" w:rsidP="00CC715B">
            <w:pPr>
              <w:tabs>
                <w:tab w:val="left" w:pos="7710"/>
              </w:tabs>
              <w:contextualSpacing/>
              <w:jc w:val="both"/>
              <w:rPr>
                <w:rFonts w:ascii="Times New Roman" w:hAnsi="Times New Roman" w:cs="Times New Roman"/>
              </w:rPr>
            </w:pPr>
            <w:r w:rsidRPr="009D74A3">
              <w:rPr>
                <w:rFonts w:ascii="Times New Roman" w:hAnsi="Times New Roman" w:cs="Times New Roman"/>
              </w:rPr>
              <w:t xml:space="preserve">Dentro del factor de condiciones habilitantes, 3 de los 4 pilares que lo componen, se ubicaron en el primer lugar del ranking (Instituciones, Infraestructura y equipamiento, y Adopción TIC), mientras que en el pilar de sostenibilidad ambiental, se ubicó en la quinta posición, manteniendo su posición frente a la obtenida en 2023. </w:t>
            </w:r>
          </w:p>
          <w:p w14:paraId="43D57610" w14:textId="77777777" w:rsidR="00CC715B" w:rsidRPr="009D74A3" w:rsidRDefault="00CC715B" w:rsidP="00CC715B">
            <w:pPr>
              <w:tabs>
                <w:tab w:val="left" w:pos="7710"/>
              </w:tabs>
              <w:contextualSpacing/>
              <w:jc w:val="both"/>
              <w:rPr>
                <w:rFonts w:ascii="Times New Roman" w:hAnsi="Times New Roman" w:cs="Times New Roman"/>
              </w:rPr>
            </w:pPr>
          </w:p>
          <w:p w14:paraId="6F1F1063" w14:textId="77777777" w:rsidR="00CC715B" w:rsidRPr="009D74A3" w:rsidRDefault="00CC715B" w:rsidP="00CC715B">
            <w:pPr>
              <w:tabs>
                <w:tab w:val="left" w:pos="7710"/>
              </w:tabs>
              <w:contextualSpacing/>
              <w:jc w:val="both"/>
              <w:rPr>
                <w:rFonts w:ascii="Times New Roman" w:hAnsi="Times New Roman" w:cs="Times New Roman"/>
              </w:rPr>
            </w:pPr>
            <w:r w:rsidRPr="009D74A3">
              <w:rPr>
                <w:rFonts w:ascii="Times New Roman" w:hAnsi="Times New Roman" w:cs="Times New Roman"/>
              </w:rPr>
              <w:t>Dentro del pilar 1 (instituciones), se encuentra la categoría de gestión fiscal, la cual se compone de los indicadores de (i) autonomía fiscal</w:t>
            </w:r>
            <w:r w:rsidRPr="009D74A3">
              <w:rPr>
                <w:rStyle w:val="Refdenotaalpie"/>
                <w:rFonts w:ascii="Times New Roman" w:hAnsi="Times New Roman" w:cs="Times New Roman"/>
              </w:rPr>
              <w:footnoteReference w:id="4"/>
            </w:r>
            <w:r w:rsidRPr="009D74A3">
              <w:rPr>
                <w:rFonts w:ascii="Times New Roman" w:hAnsi="Times New Roman" w:cs="Times New Roman"/>
              </w:rPr>
              <w:t>, (ii) capacidad local de recaudo</w:t>
            </w:r>
            <w:r w:rsidRPr="009D74A3">
              <w:rPr>
                <w:rStyle w:val="Refdenotaalpie"/>
                <w:rFonts w:ascii="Times New Roman" w:hAnsi="Times New Roman" w:cs="Times New Roman"/>
              </w:rPr>
              <w:footnoteReference w:id="5"/>
            </w:r>
            <w:r w:rsidRPr="009D74A3">
              <w:rPr>
                <w:rFonts w:ascii="Times New Roman" w:hAnsi="Times New Roman" w:cs="Times New Roman"/>
              </w:rPr>
              <w:t>, y (iii) capacidad de ahorro</w:t>
            </w:r>
            <w:r w:rsidRPr="009D74A3">
              <w:rPr>
                <w:rStyle w:val="Refdenotaalpie"/>
                <w:rFonts w:ascii="Times New Roman" w:hAnsi="Times New Roman" w:cs="Times New Roman"/>
              </w:rPr>
              <w:footnoteReference w:id="6"/>
            </w:r>
            <w:r w:rsidRPr="009D74A3">
              <w:rPr>
                <w:rFonts w:ascii="Times New Roman" w:hAnsi="Times New Roman" w:cs="Times New Roman"/>
              </w:rPr>
              <w:t xml:space="preserve">. De las seis principales ciudades del país, Bogotá fue la ciudad que presentó un mejor puntaje en la categoría de gestión fiscal (8,04), seguida de Cartagena (7,15), Barranquilla y A.M. (6,82), Cali y A.M. (6,66), Medellín y A.M. (6,28) y Bucaramanga y A.M. (5,89).    </w:t>
            </w:r>
          </w:p>
          <w:p w14:paraId="15C4983C" w14:textId="77777777" w:rsidR="00CC715B" w:rsidRPr="009D74A3" w:rsidRDefault="00CC715B" w:rsidP="00CC715B">
            <w:pPr>
              <w:tabs>
                <w:tab w:val="left" w:pos="7710"/>
              </w:tabs>
              <w:contextualSpacing/>
              <w:jc w:val="both"/>
              <w:rPr>
                <w:rFonts w:ascii="Times New Roman" w:hAnsi="Times New Roman" w:cs="Times New Roman"/>
              </w:rPr>
            </w:pPr>
          </w:p>
          <w:p w14:paraId="3210E96C" w14:textId="379EE631" w:rsidR="00CC715B" w:rsidRPr="009D74A3" w:rsidRDefault="00CC715B" w:rsidP="00CC715B">
            <w:pPr>
              <w:tabs>
                <w:tab w:val="left" w:pos="7710"/>
              </w:tabs>
              <w:contextualSpacing/>
              <w:jc w:val="both"/>
              <w:rPr>
                <w:rFonts w:ascii="Times New Roman" w:hAnsi="Times New Roman" w:cs="Times New Roman"/>
              </w:rPr>
            </w:pPr>
            <w:r w:rsidRPr="009D74A3">
              <w:rPr>
                <w:rFonts w:ascii="Times New Roman" w:hAnsi="Times New Roman" w:cs="Times New Roman"/>
              </w:rPr>
              <w:t>El indicador que mayor puntuación presentó en la gestión fiscal de Bogotá en 2024 fue la capacidad de ahorro (9,95), seguido de autonomía fiscal (8,43), mientras que capacidad local de recaudo obtuvo 5,73 puntos. Entre 2023-2024, la capacidad de ahorro de la ciudad presentó el mayor incremento (+2,22 puntos), mientras que la capacidad local de recaudo se mantuvo prácticamente estable (</w:t>
            </w:r>
            <w:r w:rsidRPr="009D74A3">
              <w:rPr>
                <w:rFonts w:ascii="Times New Roman" w:hAnsi="Times New Roman" w:cs="Times New Roman"/>
                <w:b/>
                <w:bCs/>
              </w:rPr>
              <w:t>Gráfico 4</w:t>
            </w:r>
            <w:r w:rsidRPr="009D74A3">
              <w:rPr>
                <w:rFonts w:ascii="Times New Roman" w:hAnsi="Times New Roman" w:cs="Times New Roman"/>
              </w:rPr>
              <w:t xml:space="preserve">). </w:t>
            </w:r>
          </w:p>
          <w:p w14:paraId="4DD7B3D8" w14:textId="77777777" w:rsidR="00CC715B" w:rsidRPr="009D74A3" w:rsidRDefault="00CC715B" w:rsidP="00CC715B">
            <w:pPr>
              <w:tabs>
                <w:tab w:val="left" w:pos="7710"/>
              </w:tabs>
              <w:contextualSpacing/>
              <w:jc w:val="both"/>
              <w:rPr>
                <w:rFonts w:ascii="Times New Roman" w:hAnsi="Times New Roman" w:cs="Times New Roman"/>
              </w:rPr>
            </w:pPr>
          </w:p>
          <w:p w14:paraId="671B369D" w14:textId="77777777" w:rsidR="00CC715B" w:rsidRPr="009D74A3" w:rsidRDefault="00CC715B" w:rsidP="00CC715B">
            <w:pPr>
              <w:contextualSpacing/>
              <w:jc w:val="center"/>
              <w:rPr>
                <w:rFonts w:ascii="Times New Roman" w:hAnsi="Times New Roman" w:cs="Times New Roman"/>
                <w:b/>
              </w:rPr>
            </w:pPr>
            <w:r w:rsidRPr="009D74A3">
              <w:rPr>
                <w:rFonts w:ascii="Times New Roman" w:hAnsi="Times New Roman" w:cs="Times New Roman"/>
                <w:b/>
              </w:rPr>
              <w:t>Gráfico 4.</w:t>
            </w:r>
            <w:r w:rsidRPr="009D74A3">
              <w:rPr>
                <w:rFonts w:ascii="Times New Roman" w:hAnsi="Times New Roman" w:cs="Times New Roman"/>
                <w:b/>
              </w:rPr>
              <w:br/>
              <w:t>ICC – Pilar instituciones – Categoría gestión fiscal de Bogotá – 2024</w:t>
            </w:r>
          </w:p>
          <w:p w14:paraId="1A0B1A60" w14:textId="77777777" w:rsidR="00CC715B" w:rsidRPr="009D74A3" w:rsidRDefault="00CC715B" w:rsidP="00CC715B">
            <w:pPr>
              <w:contextualSpacing/>
              <w:jc w:val="center"/>
              <w:rPr>
                <w:rFonts w:ascii="Times New Roman" w:hAnsi="Times New Roman" w:cs="Times New Roman"/>
              </w:rPr>
            </w:pPr>
            <w:r w:rsidRPr="009D74A3">
              <w:rPr>
                <w:rFonts w:ascii="Times New Roman" w:hAnsi="Times New Roman" w:cs="Times New Roman"/>
                <w:bCs/>
                <w:i/>
                <w:iCs/>
              </w:rPr>
              <w:t>puntos</w:t>
            </w:r>
          </w:p>
          <w:p w14:paraId="36FF9996" w14:textId="77777777" w:rsidR="00CC715B" w:rsidRPr="009D74A3" w:rsidRDefault="00CC715B" w:rsidP="00CC715B">
            <w:pPr>
              <w:tabs>
                <w:tab w:val="left" w:pos="7710"/>
              </w:tabs>
              <w:contextualSpacing/>
              <w:jc w:val="center"/>
              <w:rPr>
                <w:rFonts w:ascii="Times New Roman" w:hAnsi="Times New Roman" w:cs="Times New Roman"/>
              </w:rPr>
            </w:pPr>
            <w:r w:rsidRPr="009D74A3">
              <w:rPr>
                <w:rFonts w:ascii="Times New Roman" w:hAnsi="Times New Roman" w:cs="Times New Roman"/>
                <w:noProof/>
                <w:lang w:eastAsia="es-CO"/>
              </w:rPr>
              <w:drawing>
                <wp:inline distT="0" distB="0" distL="0" distR="0" wp14:anchorId="1ADC3892" wp14:editId="0D72F1D7">
                  <wp:extent cx="3562350" cy="1914525"/>
                  <wp:effectExtent l="0" t="0" r="0" b="9525"/>
                  <wp:docPr id="375790915"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71338" cy="1919355"/>
                          </a:xfrm>
                          <a:prstGeom prst="rect">
                            <a:avLst/>
                          </a:prstGeom>
                          <a:noFill/>
                        </pic:spPr>
                      </pic:pic>
                    </a:graphicData>
                  </a:graphic>
                </wp:inline>
              </w:drawing>
            </w:r>
          </w:p>
          <w:p w14:paraId="06B3D8A0" w14:textId="77777777" w:rsidR="00CC715B" w:rsidRPr="009D74A3" w:rsidRDefault="00CC715B" w:rsidP="00CC715B">
            <w:pPr>
              <w:tabs>
                <w:tab w:val="left" w:pos="7710"/>
              </w:tabs>
              <w:contextualSpacing/>
              <w:jc w:val="center"/>
              <w:rPr>
                <w:rFonts w:ascii="Times New Roman" w:hAnsi="Times New Roman" w:cs="Times New Roman"/>
              </w:rPr>
            </w:pPr>
            <w:r w:rsidRPr="009D74A3">
              <w:rPr>
                <w:rFonts w:ascii="Times New Roman" w:hAnsi="Times New Roman" w:cs="Times New Roman"/>
                <w:b/>
                <w:sz w:val="20"/>
                <w:szCs w:val="20"/>
              </w:rPr>
              <w:t xml:space="preserve">Fuente: </w:t>
            </w:r>
            <w:r w:rsidRPr="009D74A3">
              <w:rPr>
                <w:rFonts w:ascii="Times New Roman" w:hAnsi="Times New Roman" w:cs="Times New Roman"/>
                <w:sz w:val="20"/>
                <w:szCs w:val="20"/>
              </w:rPr>
              <w:t>Consejo Privado de Competitividad y Universidad del Rosario.</w:t>
            </w:r>
          </w:p>
          <w:p w14:paraId="3C8A3064" w14:textId="77777777" w:rsidR="00CC715B" w:rsidRPr="009D74A3" w:rsidRDefault="00CC715B" w:rsidP="00CC715B">
            <w:pPr>
              <w:tabs>
                <w:tab w:val="left" w:pos="7710"/>
              </w:tabs>
              <w:contextualSpacing/>
              <w:jc w:val="both"/>
              <w:rPr>
                <w:rFonts w:ascii="Times New Roman" w:hAnsi="Times New Roman" w:cs="Times New Roman"/>
              </w:rPr>
            </w:pPr>
          </w:p>
          <w:p w14:paraId="1C6F43FF" w14:textId="366DE87F" w:rsidR="00CC715B" w:rsidRPr="009D74A3" w:rsidRDefault="00CC715B" w:rsidP="00CC715B">
            <w:pPr>
              <w:tabs>
                <w:tab w:val="left" w:pos="7710"/>
              </w:tabs>
              <w:contextualSpacing/>
              <w:jc w:val="both"/>
              <w:rPr>
                <w:rFonts w:ascii="Times New Roman" w:hAnsi="Times New Roman" w:cs="Times New Roman"/>
              </w:rPr>
            </w:pPr>
            <w:r w:rsidRPr="009D74A3">
              <w:rPr>
                <w:rFonts w:ascii="Times New Roman" w:hAnsi="Times New Roman" w:cs="Times New Roman"/>
              </w:rPr>
              <w:t>De acuerdo con el ICC, la gestión fiscal de Bogotá en 2024 presentó un incremento de 1,21 puntos frente a lo observado en el año anterior; inferior al crecimiento observado en Cartagena (1,54 puntos), aunque superior al registrado en Barranquilla A.M. (0,69 puntos), mientras que las ciudades de: Medellín A.M., Bucaramanga A.M. y Cali A.M. presentaron una disminución de la gestión fiscal. Al observar la dinámica de los indicadores, Bogotá y Cartagena fueron las únicas ciudades que no presentaron disminuciones de ninguno de los tres indicadores. Además, Bogotá fue la ciudad que mayor crecimiento presentó en el indicador de capacidad de ahorro; mientras que presentó el menor desempeño en el indicador de capacidad de recaudo local en el conjunto de ciudades analizadas. Por su parte Cartagena presentó una recuperación más uniforme de todos sus indicadores</w:t>
            </w:r>
            <w:r w:rsidR="00154A01">
              <w:rPr>
                <w:rFonts w:ascii="Times New Roman" w:hAnsi="Times New Roman" w:cs="Times New Roman"/>
              </w:rPr>
              <w:t xml:space="preserve"> (</w:t>
            </w:r>
            <w:r w:rsidR="00154A01" w:rsidRPr="00154A01">
              <w:rPr>
                <w:rFonts w:ascii="Times New Roman" w:hAnsi="Times New Roman" w:cs="Times New Roman"/>
                <w:b/>
                <w:bCs/>
              </w:rPr>
              <w:t>Tabla 2</w:t>
            </w:r>
            <w:r w:rsidR="00154A01">
              <w:rPr>
                <w:rFonts w:ascii="Times New Roman" w:hAnsi="Times New Roman" w:cs="Times New Roman"/>
              </w:rPr>
              <w:t>)</w:t>
            </w:r>
            <w:r w:rsidRPr="009D74A3">
              <w:rPr>
                <w:rFonts w:ascii="Times New Roman" w:hAnsi="Times New Roman" w:cs="Times New Roman"/>
              </w:rPr>
              <w:t xml:space="preserve">. </w:t>
            </w:r>
          </w:p>
          <w:p w14:paraId="7390550A" w14:textId="77777777" w:rsidR="00CC715B" w:rsidRPr="009D74A3" w:rsidRDefault="00CC715B" w:rsidP="00CC715B">
            <w:pPr>
              <w:tabs>
                <w:tab w:val="left" w:pos="7710"/>
              </w:tabs>
              <w:contextualSpacing/>
              <w:jc w:val="both"/>
              <w:rPr>
                <w:rFonts w:ascii="Times New Roman" w:hAnsi="Times New Roman" w:cs="Times New Roman"/>
              </w:rPr>
            </w:pPr>
          </w:p>
          <w:p w14:paraId="031B64CF" w14:textId="77777777" w:rsidR="00CC715B" w:rsidRPr="009D74A3" w:rsidRDefault="00CC715B" w:rsidP="00CC715B">
            <w:pPr>
              <w:contextualSpacing/>
              <w:jc w:val="center"/>
              <w:rPr>
                <w:rFonts w:ascii="Times New Roman" w:hAnsi="Times New Roman" w:cs="Times New Roman"/>
                <w:b/>
              </w:rPr>
            </w:pPr>
            <w:r w:rsidRPr="009D74A3">
              <w:rPr>
                <w:rFonts w:ascii="Times New Roman" w:hAnsi="Times New Roman" w:cs="Times New Roman"/>
                <w:b/>
              </w:rPr>
              <w:t>Tabla 2.</w:t>
            </w:r>
            <w:r w:rsidRPr="009D74A3">
              <w:rPr>
                <w:rFonts w:ascii="Times New Roman" w:hAnsi="Times New Roman" w:cs="Times New Roman"/>
                <w:b/>
              </w:rPr>
              <w:br/>
              <w:t xml:space="preserve">ICC – Pilar instituciones – Categoría gestión fiscal – 2024 </w:t>
            </w:r>
          </w:p>
          <w:p w14:paraId="4CF71C8F" w14:textId="77777777" w:rsidR="00CC715B" w:rsidRPr="009D74A3" w:rsidRDefault="00CC715B" w:rsidP="00CC715B">
            <w:pPr>
              <w:contextualSpacing/>
              <w:jc w:val="center"/>
              <w:rPr>
                <w:rFonts w:ascii="Times New Roman" w:hAnsi="Times New Roman" w:cs="Times New Roman"/>
                <w:bCs/>
                <w:i/>
                <w:iCs/>
              </w:rPr>
            </w:pPr>
            <w:r w:rsidRPr="009D74A3">
              <w:rPr>
                <w:rFonts w:ascii="Times New Roman" w:hAnsi="Times New Roman" w:cs="Times New Roman"/>
                <w:bCs/>
                <w:i/>
                <w:iCs/>
              </w:rPr>
              <w:t xml:space="preserve">Diferencia anual </w:t>
            </w:r>
          </w:p>
          <w:p w14:paraId="3F0F7F1B" w14:textId="77777777" w:rsidR="00CC715B" w:rsidRPr="009D74A3" w:rsidRDefault="00CC715B" w:rsidP="00CC715B">
            <w:pPr>
              <w:tabs>
                <w:tab w:val="left" w:pos="7710"/>
              </w:tabs>
              <w:contextualSpacing/>
              <w:jc w:val="center"/>
              <w:rPr>
                <w:rFonts w:ascii="Times New Roman" w:hAnsi="Times New Roman" w:cs="Times New Roman"/>
              </w:rPr>
            </w:pPr>
            <w:r w:rsidRPr="009D74A3">
              <w:rPr>
                <w:rFonts w:ascii="Times New Roman" w:hAnsi="Times New Roman" w:cs="Times New Roman"/>
                <w:noProof/>
                <w:lang w:eastAsia="es-CO"/>
              </w:rPr>
              <w:drawing>
                <wp:inline distT="0" distB="0" distL="0" distR="0" wp14:anchorId="0DB46C72" wp14:editId="5DB112C0">
                  <wp:extent cx="4056513" cy="1154430"/>
                  <wp:effectExtent l="0" t="0" r="1270" b="7620"/>
                  <wp:docPr id="138924877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89147" cy="1163717"/>
                          </a:xfrm>
                          <a:prstGeom prst="rect">
                            <a:avLst/>
                          </a:prstGeom>
                          <a:noFill/>
                          <a:ln>
                            <a:noFill/>
                          </a:ln>
                        </pic:spPr>
                      </pic:pic>
                    </a:graphicData>
                  </a:graphic>
                </wp:inline>
              </w:drawing>
            </w:r>
          </w:p>
          <w:p w14:paraId="508C0187" w14:textId="77777777" w:rsidR="00CC715B" w:rsidRPr="009D74A3" w:rsidRDefault="00CC715B" w:rsidP="00CC715B">
            <w:pPr>
              <w:ind w:left="1768" w:right="1784"/>
              <w:contextualSpacing/>
              <w:jc w:val="both"/>
              <w:rPr>
                <w:rFonts w:ascii="Times New Roman" w:hAnsi="Times New Roman" w:cs="Times New Roman"/>
                <w:sz w:val="20"/>
                <w:szCs w:val="20"/>
              </w:rPr>
            </w:pPr>
            <w:r w:rsidRPr="009D74A3">
              <w:rPr>
                <w:rFonts w:ascii="Times New Roman" w:hAnsi="Times New Roman" w:cs="Times New Roman"/>
                <w:b/>
                <w:sz w:val="20"/>
                <w:szCs w:val="20"/>
              </w:rPr>
              <w:t>Cálculos:</w:t>
            </w:r>
            <w:r w:rsidRPr="009D74A3">
              <w:rPr>
                <w:rFonts w:ascii="Times New Roman" w:hAnsi="Times New Roman" w:cs="Times New Roman"/>
                <w:bCs/>
                <w:sz w:val="20"/>
                <w:szCs w:val="20"/>
              </w:rPr>
              <w:t xml:space="preserve"> Secretaría Distrital de Hacienda basada en información del </w:t>
            </w:r>
            <w:r w:rsidRPr="009D74A3">
              <w:rPr>
                <w:rFonts w:ascii="Times New Roman" w:hAnsi="Times New Roman" w:cs="Times New Roman"/>
                <w:sz w:val="20"/>
                <w:szCs w:val="20"/>
              </w:rPr>
              <w:t>Consejo Privado de Competitividad y Universidad del Rosario.</w:t>
            </w:r>
          </w:p>
          <w:p w14:paraId="26238644" w14:textId="77777777" w:rsidR="00CC715B" w:rsidRPr="009D74A3" w:rsidRDefault="00CC715B" w:rsidP="00CC715B">
            <w:pPr>
              <w:tabs>
                <w:tab w:val="left" w:pos="7710"/>
              </w:tabs>
              <w:contextualSpacing/>
              <w:jc w:val="center"/>
              <w:rPr>
                <w:rFonts w:ascii="Times New Roman" w:hAnsi="Times New Roman" w:cs="Times New Roman"/>
              </w:rPr>
            </w:pPr>
          </w:p>
          <w:p w14:paraId="3BE29999" w14:textId="77777777" w:rsidR="00CC715B" w:rsidRPr="009D74A3" w:rsidRDefault="00CC715B" w:rsidP="00CC715B">
            <w:pPr>
              <w:jc w:val="both"/>
              <w:rPr>
                <w:rFonts w:ascii="Times New Roman" w:hAnsi="Times New Roman" w:cs="Times New Roman"/>
                <w:sz w:val="24"/>
                <w:szCs w:val="24"/>
              </w:rPr>
            </w:pPr>
            <w:r w:rsidRPr="009D74A3">
              <w:rPr>
                <w:rFonts w:ascii="Times New Roman" w:hAnsi="Times New Roman" w:cs="Times New Roman"/>
                <w:sz w:val="24"/>
                <w:szCs w:val="24"/>
              </w:rPr>
              <w:t xml:space="preserve">El contexto económico general de la ciudad, descrito anteriormente, es lo que ha permitido un aumento en la inversión en capital productivo, lo cual es fundamental para impulsar la actividad económica, generar empleo y ampliar la capacidad productiva de la ciudad. Por ello, resulta prioritario </w:t>
            </w:r>
            <w:r w:rsidRPr="46221FE5">
              <w:rPr>
                <w:rFonts w:ascii="Times New Roman" w:hAnsi="Times New Roman" w:cs="Times New Roman"/>
                <w:sz w:val="24"/>
                <w:szCs w:val="24"/>
              </w:rPr>
              <w:t>implementar medidas que reduzcan el costo de uso del capital y atraigan mayores flujos de inversión, especialmente extranjera,</w:t>
            </w:r>
            <w:r w:rsidRPr="009D74A3">
              <w:rPr>
                <w:rFonts w:ascii="Times New Roman" w:hAnsi="Times New Roman" w:cs="Times New Roman"/>
                <w:sz w:val="24"/>
                <w:szCs w:val="24"/>
              </w:rPr>
              <w:t xml:space="preserve"> como mecanismo para dinamizar la economía y mejorar el bienestar de la población.</w:t>
            </w:r>
          </w:p>
          <w:p w14:paraId="7F2B5393" w14:textId="77777777" w:rsidR="00CC715B" w:rsidRPr="009D74A3" w:rsidRDefault="00CC715B" w:rsidP="00CC715B">
            <w:pPr>
              <w:jc w:val="both"/>
              <w:rPr>
                <w:rFonts w:ascii="Times New Roman" w:hAnsi="Times New Roman" w:cs="Times New Roman"/>
                <w:sz w:val="24"/>
                <w:szCs w:val="24"/>
              </w:rPr>
            </w:pPr>
          </w:p>
          <w:p w14:paraId="3C323C2B" w14:textId="77777777" w:rsidR="00CC715B" w:rsidRPr="009D74A3" w:rsidRDefault="00CC715B" w:rsidP="00CC715B">
            <w:pPr>
              <w:jc w:val="both"/>
              <w:rPr>
                <w:rFonts w:ascii="Times New Roman" w:hAnsi="Times New Roman" w:cs="Times New Roman"/>
                <w:sz w:val="24"/>
                <w:szCs w:val="24"/>
              </w:rPr>
            </w:pPr>
            <w:r w:rsidRPr="009D74A3">
              <w:rPr>
                <w:rFonts w:ascii="Times New Roman" w:hAnsi="Times New Roman" w:cs="Times New Roman"/>
                <w:sz w:val="24"/>
                <w:szCs w:val="24"/>
              </w:rPr>
              <w:t>El entorno internacional presenta desafíos significativos para alcanzar este propósito. De acuerdo con el Informe sobre las Inversiones en el Mundo 2025</w:t>
            </w:r>
            <w:r w:rsidRPr="009D74A3">
              <w:rPr>
                <w:rStyle w:val="Refdenotaalpie"/>
                <w:rFonts w:ascii="Times New Roman" w:hAnsi="Times New Roman" w:cs="Times New Roman"/>
                <w:sz w:val="24"/>
                <w:szCs w:val="24"/>
              </w:rPr>
              <w:footnoteReference w:id="7"/>
            </w:r>
            <w:r w:rsidRPr="009D74A3">
              <w:rPr>
                <w:rFonts w:ascii="Times New Roman" w:hAnsi="Times New Roman" w:cs="Times New Roman"/>
                <w:sz w:val="24"/>
                <w:szCs w:val="24"/>
              </w:rPr>
              <w:t>, “aunque la inversión extranjera directa (IED) mundial aumentó un 4% en 2024 hasta 1,5 billones de dólares, este incremento se explica en buena parte por la alta volatilidad de ciertos flujos financieros que circularon por varias economías europeas, utilizadas como intermediarios en el tránsito de inversiones”. Adicionalmente, la incertidumbre, las tensiones geopolíticas y la intensificación del uso de políticas arancelarias también han afectado el mapa global de inversiones. El mismo informe destaca que “América Latina y el Caribe experimentó un descenso del 12% en los flujos totales, aunque aumentaron los anuncios de proyectos nuevos en mercados clave como Argentina, Brasil y México”.</w:t>
            </w:r>
          </w:p>
          <w:p w14:paraId="6E3B0A92" w14:textId="77777777" w:rsidR="00CC715B" w:rsidRPr="009D74A3" w:rsidRDefault="00CC715B" w:rsidP="00CC715B">
            <w:pPr>
              <w:jc w:val="both"/>
              <w:rPr>
                <w:rFonts w:ascii="Times New Roman" w:hAnsi="Times New Roman" w:cs="Times New Roman"/>
                <w:sz w:val="24"/>
                <w:szCs w:val="24"/>
              </w:rPr>
            </w:pPr>
          </w:p>
          <w:p w14:paraId="6A1171C8" w14:textId="7B3F75D7" w:rsidR="00CC715B" w:rsidRPr="009D74A3" w:rsidRDefault="00CC715B" w:rsidP="00CC715B">
            <w:pPr>
              <w:jc w:val="both"/>
              <w:rPr>
                <w:rFonts w:ascii="Times New Roman" w:hAnsi="Times New Roman" w:cs="Times New Roman"/>
                <w:sz w:val="24"/>
                <w:szCs w:val="24"/>
              </w:rPr>
            </w:pPr>
            <w:r w:rsidRPr="009D74A3">
              <w:rPr>
                <w:rFonts w:ascii="Times New Roman" w:hAnsi="Times New Roman" w:cs="Times New Roman"/>
                <w:sz w:val="24"/>
                <w:szCs w:val="24"/>
              </w:rPr>
              <w:t xml:space="preserve">Por ciudades, </w:t>
            </w:r>
            <w:r w:rsidRPr="46221FE5">
              <w:rPr>
                <w:rFonts w:ascii="Times New Roman" w:hAnsi="Times New Roman" w:cs="Times New Roman"/>
                <w:sz w:val="24"/>
                <w:szCs w:val="24"/>
              </w:rPr>
              <w:t>Bogotá sigue siendo la tercera ciudad de América Latina y el Caribe con mayor captación de proyectos de nueva IED y de expansión en 2024,</w:t>
            </w:r>
            <w:r w:rsidRPr="009D74A3">
              <w:rPr>
                <w:rFonts w:ascii="Times New Roman" w:hAnsi="Times New Roman" w:cs="Times New Roman"/>
                <w:sz w:val="24"/>
                <w:szCs w:val="24"/>
              </w:rPr>
              <w:t xml:space="preserve"> por detrás de Ciudad de México y Sao Paulo. De acuerdo con Invest in Bogotá, </w:t>
            </w:r>
            <w:r w:rsidR="00747816">
              <w:rPr>
                <w:rFonts w:ascii="Times New Roman" w:hAnsi="Times New Roman" w:cs="Times New Roman"/>
                <w:sz w:val="24"/>
                <w:szCs w:val="24"/>
              </w:rPr>
              <w:t xml:space="preserve">en 2024 </w:t>
            </w:r>
            <w:r w:rsidRPr="009D74A3">
              <w:rPr>
                <w:rFonts w:ascii="Times New Roman" w:hAnsi="Times New Roman" w:cs="Times New Roman"/>
                <w:sz w:val="24"/>
                <w:szCs w:val="24"/>
              </w:rPr>
              <w:t>Bogotá-Región registró 105 proyectos de inversión nueva y de expansión, lo que representó un crecimiento del 117 % respecto al año anterior</w:t>
            </w:r>
            <w:r w:rsidRPr="009D74A3">
              <w:rPr>
                <w:rStyle w:val="Refdenotaalpie"/>
                <w:rFonts w:ascii="Times New Roman" w:hAnsi="Times New Roman" w:cs="Times New Roman"/>
                <w:sz w:val="24"/>
                <w:szCs w:val="24"/>
              </w:rPr>
              <w:footnoteReference w:id="8"/>
            </w:r>
            <w:r w:rsidRPr="009D74A3">
              <w:rPr>
                <w:rFonts w:ascii="Times New Roman" w:hAnsi="Times New Roman" w:cs="Times New Roman"/>
                <w:sz w:val="24"/>
                <w:szCs w:val="24"/>
              </w:rPr>
              <w:t xml:space="preserve">. Los sectores de </w:t>
            </w:r>
            <w:r w:rsidRPr="009D74A3">
              <w:rPr>
                <w:rFonts w:ascii="Times New Roman" w:hAnsi="Times New Roman" w:cs="Times New Roman"/>
                <w:i/>
                <w:iCs/>
                <w:sz w:val="24"/>
                <w:szCs w:val="24"/>
              </w:rPr>
              <w:t xml:space="preserve">retail </w:t>
            </w:r>
            <w:r w:rsidRPr="009D74A3">
              <w:rPr>
                <w:rFonts w:ascii="Times New Roman" w:hAnsi="Times New Roman" w:cs="Times New Roman"/>
                <w:sz w:val="24"/>
                <w:szCs w:val="24"/>
              </w:rPr>
              <w:t xml:space="preserve">y productos de consumo, servicios corporativos, y software y servicios TI atrajeron el 50% de la IED en la región. Adicionalmente, también creció el monto promedio de inversión en Bogotá Región, desde USD 6,7 millones en 2023 a USD 24,6 millones en 2024. Sin embargo, los proyectos de mayor valor han llegado a los municipios aledaños: dos </w:t>
            </w:r>
            <w:r w:rsidRPr="009D74A3">
              <w:rPr>
                <w:rFonts w:ascii="Times New Roman" w:hAnsi="Times New Roman" w:cs="Times New Roman"/>
                <w:i/>
                <w:sz w:val="24"/>
                <w:szCs w:val="24"/>
              </w:rPr>
              <w:t>data center</w:t>
            </w:r>
            <w:r w:rsidRPr="009D74A3">
              <w:rPr>
                <w:rFonts w:ascii="Times New Roman" w:hAnsi="Times New Roman" w:cs="Times New Roman"/>
                <w:sz w:val="24"/>
                <w:szCs w:val="24"/>
              </w:rPr>
              <w:t xml:space="preserve"> en Mosquera y Tenjo (USD 650 millones), un centro logístico en Cota (USD 130 millones) y una planta de producción de vidrio en Zipaquirá (USD 120 millones).</w:t>
            </w:r>
          </w:p>
          <w:p w14:paraId="3A46F17B" w14:textId="77777777" w:rsidR="00CC715B" w:rsidRPr="009D74A3" w:rsidRDefault="00CC715B" w:rsidP="00CC715B">
            <w:pPr>
              <w:jc w:val="both"/>
              <w:rPr>
                <w:rFonts w:ascii="Times New Roman" w:hAnsi="Times New Roman" w:cs="Times New Roman"/>
                <w:sz w:val="24"/>
                <w:szCs w:val="24"/>
              </w:rPr>
            </w:pPr>
          </w:p>
          <w:p w14:paraId="4EAABDC5" w14:textId="77777777" w:rsidR="00CC715B" w:rsidRPr="009D74A3" w:rsidRDefault="00CC715B" w:rsidP="00CC715B">
            <w:pPr>
              <w:contextualSpacing/>
              <w:jc w:val="center"/>
              <w:rPr>
                <w:rFonts w:ascii="Times New Roman" w:hAnsi="Times New Roman" w:cs="Times New Roman"/>
                <w:b/>
              </w:rPr>
            </w:pPr>
            <w:r w:rsidRPr="009D74A3">
              <w:rPr>
                <w:rFonts w:ascii="Times New Roman" w:hAnsi="Times New Roman" w:cs="Times New Roman"/>
                <w:b/>
              </w:rPr>
              <w:t>Gráfico 5.</w:t>
            </w:r>
          </w:p>
          <w:p w14:paraId="073F105A" w14:textId="77777777" w:rsidR="00CC715B" w:rsidRPr="009D74A3" w:rsidRDefault="00CC715B" w:rsidP="00CC715B">
            <w:pPr>
              <w:contextualSpacing/>
              <w:jc w:val="center"/>
              <w:rPr>
                <w:rFonts w:ascii="Times New Roman" w:hAnsi="Times New Roman" w:cs="Times New Roman"/>
                <w:b/>
              </w:rPr>
            </w:pPr>
            <w:r w:rsidRPr="009D74A3">
              <w:rPr>
                <w:rFonts w:ascii="Times New Roman" w:hAnsi="Times New Roman" w:cs="Times New Roman"/>
                <w:b/>
              </w:rPr>
              <w:t>Montos acumulados de IED en Bogotá y el resto del país</w:t>
            </w:r>
          </w:p>
          <w:p w14:paraId="196301BF" w14:textId="77777777" w:rsidR="00CC715B" w:rsidRPr="009D74A3" w:rsidRDefault="00CC715B" w:rsidP="00CC715B">
            <w:pPr>
              <w:spacing w:after="10"/>
              <w:jc w:val="center"/>
              <w:rPr>
                <w:rFonts w:ascii="Times New Roman" w:hAnsi="Times New Roman" w:cs="Times New Roman"/>
                <w:sz w:val="24"/>
                <w:szCs w:val="24"/>
              </w:rPr>
            </w:pPr>
            <w:r w:rsidRPr="009D74A3">
              <w:rPr>
                <w:rFonts w:ascii="Times New Roman" w:hAnsi="Times New Roman" w:cs="Times New Roman"/>
                <w:bCs/>
                <w:i/>
                <w:iCs/>
              </w:rPr>
              <w:t>Millones de dólares estadounidenses</w:t>
            </w:r>
            <w:r w:rsidRPr="009D74A3">
              <w:rPr>
                <w:rFonts w:ascii="Times New Roman" w:hAnsi="Times New Roman" w:cs="Times New Roman"/>
                <w:noProof/>
                <w:sz w:val="24"/>
                <w:szCs w:val="24"/>
                <w:lang w:eastAsia="es-CO"/>
              </w:rPr>
              <w:drawing>
                <wp:inline distT="0" distB="0" distL="0" distR="0" wp14:anchorId="6D293892" wp14:editId="616C3DA9">
                  <wp:extent cx="5530325" cy="2092325"/>
                  <wp:effectExtent l="0" t="0" r="0" b="3175"/>
                  <wp:docPr id="736073334"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61369" cy="2104070"/>
                          </a:xfrm>
                          <a:prstGeom prst="rect">
                            <a:avLst/>
                          </a:prstGeom>
                          <a:noFill/>
                        </pic:spPr>
                      </pic:pic>
                    </a:graphicData>
                  </a:graphic>
                </wp:inline>
              </w:drawing>
            </w:r>
          </w:p>
          <w:p w14:paraId="0646C6F2" w14:textId="77777777" w:rsidR="00CC715B" w:rsidRPr="009D74A3" w:rsidRDefault="00CC715B" w:rsidP="00CC715B">
            <w:pPr>
              <w:ind w:left="634" w:right="897"/>
              <w:contextualSpacing/>
              <w:jc w:val="both"/>
              <w:rPr>
                <w:rFonts w:ascii="Times New Roman" w:hAnsi="Times New Roman" w:cs="Times New Roman"/>
                <w:sz w:val="20"/>
                <w:szCs w:val="20"/>
              </w:rPr>
            </w:pPr>
            <w:r w:rsidRPr="009D74A3">
              <w:rPr>
                <w:rFonts w:ascii="Times New Roman" w:hAnsi="Times New Roman" w:cs="Times New Roman"/>
                <w:b/>
                <w:sz w:val="20"/>
                <w:szCs w:val="20"/>
              </w:rPr>
              <w:t xml:space="preserve">Cálculos: </w:t>
            </w:r>
            <w:r w:rsidRPr="009D74A3">
              <w:rPr>
                <w:rFonts w:ascii="Times New Roman" w:hAnsi="Times New Roman" w:cs="Times New Roman"/>
                <w:sz w:val="20"/>
                <w:szCs w:val="20"/>
              </w:rPr>
              <w:t>Secretaría Distrital de Hacienda basado en información de la Secretaría Distrital de Desarrollo Económico.</w:t>
            </w:r>
          </w:p>
          <w:p w14:paraId="644ADB1F" w14:textId="77777777" w:rsidR="00CC715B" w:rsidRPr="009D74A3" w:rsidRDefault="00CC715B" w:rsidP="00CC715B">
            <w:pPr>
              <w:jc w:val="center"/>
              <w:rPr>
                <w:rFonts w:ascii="Times New Roman" w:hAnsi="Times New Roman" w:cs="Times New Roman"/>
                <w:sz w:val="24"/>
                <w:szCs w:val="24"/>
              </w:rPr>
            </w:pPr>
          </w:p>
          <w:p w14:paraId="26C530B8" w14:textId="2EE14F09" w:rsidR="00CC715B" w:rsidRPr="009D74A3" w:rsidRDefault="00CC715B" w:rsidP="00CC715B">
            <w:pPr>
              <w:jc w:val="both"/>
              <w:rPr>
                <w:rFonts w:ascii="Times New Roman" w:hAnsi="Times New Roman" w:cs="Times New Roman"/>
                <w:sz w:val="24"/>
                <w:szCs w:val="24"/>
              </w:rPr>
            </w:pPr>
            <w:r w:rsidRPr="009D74A3">
              <w:rPr>
                <w:rFonts w:ascii="Times New Roman" w:hAnsi="Times New Roman" w:cs="Times New Roman"/>
                <w:sz w:val="24"/>
                <w:szCs w:val="24"/>
              </w:rPr>
              <w:t xml:space="preserve">De acuerdo con Invest in Bogotá, “aunque Bogotá continúa liderando en número de proyectos de inversión, los municipios aledaños están captando iniciativas de mayor escala, con un promedio estimado de USD 119,7 millones por proyecto durante 2024”. Esto se refleja </w:t>
            </w:r>
            <w:r w:rsidR="00DB5452">
              <w:rPr>
                <w:rFonts w:ascii="Times New Roman" w:hAnsi="Times New Roman" w:cs="Times New Roman"/>
                <w:sz w:val="24"/>
                <w:szCs w:val="24"/>
              </w:rPr>
              <w:t xml:space="preserve">en </w:t>
            </w:r>
            <w:r w:rsidRPr="009D74A3">
              <w:rPr>
                <w:rFonts w:ascii="Times New Roman" w:hAnsi="Times New Roman" w:cs="Times New Roman"/>
                <w:sz w:val="24"/>
                <w:szCs w:val="24"/>
              </w:rPr>
              <w:t xml:space="preserve">que, </w:t>
            </w:r>
            <w:r w:rsidRPr="46221FE5">
              <w:rPr>
                <w:rFonts w:ascii="Times New Roman" w:hAnsi="Times New Roman" w:cs="Times New Roman"/>
                <w:sz w:val="24"/>
                <w:szCs w:val="24"/>
              </w:rPr>
              <w:t>entre 2023 y 2024, la IED estimada en Bogotá-Región creció USD 1.862 millones, pero en Bogotá solo creció USD 213 millones</w:t>
            </w:r>
            <w:r w:rsidRPr="009D74A3">
              <w:rPr>
                <w:rFonts w:ascii="Times New Roman" w:hAnsi="Times New Roman" w:cs="Times New Roman"/>
                <w:sz w:val="24"/>
                <w:szCs w:val="24"/>
              </w:rPr>
              <w:t xml:space="preserve">. La brecha de Bogotá en la captación de IED no solo existe respecto a los municipios aledaños, sino que también existe respecto al resto del país. </w:t>
            </w:r>
            <w:r w:rsidRPr="46221FE5">
              <w:rPr>
                <w:rFonts w:ascii="Times New Roman" w:hAnsi="Times New Roman" w:cs="Times New Roman"/>
                <w:sz w:val="24"/>
                <w:szCs w:val="24"/>
              </w:rPr>
              <w:t>Entre 2003 y 2024, Bogotá captó USD 24.985 millones, mientras que esta cifra para el resto del país alcanzó los USD 86.828 millon</w:t>
            </w:r>
            <w:r w:rsidRPr="009D74A3">
              <w:rPr>
                <w:rFonts w:ascii="Times New Roman" w:hAnsi="Times New Roman" w:cs="Times New Roman"/>
                <w:sz w:val="24"/>
                <w:szCs w:val="24"/>
              </w:rPr>
              <w:t>es, aumentando la brecha de IED entre Bogotá y los departamentos (</w:t>
            </w:r>
            <w:r w:rsidRPr="009D74A3">
              <w:rPr>
                <w:rFonts w:ascii="Times New Roman" w:hAnsi="Times New Roman" w:cs="Times New Roman"/>
                <w:b/>
                <w:bCs/>
                <w:sz w:val="24"/>
                <w:szCs w:val="24"/>
              </w:rPr>
              <w:t>Gráfico 5</w:t>
            </w:r>
            <w:r w:rsidRPr="009D74A3">
              <w:rPr>
                <w:rFonts w:ascii="Times New Roman" w:hAnsi="Times New Roman" w:cs="Times New Roman"/>
                <w:sz w:val="24"/>
                <w:szCs w:val="24"/>
              </w:rPr>
              <w:t xml:space="preserve">). </w:t>
            </w:r>
          </w:p>
          <w:p w14:paraId="75EAD15E" w14:textId="77777777" w:rsidR="00CC715B" w:rsidRPr="009D74A3" w:rsidRDefault="00CC715B" w:rsidP="00CC715B">
            <w:pPr>
              <w:jc w:val="center"/>
              <w:rPr>
                <w:rFonts w:ascii="Times New Roman" w:hAnsi="Times New Roman" w:cs="Times New Roman"/>
                <w:sz w:val="24"/>
                <w:szCs w:val="24"/>
              </w:rPr>
            </w:pPr>
          </w:p>
          <w:p w14:paraId="4C6EEAC6" w14:textId="4015CFE5" w:rsidR="00CC715B" w:rsidRPr="009D74A3" w:rsidRDefault="00CC715B" w:rsidP="00CC715B">
            <w:pPr>
              <w:jc w:val="both"/>
              <w:rPr>
                <w:rFonts w:ascii="Times New Roman" w:hAnsi="Times New Roman" w:cs="Times New Roman"/>
                <w:sz w:val="24"/>
                <w:szCs w:val="24"/>
              </w:rPr>
            </w:pPr>
            <w:r w:rsidRPr="009D74A3">
              <w:rPr>
                <w:rFonts w:ascii="Times New Roman" w:hAnsi="Times New Roman" w:cs="Times New Roman"/>
                <w:sz w:val="24"/>
                <w:szCs w:val="24"/>
              </w:rPr>
              <w:t xml:space="preserve">Además de la necesaria diversificación sectorial como en mercados potenciales, las brechas en los montos de captación de IED de Bogotá frente al resto del país indican que deben fortalecerse las condiciones para atraer más inversión al Distrito Capital y aprovechar sus ventajas competitivas, en un contexto de competencia fiscal territorial. Experiencias internacionales y </w:t>
            </w:r>
            <w:r w:rsidR="00DD1BA2">
              <w:rPr>
                <w:rFonts w:ascii="Times New Roman" w:hAnsi="Times New Roman" w:cs="Times New Roman"/>
                <w:sz w:val="24"/>
                <w:szCs w:val="24"/>
              </w:rPr>
              <w:t>alguno</w:t>
            </w:r>
            <w:r w:rsidR="00D7117F">
              <w:rPr>
                <w:rFonts w:ascii="Times New Roman" w:hAnsi="Times New Roman" w:cs="Times New Roman"/>
                <w:sz w:val="24"/>
                <w:szCs w:val="24"/>
              </w:rPr>
              <w:t xml:space="preserve">s </w:t>
            </w:r>
            <w:r w:rsidRPr="009D74A3">
              <w:rPr>
                <w:rFonts w:ascii="Times New Roman" w:hAnsi="Times New Roman" w:cs="Times New Roman"/>
                <w:sz w:val="24"/>
                <w:szCs w:val="24"/>
              </w:rPr>
              <w:t xml:space="preserve">estudios destacan la efectividad de los incentivos tributarios, subsidios a la adquisición de capital, e instrumentos que permitan atraer IED. En particular, </w:t>
            </w:r>
            <w:r w:rsidRPr="46221FE5">
              <w:rPr>
                <w:rFonts w:ascii="Times New Roman" w:hAnsi="Times New Roman" w:cs="Times New Roman"/>
                <w:sz w:val="24"/>
                <w:szCs w:val="24"/>
              </w:rPr>
              <w:t>los incentivos tributarios podrían impulsar la competitividad regional, seguir mejorando el clima de negocios y reducir el costo de uso del capital, lo cual puede aumentar la inversión en sectores de fuertes encadenamientos productivos, como la industria, la construcción y los servicios, principalmente</w:t>
            </w:r>
            <w:r w:rsidRPr="009D74A3">
              <w:rPr>
                <w:rFonts w:ascii="Times New Roman" w:hAnsi="Times New Roman" w:cs="Times New Roman"/>
                <w:sz w:val="24"/>
                <w:szCs w:val="24"/>
              </w:rPr>
              <w:t xml:space="preserve">. Esta dinámica </w:t>
            </w:r>
            <w:r w:rsidRPr="46221FE5">
              <w:rPr>
                <w:rFonts w:ascii="Times New Roman" w:hAnsi="Times New Roman" w:cs="Times New Roman"/>
                <w:sz w:val="24"/>
                <w:szCs w:val="24"/>
              </w:rPr>
              <w:t>permitirá promover el crédito en la ciudad para la financiación de proyectos de inversión, con lo cual el sector financiero tendrá un rol importante para canalizar la oferta de crédito en la economía.</w:t>
            </w:r>
          </w:p>
          <w:p w14:paraId="56318FDC" w14:textId="77777777" w:rsidR="00CC715B" w:rsidRPr="009D74A3" w:rsidRDefault="00CC715B" w:rsidP="00CC715B">
            <w:pPr>
              <w:jc w:val="both"/>
              <w:rPr>
                <w:rFonts w:ascii="Times New Roman" w:hAnsi="Times New Roman" w:cs="Times New Roman"/>
                <w:b/>
                <w:sz w:val="24"/>
                <w:szCs w:val="24"/>
              </w:rPr>
            </w:pPr>
          </w:p>
          <w:p w14:paraId="4668D445" w14:textId="45D52AE5" w:rsidR="00CC715B" w:rsidRPr="009D74A3" w:rsidRDefault="00CC715B" w:rsidP="46221FE5">
            <w:pPr>
              <w:pStyle w:val="Ttulo2"/>
              <w:spacing w:before="0"/>
              <w:contextualSpacing/>
              <w:outlineLvl w:val="1"/>
              <w:rPr>
                <w:rFonts w:ascii="Times New Roman" w:hAnsi="Times New Roman" w:cs="Times New Roman"/>
                <w:b/>
                <w:sz w:val="24"/>
                <w:szCs w:val="24"/>
              </w:rPr>
            </w:pPr>
            <w:r w:rsidRPr="009D74A3">
              <w:rPr>
                <w:rFonts w:ascii="Times New Roman" w:hAnsi="Times New Roman" w:cs="Times New Roman"/>
                <w:b/>
                <w:sz w:val="24"/>
                <w:szCs w:val="24"/>
              </w:rPr>
              <w:t>Crecimiento económico</w:t>
            </w:r>
          </w:p>
          <w:p w14:paraId="3EA443BE" w14:textId="77777777" w:rsidR="00CC715B" w:rsidRPr="009D74A3" w:rsidRDefault="00CC715B" w:rsidP="00CC715B">
            <w:pPr>
              <w:contextualSpacing/>
              <w:rPr>
                <w:rFonts w:ascii="Times New Roman" w:hAnsi="Times New Roman" w:cs="Times New Roman"/>
              </w:rPr>
            </w:pPr>
          </w:p>
          <w:p w14:paraId="3EC7A059" w14:textId="0999EB5B" w:rsidR="00CC715B" w:rsidRPr="009D74A3" w:rsidRDefault="00CC715B" w:rsidP="00CC715B">
            <w:pPr>
              <w:contextualSpacing/>
              <w:jc w:val="both"/>
              <w:rPr>
                <w:rFonts w:ascii="Times New Roman" w:hAnsi="Times New Roman" w:cs="Times New Roman"/>
                <w:sz w:val="24"/>
                <w:szCs w:val="24"/>
              </w:rPr>
            </w:pPr>
            <w:r w:rsidRPr="009D74A3">
              <w:rPr>
                <w:rFonts w:ascii="Times New Roman" w:hAnsi="Times New Roman" w:cs="Times New Roman"/>
                <w:sz w:val="24"/>
                <w:szCs w:val="24"/>
              </w:rPr>
              <w:t>En 2024 el PIB de la ciudad presentó un crecimiento de 1,9%, mayor al observado en el año anterior y en el total nacional (1,7%)</w:t>
            </w:r>
            <w:r w:rsidR="00162015">
              <w:rPr>
                <w:rFonts w:ascii="Times New Roman" w:hAnsi="Times New Roman" w:cs="Times New Roman"/>
                <w:sz w:val="24"/>
                <w:szCs w:val="24"/>
              </w:rPr>
              <w:t xml:space="preserve"> (</w:t>
            </w:r>
            <w:r w:rsidR="002F7FC3" w:rsidRPr="002F7FC3">
              <w:rPr>
                <w:rFonts w:ascii="Times New Roman" w:hAnsi="Times New Roman" w:cs="Times New Roman"/>
                <w:b/>
                <w:bCs/>
                <w:sz w:val="24"/>
                <w:szCs w:val="24"/>
              </w:rPr>
              <w:t>Gráfico 6</w:t>
            </w:r>
            <w:r w:rsidR="00162015">
              <w:rPr>
                <w:rFonts w:ascii="Times New Roman" w:hAnsi="Times New Roman" w:cs="Times New Roman"/>
                <w:sz w:val="24"/>
                <w:szCs w:val="24"/>
              </w:rPr>
              <w:t>)</w:t>
            </w:r>
            <w:r w:rsidRPr="009D74A3">
              <w:rPr>
                <w:rFonts w:ascii="Times New Roman" w:hAnsi="Times New Roman" w:cs="Times New Roman"/>
                <w:sz w:val="24"/>
                <w:szCs w:val="24"/>
              </w:rPr>
              <w:t xml:space="preserve">, </w:t>
            </w:r>
            <w:r w:rsidR="00716847">
              <w:rPr>
                <w:rFonts w:ascii="Times New Roman" w:hAnsi="Times New Roman" w:cs="Times New Roman"/>
                <w:sz w:val="24"/>
                <w:szCs w:val="24"/>
              </w:rPr>
              <w:t>en un conte</w:t>
            </w:r>
            <w:r w:rsidR="009A32C9">
              <w:rPr>
                <w:rFonts w:ascii="Times New Roman" w:hAnsi="Times New Roman" w:cs="Times New Roman"/>
                <w:sz w:val="24"/>
                <w:szCs w:val="24"/>
              </w:rPr>
              <w:t xml:space="preserve">xto de </w:t>
            </w:r>
            <w:r w:rsidRPr="009D74A3">
              <w:rPr>
                <w:rFonts w:ascii="Times New Roman" w:hAnsi="Times New Roman" w:cs="Times New Roman"/>
                <w:sz w:val="24"/>
                <w:szCs w:val="24"/>
              </w:rPr>
              <w:t xml:space="preserve">recuperación gradual de la economía, posterior a los efectos generados por la pandemia, y más sostenida que la registrada en el total nacional. </w:t>
            </w:r>
          </w:p>
          <w:p w14:paraId="0B5F4563" w14:textId="77777777" w:rsidR="00CC715B" w:rsidRPr="009D74A3" w:rsidRDefault="00CC715B" w:rsidP="00CC715B">
            <w:p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 </w:t>
            </w:r>
          </w:p>
          <w:p w14:paraId="60F58C47" w14:textId="4C98BF00" w:rsidR="00CC715B" w:rsidRPr="009D74A3" w:rsidRDefault="00CC715B" w:rsidP="00CC715B">
            <w:p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El Producto Interno Bruto </w:t>
            </w:r>
            <w:r w:rsidR="00F45134">
              <w:rPr>
                <w:rFonts w:ascii="Times New Roman" w:hAnsi="Times New Roman" w:cs="Times New Roman"/>
                <w:sz w:val="24"/>
                <w:szCs w:val="24"/>
              </w:rPr>
              <w:t xml:space="preserve">(PIB) </w:t>
            </w:r>
            <w:r w:rsidRPr="009D74A3">
              <w:rPr>
                <w:rFonts w:ascii="Times New Roman" w:hAnsi="Times New Roman" w:cs="Times New Roman"/>
                <w:sz w:val="24"/>
                <w:szCs w:val="24"/>
              </w:rPr>
              <w:t>nacional y distrital registr</w:t>
            </w:r>
            <w:r w:rsidR="00A2227E">
              <w:rPr>
                <w:rFonts w:ascii="Times New Roman" w:hAnsi="Times New Roman" w:cs="Times New Roman"/>
                <w:sz w:val="24"/>
                <w:szCs w:val="24"/>
              </w:rPr>
              <w:t>aron</w:t>
            </w:r>
            <w:r w:rsidRPr="009D74A3">
              <w:rPr>
                <w:rFonts w:ascii="Times New Roman" w:hAnsi="Times New Roman" w:cs="Times New Roman"/>
                <w:sz w:val="24"/>
                <w:szCs w:val="24"/>
              </w:rPr>
              <w:t xml:space="preserve"> una </w:t>
            </w:r>
            <w:r w:rsidR="00F03B98">
              <w:rPr>
                <w:rFonts w:ascii="Times New Roman" w:hAnsi="Times New Roman" w:cs="Times New Roman"/>
                <w:sz w:val="24"/>
                <w:szCs w:val="24"/>
              </w:rPr>
              <w:t>contracción</w:t>
            </w:r>
            <w:r w:rsidRPr="009D74A3">
              <w:rPr>
                <w:rFonts w:ascii="Times New Roman" w:hAnsi="Times New Roman" w:cs="Times New Roman"/>
                <w:sz w:val="24"/>
                <w:szCs w:val="24"/>
              </w:rPr>
              <w:t xml:space="preserve"> en 2020 de 7,2% y 6,7%, respectivamente, </w:t>
            </w:r>
            <w:r w:rsidR="00F45134">
              <w:rPr>
                <w:rFonts w:ascii="Times New Roman" w:hAnsi="Times New Roman" w:cs="Times New Roman"/>
                <w:sz w:val="24"/>
                <w:szCs w:val="24"/>
              </w:rPr>
              <w:t>dados lo</w:t>
            </w:r>
            <w:r w:rsidRPr="009D74A3">
              <w:rPr>
                <w:rFonts w:ascii="Times New Roman" w:hAnsi="Times New Roman" w:cs="Times New Roman"/>
                <w:sz w:val="24"/>
                <w:szCs w:val="24"/>
              </w:rPr>
              <w:t>s</w:t>
            </w:r>
            <w:r w:rsidR="00F45134">
              <w:rPr>
                <w:rFonts w:ascii="Times New Roman" w:hAnsi="Times New Roman" w:cs="Times New Roman"/>
                <w:sz w:val="24"/>
                <w:szCs w:val="24"/>
              </w:rPr>
              <w:t xml:space="preserve"> efectos negativos generados por la pandemia</w:t>
            </w:r>
            <w:r w:rsidRPr="009D74A3">
              <w:rPr>
                <w:rFonts w:ascii="Times New Roman" w:hAnsi="Times New Roman" w:cs="Times New Roman"/>
                <w:sz w:val="24"/>
                <w:szCs w:val="24"/>
              </w:rPr>
              <w:t>.</w:t>
            </w:r>
            <w:r w:rsidR="00A0514B">
              <w:rPr>
                <w:rFonts w:ascii="Times New Roman" w:hAnsi="Times New Roman" w:cs="Times New Roman"/>
                <w:sz w:val="24"/>
                <w:szCs w:val="24"/>
              </w:rPr>
              <w:t xml:space="preserve"> </w:t>
            </w:r>
            <w:r w:rsidRPr="009D74A3">
              <w:rPr>
                <w:rFonts w:ascii="Times New Roman" w:hAnsi="Times New Roman" w:cs="Times New Roman"/>
                <w:sz w:val="24"/>
                <w:szCs w:val="24"/>
              </w:rPr>
              <w:t xml:space="preserve">Posterior a la </w:t>
            </w:r>
            <w:r w:rsidR="0016260F">
              <w:rPr>
                <w:rFonts w:ascii="Times New Roman" w:hAnsi="Times New Roman" w:cs="Times New Roman"/>
                <w:sz w:val="24"/>
                <w:szCs w:val="24"/>
              </w:rPr>
              <w:t>contracción</w:t>
            </w:r>
            <w:r w:rsidRPr="009D74A3">
              <w:rPr>
                <w:rFonts w:ascii="Times New Roman" w:hAnsi="Times New Roman" w:cs="Times New Roman"/>
                <w:sz w:val="24"/>
                <w:szCs w:val="24"/>
              </w:rPr>
              <w:t xml:space="preserve"> registrada en la economía se presentaron fuertes crecimientos para el total país y Bogotá en 2021 (Nacional: 10,8%; Distrito: 11,0%) y 2022 (Nacional: 7,3%; Distrito: 9,6%), como consecuencia del sólido crecimiento de la demanda interna, con un aumento en la formación bruta de capital, y en el consumo privado, incentivado por menores tasas de interés y la fuerte recuperación de la actividad productiva y la generación de ingresos</w:t>
            </w:r>
            <w:r w:rsidR="006C2AF9">
              <w:rPr>
                <w:rFonts w:ascii="Times New Roman" w:hAnsi="Times New Roman" w:cs="Times New Roman"/>
                <w:sz w:val="24"/>
                <w:szCs w:val="24"/>
              </w:rPr>
              <w:t xml:space="preserve"> (</w:t>
            </w:r>
            <w:r w:rsidR="006C2AF9" w:rsidRPr="006C2AF9">
              <w:rPr>
                <w:rFonts w:ascii="Times New Roman" w:hAnsi="Times New Roman" w:cs="Times New Roman"/>
                <w:b/>
                <w:bCs/>
                <w:sz w:val="24"/>
                <w:szCs w:val="24"/>
              </w:rPr>
              <w:t>Gráfico 6</w:t>
            </w:r>
            <w:r w:rsidR="006C2AF9">
              <w:rPr>
                <w:rFonts w:ascii="Times New Roman" w:hAnsi="Times New Roman" w:cs="Times New Roman"/>
                <w:sz w:val="24"/>
                <w:szCs w:val="24"/>
              </w:rPr>
              <w:t>)</w:t>
            </w:r>
            <w:r w:rsidRPr="009D74A3">
              <w:rPr>
                <w:rFonts w:ascii="Times New Roman" w:hAnsi="Times New Roman" w:cs="Times New Roman"/>
                <w:sz w:val="24"/>
                <w:szCs w:val="24"/>
              </w:rPr>
              <w:t>.</w:t>
            </w:r>
          </w:p>
          <w:p w14:paraId="47136B2A" w14:textId="77777777" w:rsidR="00CC715B" w:rsidRPr="009D74A3" w:rsidRDefault="00CC715B" w:rsidP="00CC715B">
            <w:pPr>
              <w:contextualSpacing/>
              <w:jc w:val="both"/>
              <w:rPr>
                <w:rFonts w:ascii="Times New Roman" w:hAnsi="Times New Roman" w:cs="Times New Roman"/>
                <w:sz w:val="24"/>
                <w:szCs w:val="24"/>
              </w:rPr>
            </w:pPr>
          </w:p>
          <w:p w14:paraId="4F030F43" w14:textId="76843B66" w:rsidR="00CC715B" w:rsidRPr="009D74A3" w:rsidRDefault="00CC715B" w:rsidP="00CC715B">
            <w:pPr>
              <w:contextualSpacing/>
              <w:jc w:val="both"/>
              <w:rPr>
                <w:rFonts w:ascii="Times New Roman" w:hAnsi="Times New Roman" w:cs="Times New Roman"/>
                <w:sz w:val="24"/>
                <w:szCs w:val="24"/>
              </w:rPr>
            </w:pPr>
            <w:r w:rsidRPr="009D74A3">
              <w:rPr>
                <w:rFonts w:ascii="Times New Roman" w:hAnsi="Times New Roman" w:cs="Times New Roman"/>
                <w:sz w:val="24"/>
                <w:szCs w:val="24"/>
              </w:rPr>
              <w:t>Posteriormente, la economía colombiana y bogotana moderaron su ritmo de crecimiento en 2023, al presentar crecimientos de 0,7% y 0,6%, respectivamente</w:t>
            </w:r>
            <w:r w:rsidR="006C2AF9">
              <w:rPr>
                <w:rFonts w:ascii="Times New Roman" w:hAnsi="Times New Roman" w:cs="Times New Roman"/>
                <w:sz w:val="24"/>
                <w:szCs w:val="24"/>
              </w:rPr>
              <w:t xml:space="preserve"> (</w:t>
            </w:r>
            <w:r w:rsidR="006C2AF9" w:rsidRPr="006C2AF9">
              <w:rPr>
                <w:rFonts w:ascii="Times New Roman" w:hAnsi="Times New Roman" w:cs="Times New Roman"/>
                <w:b/>
                <w:bCs/>
                <w:sz w:val="24"/>
                <w:szCs w:val="24"/>
              </w:rPr>
              <w:t>Gráfico 6</w:t>
            </w:r>
            <w:r w:rsidR="006C2AF9">
              <w:rPr>
                <w:rFonts w:ascii="Times New Roman" w:hAnsi="Times New Roman" w:cs="Times New Roman"/>
                <w:sz w:val="24"/>
                <w:szCs w:val="24"/>
              </w:rPr>
              <w:t>)</w:t>
            </w:r>
            <w:r w:rsidRPr="009D74A3">
              <w:rPr>
                <w:rFonts w:ascii="Times New Roman" w:hAnsi="Times New Roman" w:cs="Times New Roman"/>
                <w:sz w:val="24"/>
                <w:szCs w:val="24"/>
              </w:rPr>
              <w:t>. Este resultado se explica por la desaceleración de la demanda interna, particularmente en la inversión y el gasto de los hogares, por cuenta de l</w:t>
            </w:r>
            <w:r w:rsidR="00287004">
              <w:rPr>
                <w:rFonts w:ascii="Times New Roman" w:hAnsi="Times New Roman" w:cs="Times New Roman"/>
                <w:sz w:val="24"/>
                <w:szCs w:val="24"/>
              </w:rPr>
              <w:t>a</w:t>
            </w:r>
            <w:r w:rsidRPr="009D74A3">
              <w:rPr>
                <w:rFonts w:ascii="Times New Roman" w:hAnsi="Times New Roman" w:cs="Times New Roman"/>
                <w:sz w:val="24"/>
                <w:szCs w:val="24"/>
              </w:rPr>
              <w:t xml:space="preserve">s </w:t>
            </w:r>
            <w:r w:rsidR="00896111">
              <w:rPr>
                <w:rFonts w:ascii="Times New Roman" w:hAnsi="Times New Roman" w:cs="Times New Roman"/>
                <w:sz w:val="24"/>
                <w:szCs w:val="24"/>
              </w:rPr>
              <w:t xml:space="preserve">medidas </w:t>
            </w:r>
            <w:r w:rsidR="0059029E" w:rsidRPr="009D74A3">
              <w:rPr>
                <w:rFonts w:ascii="Times New Roman" w:hAnsi="Times New Roman" w:cs="Times New Roman"/>
                <w:sz w:val="24"/>
                <w:szCs w:val="24"/>
              </w:rPr>
              <w:t>de la política monetaria</w:t>
            </w:r>
            <w:r w:rsidR="0059029E">
              <w:rPr>
                <w:rFonts w:ascii="Times New Roman" w:hAnsi="Times New Roman" w:cs="Times New Roman"/>
                <w:sz w:val="24"/>
                <w:szCs w:val="24"/>
              </w:rPr>
              <w:t xml:space="preserve"> </w:t>
            </w:r>
            <w:r w:rsidR="003C67E3">
              <w:rPr>
                <w:rFonts w:ascii="Times New Roman" w:hAnsi="Times New Roman" w:cs="Times New Roman"/>
                <w:sz w:val="24"/>
                <w:szCs w:val="24"/>
              </w:rPr>
              <w:t xml:space="preserve">adoptadas </w:t>
            </w:r>
            <w:r w:rsidR="005836E1">
              <w:rPr>
                <w:rFonts w:ascii="Times New Roman" w:hAnsi="Times New Roman" w:cs="Times New Roman"/>
                <w:sz w:val="24"/>
                <w:szCs w:val="24"/>
              </w:rPr>
              <w:t xml:space="preserve">por </w:t>
            </w:r>
            <w:r w:rsidRPr="009D74A3">
              <w:rPr>
                <w:rFonts w:ascii="Times New Roman" w:hAnsi="Times New Roman" w:cs="Times New Roman"/>
                <w:sz w:val="24"/>
                <w:szCs w:val="24"/>
              </w:rPr>
              <w:t xml:space="preserve">el Banco de la República para enfrentar la elevada inflación, el agotamiento de ahorro acumulado de los hogares en la época de la pandemia y la acelerada recuperación </w:t>
            </w:r>
            <w:r w:rsidR="00151A6D">
              <w:rPr>
                <w:rFonts w:ascii="Times New Roman" w:hAnsi="Times New Roman" w:cs="Times New Roman"/>
                <w:sz w:val="24"/>
                <w:szCs w:val="24"/>
              </w:rPr>
              <w:t xml:space="preserve">de la demanda </w:t>
            </w:r>
            <w:r w:rsidR="00320D6B">
              <w:rPr>
                <w:rFonts w:ascii="Times New Roman" w:hAnsi="Times New Roman" w:cs="Times New Roman"/>
                <w:sz w:val="24"/>
                <w:szCs w:val="24"/>
              </w:rPr>
              <w:t xml:space="preserve">agregada </w:t>
            </w:r>
            <w:r w:rsidRPr="009D74A3">
              <w:rPr>
                <w:rFonts w:ascii="Times New Roman" w:hAnsi="Times New Roman" w:cs="Times New Roman"/>
                <w:sz w:val="24"/>
                <w:szCs w:val="24"/>
              </w:rPr>
              <w:t>en 2021 y 2022.</w:t>
            </w:r>
          </w:p>
          <w:p w14:paraId="436D517C" w14:textId="77777777" w:rsidR="00CC715B" w:rsidRPr="009D74A3" w:rsidRDefault="00CC715B" w:rsidP="00CC715B">
            <w:pPr>
              <w:contextualSpacing/>
              <w:jc w:val="both"/>
              <w:rPr>
                <w:rFonts w:ascii="Times New Roman" w:hAnsi="Times New Roman" w:cs="Times New Roman"/>
              </w:rPr>
            </w:pPr>
          </w:p>
          <w:p w14:paraId="53DBDB36" w14:textId="49E79F9B" w:rsidR="00CC715B" w:rsidRPr="009D74A3" w:rsidRDefault="00411C7D" w:rsidP="00CC715B">
            <w:pPr>
              <w:contextualSpacing/>
              <w:jc w:val="both"/>
              <w:rPr>
                <w:rFonts w:ascii="Times New Roman" w:hAnsi="Times New Roman" w:cs="Times New Roman"/>
                <w:sz w:val="24"/>
                <w:szCs w:val="24"/>
              </w:rPr>
            </w:pPr>
            <w:r>
              <w:rPr>
                <w:rFonts w:ascii="Times New Roman" w:hAnsi="Times New Roman" w:cs="Times New Roman"/>
                <w:sz w:val="24"/>
                <w:szCs w:val="24"/>
              </w:rPr>
              <w:t>En</w:t>
            </w:r>
            <w:r w:rsidR="00CC715B" w:rsidRPr="009D74A3">
              <w:rPr>
                <w:rFonts w:ascii="Times New Roman" w:hAnsi="Times New Roman" w:cs="Times New Roman"/>
                <w:sz w:val="24"/>
                <w:szCs w:val="24"/>
              </w:rPr>
              <w:t xml:space="preserve"> 2024 la economía de Bogotá presentó un crecimiento de 1,9%, mayor a lo registrado en el año inmediatamente anterior (0,6%) y a lo observado en el total nacional (1,7%)</w:t>
            </w:r>
            <w:r w:rsidR="007F0B55">
              <w:rPr>
                <w:rFonts w:ascii="Times New Roman" w:hAnsi="Times New Roman" w:cs="Times New Roman"/>
                <w:sz w:val="24"/>
                <w:szCs w:val="24"/>
              </w:rPr>
              <w:t xml:space="preserve"> (</w:t>
            </w:r>
            <w:r w:rsidR="007F0B55" w:rsidRPr="007F0B55">
              <w:rPr>
                <w:rFonts w:ascii="Times New Roman" w:hAnsi="Times New Roman" w:cs="Times New Roman"/>
                <w:b/>
                <w:bCs/>
                <w:sz w:val="24"/>
                <w:szCs w:val="24"/>
              </w:rPr>
              <w:t>Gráfico 6</w:t>
            </w:r>
            <w:r w:rsidR="007F0B55">
              <w:rPr>
                <w:rFonts w:ascii="Times New Roman" w:hAnsi="Times New Roman" w:cs="Times New Roman"/>
                <w:sz w:val="24"/>
                <w:szCs w:val="24"/>
              </w:rPr>
              <w:t>)</w:t>
            </w:r>
            <w:r w:rsidR="00CC715B" w:rsidRPr="009D74A3">
              <w:rPr>
                <w:rFonts w:ascii="Times New Roman" w:hAnsi="Times New Roman" w:cs="Times New Roman"/>
                <w:sz w:val="24"/>
                <w:szCs w:val="24"/>
              </w:rPr>
              <w:t xml:space="preserve">. </w:t>
            </w:r>
            <w:r w:rsidR="0018624A">
              <w:rPr>
                <w:rFonts w:ascii="Times New Roman" w:hAnsi="Times New Roman" w:cs="Times New Roman"/>
                <w:sz w:val="24"/>
                <w:szCs w:val="24"/>
              </w:rPr>
              <w:t>Esto</w:t>
            </w:r>
            <w:r w:rsidR="00CC715B" w:rsidRPr="009D74A3">
              <w:rPr>
                <w:rFonts w:ascii="Times New Roman" w:hAnsi="Times New Roman" w:cs="Times New Roman"/>
                <w:sz w:val="24"/>
                <w:szCs w:val="24"/>
              </w:rPr>
              <w:t xml:space="preserve"> evidencia que la economía inició un proceso de recuperación sostenido, explicado por una política monetaria menos restrictiva, un mercado laboral fortalecido, y la reactivación de varios sectores claves para la economía. </w:t>
            </w:r>
          </w:p>
          <w:p w14:paraId="3475864D" w14:textId="77777777" w:rsidR="00CC715B" w:rsidRDefault="00CC715B" w:rsidP="00CC715B">
            <w:pPr>
              <w:contextualSpacing/>
              <w:jc w:val="both"/>
              <w:rPr>
                <w:rFonts w:ascii="Times New Roman" w:hAnsi="Times New Roman" w:cs="Times New Roman"/>
                <w:sz w:val="24"/>
                <w:szCs w:val="24"/>
              </w:rPr>
            </w:pPr>
          </w:p>
          <w:p w14:paraId="6D4D6049" w14:textId="77777777" w:rsidR="00961E7E" w:rsidRPr="009D74A3" w:rsidRDefault="00961E7E" w:rsidP="00CC715B">
            <w:pPr>
              <w:contextualSpacing/>
              <w:jc w:val="both"/>
              <w:rPr>
                <w:rFonts w:ascii="Times New Roman" w:hAnsi="Times New Roman" w:cs="Times New Roman"/>
                <w:sz w:val="24"/>
                <w:szCs w:val="24"/>
              </w:rPr>
            </w:pPr>
          </w:p>
          <w:p w14:paraId="1BAE1017" w14:textId="77777777" w:rsidR="00CC715B" w:rsidRPr="009D74A3" w:rsidRDefault="00CC715B" w:rsidP="00CC715B">
            <w:pPr>
              <w:contextualSpacing/>
              <w:jc w:val="center"/>
              <w:rPr>
                <w:rFonts w:ascii="Times New Roman" w:hAnsi="Times New Roman" w:cs="Times New Roman"/>
                <w:i/>
                <w:iCs/>
              </w:rPr>
            </w:pPr>
            <w:r w:rsidRPr="009D74A3">
              <w:rPr>
                <w:rFonts w:ascii="Times New Roman" w:hAnsi="Times New Roman" w:cs="Times New Roman"/>
                <w:b/>
                <w:bCs/>
              </w:rPr>
              <w:t>Gráfico 6.</w:t>
            </w:r>
            <w:r w:rsidRPr="009D74A3">
              <w:rPr>
                <w:rFonts w:ascii="Times New Roman" w:hAnsi="Times New Roman" w:cs="Times New Roman"/>
                <w:b/>
              </w:rPr>
              <w:br/>
            </w:r>
            <w:r w:rsidRPr="009D74A3">
              <w:rPr>
                <w:rFonts w:ascii="Times New Roman" w:hAnsi="Times New Roman" w:cs="Times New Roman"/>
                <w:b/>
                <w:bCs/>
              </w:rPr>
              <w:t>Producto Interno Bruto</w:t>
            </w:r>
            <w:r w:rsidRPr="009D74A3">
              <w:rPr>
                <w:rStyle w:val="Refdenotaalpie"/>
                <w:rFonts w:ascii="Times New Roman" w:hAnsi="Times New Roman" w:cs="Times New Roman"/>
                <w:b/>
                <w:bCs/>
              </w:rPr>
              <w:footnoteReference w:id="9"/>
            </w:r>
            <w:r w:rsidRPr="009D74A3">
              <w:rPr>
                <w:rFonts w:ascii="Times New Roman" w:hAnsi="Times New Roman" w:cs="Times New Roman"/>
                <w:b/>
                <w:bCs/>
              </w:rPr>
              <w:t xml:space="preserve"> – anual </w:t>
            </w:r>
            <w:r w:rsidRPr="009D74A3">
              <w:rPr>
                <w:rFonts w:ascii="Times New Roman" w:hAnsi="Times New Roman" w:cs="Times New Roman"/>
                <w:b/>
              </w:rPr>
              <w:br/>
            </w:r>
            <w:r w:rsidRPr="009D74A3">
              <w:rPr>
                <w:rFonts w:ascii="Times New Roman" w:hAnsi="Times New Roman" w:cs="Times New Roman"/>
                <w:i/>
                <w:iCs/>
              </w:rPr>
              <w:t>Variación real anual (%)</w:t>
            </w:r>
          </w:p>
          <w:p w14:paraId="7FAC0D35" w14:textId="77777777" w:rsidR="00CC715B" w:rsidRPr="009D74A3" w:rsidRDefault="00CC715B" w:rsidP="00CC715B">
            <w:pPr>
              <w:contextualSpacing/>
              <w:rPr>
                <w:rFonts w:ascii="Times New Roman" w:hAnsi="Times New Roman" w:cs="Times New Roman"/>
                <w:sz w:val="20"/>
                <w:szCs w:val="20"/>
              </w:rPr>
            </w:pPr>
            <w:r w:rsidRPr="009D74A3">
              <w:rPr>
                <w:rFonts w:ascii="Times New Roman" w:hAnsi="Times New Roman" w:cs="Times New Roman"/>
                <w:bCs/>
                <w:i/>
                <w:iCs/>
                <w:noProof/>
                <w:lang w:eastAsia="es-CO"/>
              </w:rPr>
              <w:drawing>
                <wp:inline distT="0" distB="0" distL="0" distR="0" wp14:anchorId="108669B8" wp14:editId="0F926BD9">
                  <wp:extent cx="5925820" cy="1685925"/>
                  <wp:effectExtent l="0" t="0" r="0" b="0"/>
                  <wp:docPr id="77005817"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25820" cy="1685925"/>
                          </a:xfrm>
                          <a:prstGeom prst="rect">
                            <a:avLst/>
                          </a:prstGeom>
                          <a:noFill/>
                        </pic:spPr>
                      </pic:pic>
                    </a:graphicData>
                  </a:graphic>
                </wp:inline>
              </w:drawing>
            </w:r>
          </w:p>
          <w:p w14:paraId="068395B4" w14:textId="77777777" w:rsidR="00CC715B" w:rsidRPr="009D74A3" w:rsidRDefault="00CC715B" w:rsidP="00CC715B">
            <w:pPr>
              <w:ind w:firstLine="209"/>
              <w:contextualSpacing/>
              <w:rPr>
                <w:rFonts w:ascii="Times New Roman" w:hAnsi="Times New Roman" w:cs="Times New Roman"/>
                <w:sz w:val="20"/>
                <w:szCs w:val="20"/>
              </w:rPr>
            </w:pPr>
            <w:r w:rsidRPr="009D74A3">
              <w:rPr>
                <w:rFonts w:ascii="Times New Roman" w:hAnsi="Times New Roman" w:cs="Times New Roman"/>
                <w:sz w:val="20"/>
                <w:szCs w:val="20"/>
              </w:rPr>
              <w:t>P: provisional; pr preliminar.</w:t>
            </w:r>
          </w:p>
          <w:p w14:paraId="0112E027" w14:textId="77777777" w:rsidR="00CC715B" w:rsidRPr="009D74A3" w:rsidRDefault="00CC715B" w:rsidP="00CC715B">
            <w:pPr>
              <w:ind w:firstLine="209"/>
              <w:contextualSpacing/>
              <w:rPr>
                <w:rFonts w:ascii="Times New Roman" w:hAnsi="Times New Roman" w:cs="Times New Roman"/>
                <w:sz w:val="20"/>
                <w:szCs w:val="20"/>
              </w:rPr>
            </w:pPr>
            <w:r w:rsidRPr="009D74A3">
              <w:rPr>
                <w:rFonts w:ascii="Times New Roman" w:hAnsi="Times New Roman" w:cs="Times New Roman"/>
                <w:b/>
                <w:bCs/>
                <w:sz w:val="20"/>
                <w:szCs w:val="20"/>
              </w:rPr>
              <w:t>Fuente:</w:t>
            </w:r>
            <w:r w:rsidRPr="009D74A3">
              <w:rPr>
                <w:rFonts w:ascii="Times New Roman" w:hAnsi="Times New Roman" w:cs="Times New Roman"/>
                <w:sz w:val="20"/>
                <w:szCs w:val="20"/>
              </w:rPr>
              <w:t xml:space="preserve"> DANE, Cuentas nacionales, PIB trimestral de Bogotá D.C.</w:t>
            </w:r>
          </w:p>
          <w:p w14:paraId="4C2DEFC4" w14:textId="77777777" w:rsidR="00CC715B" w:rsidRPr="009D74A3" w:rsidRDefault="00CC715B" w:rsidP="00CC715B">
            <w:pPr>
              <w:ind w:left="360"/>
              <w:contextualSpacing/>
              <w:rPr>
                <w:rFonts w:ascii="Times New Roman" w:hAnsi="Times New Roman" w:cs="Times New Roman"/>
                <w:sz w:val="20"/>
                <w:szCs w:val="20"/>
              </w:rPr>
            </w:pPr>
          </w:p>
          <w:p w14:paraId="19540381" w14:textId="504EE12E" w:rsidR="00CC715B" w:rsidRPr="009D74A3" w:rsidRDefault="00CC715B" w:rsidP="00CC715B">
            <w:p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Como se observa en el </w:t>
            </w:r>
            <w:r w:rsidRPr="009D74A3">
              <w:rPr>
                <w:rFonts w:ascii="Times New Roman" w:hAnsi="Times New Roman" w:cs="Times New Roman"/>
                <w:b/>
                <w:bCs/>
                <w:sz w:val="24"/>
                <w:szCs w:val="24"/>
              </w:rPr>
              <w:t>gráfico 7</w:t>
            </w:r>
            <w:r w:rsidRPr="009D74A3">
              <w:rPr>
                <w:rFonts w:ascii="Times New Roman" w:hAnsi="Times New Roman" w:cs="Times New Roman"/>
                <w:sz w:val="24"/>
                <w:szCs w:val="24"/>
              </w:rPr>
              <w:t>,</w:t>
            </w:r>
            <w:r w:rsidR="0018624A">
              <w:rPr>
                <w:rFonts w:ascii="Times New Roman" w:hAnsi="Times New Roman" w:cs="Times New Roman"/>
                <w:sz w:val="24"/>
                <w:szCs w:val="24"/>
              </w:rPr>
              <w:t>de conformidad con las cifras del DANE,</w:t>
            </w:r>
            <w:r w:rsidRPr="009D74A3">
              <w:rPr>
                <w:rFonts w:ascii="Times New Roman" w:hAnsi="Times New Roman" w:cs="Times New Roman"/>
                <w:sz w:val="24"/>
                <w:szCs w:val="24"/>
              </w:rPr>
              <w:t xml:space="preserve"> los sectores que presentaron mayores crecimientos (contribución entre paréntesis) en la economía de Bogotá en 2024 fueron: construcción con un incremento de 10,8% (0,3 p.p.), actividades artísticas con 8,4% (0,5 p.p.), minas y canteras con 5,4% (0,0 p.p.), agricultura con 4,0% (0,0 p.p.), administración pública, defensa, educación y salud con 4,0% (0,6 p.p.) y comercio, transporte, alojamiento y servicios de comida con 1,8% (0,3 p.p.). Por su parte, presentaron disminuciones anuales los sectores de: información y comunicaciones, con una leve caída de -0,2% (0,0 p.p.), servicios públicos con -2,0% (0,0 p.p.) e industria manufacturera con -2,4% (-0,2 p.p.).</w:t>
            </w:r>
          </w:p>
          <w:p w14:paraId="47172DE0" w14:textId="77777777" w:rsidR="00CC715B" w:rsidRPr="009D74A3" w:rsidRDefault="00CC715B" w:rsidP="00CC715B">
            <w:pPr>
              <w:contextualSpacing/>
              <w:jc w:val="both"/>
              <w:rPr>
                <w:rFonts w:ascii="Times New Roman" w:hAnsi="Times New Roman" w:cs="Times New Roman"/>
                <w:sz w:val="24"/>
                <w:szCs w:val="24"/>
              </w:rPr>
            </w:pPr>
          </w:p>
          <w:p w14:paraId="5F47C530" w14:textId="77777777" w:rsidR="00CC715B" w:rsidRPr="009D74A3" w:rsidRDefault="00CC715B" w:rsidP="00CC715B">
            <w:p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La dinámica del sector de la construcción en Bogotá en 2024 (10,8%) se explica por un incremento anual de 20,8% en las obras de ingeniería civil, las cuales han sido un impulsor de la economía de Bogotá, las actividades especializadas para la construcción con 8,5%, y de 5,4% en la construcción de edificaciones residencial y no residenciales. Por su parte, el crecimiento del sector de comercio, transporte, alojamiento y servicios de comida (1,8%) en 2024, se explica por el aumento anual de los sectores de comercio y reparación de vehículos (2,8%) y transporte y almacenamiento (1,4%), contrarrestado en parte por la diminución de alojamiento y servicios de comida (-3,8%), en el mismo periodo de análisis. </w:t>
            </w:r>
          </w:p>
          <w:p w14:paraId="5F64A1F8" w14:textId="77777777" w:rsidR="00CC715B" w:rsidRPr="009D74A3" w:rsidRDefault="00CC715B" w:rsidP="00CC715B">
            <w:pPr>
              <w:contextualSpacing/>
              <w:jc w:val="center"/>
              <w:rPr>
                <w:rFonts w:ascii="Times New Roman" w:hAnsi="Times New Roman" w:cs="Times New Roman"/>
                <w:b/>
              </w:rPr>
            </w:pPr>
          </w:p>
          <w:p w14:paraId="487865B5" w14:textId="77777777" w:rsidR="00CC715B" w:rsidRPr="009D74A3" w:rsidRDefault="00CC715B" w:rsidP="005B4D07">
            <w:pPr>
              <w:contextualSpacing/>
              <w:rPr>
                <w:rFonts w:ascii="Times New Roman" w:hAnsi="Times New Roman" w:cs="Times New Roman"/>
                <w:b/>
              </w:rPr>
            </w:pPr>
          </w:p>
          <w:p w14:paraId="4DE2A3A0" w14:textId="77777777" w:rsidR="00CC715B" w:rsidRPr="009D74A3" w:rsidRDefault="00CC715B" w:rsidP="00CC715B">
            <w:pPr>
              <w:contextualSpacing/>
              <w:jc w:val="center"/>
              <w:rPr>
                <w:rFonts w:ascii="Times New Roman" w:hAnsi="Times New Roman" w:cs="Times New Roman"/>
                <w:b/>
              </w:rPr>
            </w:pPr>
          </w:p>
          <w:p w14:paraId="0AAC06EC" w14:textId="77777777" w:rsidR="00CC715B" w:rsidRPr="009D74A3" w:rsidRDefault="00CC715B" w:rsidP="00CC715B">
            <w:pPr>
              <w:contextualSpacing/>
              <w:jc w:val="center"/>
              <w:rPr>
                <w:rFonts w:ascii="Times New Roman" w:hAnsi="Times New Roman" w:cs="Times New Roman"/>
                <w:b/>
              </w:rPr>
            </w:pPr>
          </w:p>
          <w:p w14:paraId="04923E64" w14:textId="77777777" w:rsidR="00CC715B" w:rsidRPr="009D74A3" w:rsidRDefault="00CC715B" w:rsidP="00CC715B">
            <w:pPr>
              <w:contextualSpacing/>
              <w:jc w:val="center"/>
              <w:rPr>
                <w:rFonts w:ascii="Times New Roman" w:hAnsi="Times New Roman" w:cs="Times New Roman"/>
                <w:b/>
              </w:rPr>
            </w:pPr>
          </w:p>
          <w:p w14:paraId="79702DB5" w14:textId="514D676B" w:rsidR="00CC715B" w:rsidRPr="009D74A3" w:rsidRDefault="00CC715B" w:rsidP="00CC715B">
            <w:pPr>
              <w:contextualSpacing/>
              <w:jc w:val="center"/>
              <w:rPr>
                <w:rFonts w:ascii="Times New Roman" w:hAnsi="Times New Roman" w:cs="Times New Roman"/>
                <w:b/>
              </w:rPr>
            </w:pPr>
          </w:p>
          <w:p w14:paraId="21855DE6" w14:textId="146FF4DC" w:rsidR="005B4D07" w:rsidRPr="009D74A3" w:rsidRDefault="005B4D07" w:rsidP="00CC715B">
            <w:pPr>
              <w:contextualSpacing/>
              <w:jc w:val="center"/>
              <w:rPr>
                <w:rFonts w:ascii="Times New Roman" w:hAnsi="Times New Roman" w:cs="Times New Roman"/>
                <w:b/>
              </w:rPr>
            </w:pPr>
          </w:p>
          <w:p w14:paraId="26114728" w14:textId="7FE39BF3" w:rsidR="005B4D07" w:rsidRDefault="005B4D07" w:rsidP="00CC715B">
            <w:pPr>
              <w:contextualSpacing/>
              <w:jc w:val="center"/>
              <w:rPr>
                <w:rFonts w:ascii="Times New Roman" w:hAnsi="Times New Roman" w:cs="Times New Roman"/>
                <w:b/>
              </w:rPr>
            </w:pPr>
          </w:p>
          <w:p w14:paraId="3685099E" w14:textId="77777777" w:rsidR="00D308F2" w:rsidRPr="009D74A3" w:rsidRDefault="00D308F2" w:rsidP="00CC715B">
            <w:pPr>
              <w:contextualSpacing/>
              <w:jc w:val="center"/>
              <w:rPr>
                <w:rFonts w:ascii="Times New Roman" w:hAnsi="Times New Roman" w:cs="Times New Roman"/>
                <w:b/>
              </w:rPr>
            </w:pPr>
          </w:p>
          <w:p w14:paraId="59E2B1FC" w14:textId="68D3025C" w:rsidR="005B4D07" w:rsidRPr="009D74A3" w:rsidRDefault="005B4D07" w:rsidP="00CC715B">
            <w:pPr>
              <w:contextualSpacing/>
              <w:jc w:val="center"/>
              <w:rPr>
                <w:rFonts w:ascii="Times New Roman" w:hAnsi="Times New Roman" w:cs="Times New Roman"/>
                <w:b/>
              </w:rPr>
            </w:pPr>
          </w:p>
          <w:p w14:paraId="020E8042" w14:textId="015B089F" w:rsidR="005B4D07" w:rsidRPr="009D74A3" w:rsidRDefault="005B4D07" w:rsidP="00CC715B">
            <w:pPr>
              <w:contextualSpacing/>
              <w:jc w:val="center"/>
              <w:rPr>
                <w:rFonts w:ascii="Times New Roman" w:hAnsi="Times New Roman" w:cs="Times New Roman"/>
                <w:b/>
              </w:rPr>
            </w:pPr>
          </w:p>
          <w:p w14:paraId="1C66686C" w14:textId="77777777" w:rsidR="005B4D07" w:rsidRPr="009D74A3" w:rsidRDefault="005B4D07" w:rsidP="00CC715B">
            <w:pPr>
              <w:contextualSpacing/>
              <w:jc w:val="center"/>
              <w:rPr>
                <w:rFonts w:ascii="Times New Roman" w:hAnsi="Times New Roman" w:cs="Times New Roman"/>
                <w:b/>
              </w:rPr>
            </w:pPr>
          </w:p>
          <w:p w14:paraId="5F967F79" w14:textId="77777777" w:rsidR="00CC715B" w:rsidRPr="009D74A3" w:rsidRDefault="00CC715B" w:rsidP="00CC715B">
            <w:pPr>
              <w:contextualSpacing/>
              <w:jc w:val="center"/>
              <w:rPr>
                <w:rFonts w:ascii="Times New Roman" w:hAnsi="Times New Roman" w:cs="Times New Roman"/>
                <w:bCs/>
                <w:i/>
                <w:iCs/>
              </w:rPr>
            </w:pPr>
            <w:r w:rsidRPr="009D74A3">
              <w:rPr>
                <w:rFonts w:ascii="Times New Roman" w:hAnsi="Times New Roman" w:cs="Times New Roman"/>
                <w:b/>
              </w:rPr>
              <w:t>Gráfico 7.</w:t>
            </w:r>
            <w:r w:rsidRPr="009D74A3">
              <w:rPr>
                <w:rFonts w:ascii="Times New Roman" w:hAnsi="Times New Roman" w:cs="Times New Roman"/>
                <w:b/>
              </w:rPr>
              <w:br/>
              <w:t>Producto Interno Bruto sectorial – 2024</w:t>
            </w:r>
            <w:r w:rsidRPr="009D74A3">
              <w:rPr>
                <w:rFonts w:ascii="Times New Roman" w:hAnsi="Times New Roman" w:cs="Times New Roman"/>
                <w:b/>
                <w:vertAlign w:val="superscript"/>
              </w:rPr>
              <w:t>pr</w:t>
            </w:r>
            <w:r w:rsidRPr="009D74A3">
              <w:rPr>
                <w:rFonts w:ascii="Times New Roman" w:hAnsi="Times New Roman" w:cs="Times New Roman"/>
                <w:b/>
              </w:rPr>
              <w:t xml:space="preserve"> </w:t>
            </w:r>
            <w:r w:rsidRPr="009D74A3">
              <w:rPr>
                <w:rFonts w:ascii="Times New Roman" w:hAnsi="Times New Roman" w:cs="Times New Roman"/>
                <w:b/>
              </w:rPr>
              <w:br/>
            </w:r>
            <w:r w:rsidRPr="009D74A3">
              <w:rPr>
                <w:rFonts w:ascii="Times New Roman" w:hAnsi="Times New Roman" w:cs="Times New Roman"/>
                <w:bCs/>
                <w:i/>
                <w:iCs/>
              </w:rPr>
              <w:t>Variación real anual (%)</w:t>
            </w:r>
          </w:p>
          <w:p w14:paraId="2BA53593" w14:textId="77777777" w:rsidR="00CC715B" w:rsidRPr="009D74A3" w:rsidRDefault="00CC715B" w:rsidP="00CC715B">
            <w:pPr>
              <w:contextualSpacing/>
              <w:jc w:val="center"/>
              <w:rPr>
                <w:rFonts w:ascii="Times New Roman" w:hAnsi="Times New Roman" w:cs="Times New Roman"/>
                <w:bCs/>
                <w:i/>
                <w:iCs/>
              </w:rPr>
            </w:pPr>
            <w:r w:rsidRPr="009D74A3">
              <w:rPr>
                <w:rFonts w:ascii="Times New Roman" w:hAnsi="Times New Roman" w:cs="Times New Roman"/>
                <w:bCs/>
                <w:i/>
                <w:iCs/>
                <w:noProof/>
                <w:lang w:eastAsia="es-CO"/>
              </w:rPr>
              <w:drawing>
                <wp:inline distT="0" distB="0" distL="0" distR="0" wp14:anchorId="7F40198D" wp14:editId="59213F7D">
                  <wp:extent cx="4322445" cy="2952750"/>
                  <wp:effectExtent l="0" t="0" r="0" b="0"/>
                  <wp:docPr id="1970547897"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22445" cy="2952750"/>
                          </a:xfrm>
                          <a:prstGeom prst="rect">
                            <a:avLst/>
                          </a:prstGeom>
                          <a:noFill/>
                        </pic:spPr>
                      </pic:pic>
                    </a:graphicData>
                  </a:graphic>
                </wp:inline>
              </w:drawing>
            </w:r>
          </w:p>
          <w:p w14:paraId="7C052276" w14:textId="77777777" w:rsidR="00CC715B" w:rsidRPr="009D74A3" w:rsidRDefault="00CC715B" w:rsidP="00CC715B">
            <w:pPr>
              <w:ind w:firstLine="1626"/>
              <w:contextualSpacing/>
              <w:rPr>
                <w:rFonts w:ascii="Times New Roman" w:hAnsi="Times New Roman" w:cs="Times New Roman"/>
              </w:rPr>
            </w:pPr>
            <w:r w:rsidRPr="009D74A3">
              <w:rPr>
                <w:rFonts w:ascii="Times New Roman" w:hAnsi="Times New Roman" w:cs="Times New Roman"/>
                <w:b/>
                <w:bCs/>
                <w:sz w:val="20"/>
                <w:szCs w:val="20"/>
              </w:rPr>
              <w:t>Fuente:</w:t>
            </w:r>
            <w:r w:rsidRPr="009D74A3">
              <w:rPr>
                <w:rFonts w:ascii="Times New Roman" w:hAnsi="Times New Roman" w:cs="Times New Roman"/>
                <w:sz w:val="20"/>
                <w:szCs w:val="20"/>
              </w:rPr>
              <w:t xml:space="preserve"> DANE, Cuentas nacionales, PIB trimestral de Bogotá D.C.</w:t>
            </w:r>
          </w:p>
          <w:p w14:paraId="6C0815CE" w14:textId="77777777" w:rsidR="00CC715B" w:rsidRPr="009D74A3" w:rsidRDefault="00CC715B" w:rsidP="00CC715B">
            <w:pPr>
              <w:contextualSpacing/>
              <w:jc w:val="both"/>
              <w:rPr>
                <w:rFonts w:ascii="Times New Roman" w:hAnsi="Times New Roman" w:cs="Times New Roman"/>
              </w:rPr>
            </w:pPr>
          </w:p>
          <w:p w14:paraId="0D39734E" w14:textId="77777777" w:rsidR="00CC715B" w:rsidRPr="009D74A3" w:rsidRDefault="00CC715B" w:rsidP="00CC715B">
            <w:p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En el </w:t>
            </w:r>
            <w:r w:rsidRPr="009D74A3">
              <w:rPr>
                <w:rFonts w:ascii="Times New Roman" w:hAnsi="Times New Roman" w:cs="Times New Roman"/>
                <w:b/>
                <w:bCs/>
                <w:sz w:val="24"/>
                <w:szCs w:val="24"/>
              </w:rPr>
              <w:t>gráfico 8</w:t>
            </w:r>
            <w:r w:rsidRPr="009D74A3">
              <w:rPr>
                <w:rFonts w:ascii="Times New Roman" w:hAnsi="Times New Roman" w:cs="Times New Roman"/>
                <w:sz w:val="24"/>
                <w:szCs w:val="24"/>
              </w:rPr>
              <w:t xml:space="preserve"> se observa que en el cuarto trimestre de 2024, el Producto Interno Bruto de Bogotá presentó un crecimiento 2,8% frente al mismo periodo del año anterior, superior al registrado en el total nacional (2,5%), y continuando su recuperación gradual iniciada en el segundo semestre de 2023, lo que muestra la convergencia del crecimiento de la economía a su potencial.</w:t>
            </w:r>
          </w:p>
          <w:p w14:paraId="7009275D" w14:textId="77777777" w:rsidR="00CC715B" w:rsidRPr="009D74A3" w:rsidRDefault="00CC715B" w:rsidP="00CC715B">
            <w:pPr>
              <w:contextualSpacing/>
              <w:jc w:val="both"/>
              <w:rPr>
                <w:rFonts w:ascii="Times New Roman" w:hAnsi="Times New Roman" w:cs="Times New Roman"/>
              </w:rPr>
            </w:pPr>
          </w:p>
          <w:p w14:paraId="2A38052F" w14:textId="77777777" w:rsidR="00CC715B" w:rsidRPr="009D74A3" w:rsidRDefault="00CC715B" w:rsidP="00CC715B">
            <w:pPr>
              <w:contextualSpacing/>
              <w:jc w:val="center"/>
              <w:rPr>
                <w:rFonts w:ascii="Times New Roman" w:hAnsi="Times New Roman" w:cs="Times New Roman"/>
                <w:b/>
              </w:rPr>
            </w:pPr>
            <w:r w:rsidRPr="009D74A3">
              <w:rPr>
                <w:rFonts w:ascii="Times New Roman" w:hAnsi="Times New Roman" w:cs="Times New Roman"/>
                <w:b/>
              </w:rPr>
              <w:t>Gráfico 8.</w:t>
            </w:r>
            <w:r w:rsidRPr="009D74A3">
              <w:rPr>
                <w:rFonts w:ascii="Times New Roman" w:hAnsi="Times New Roman" w:cs="Times New Roman"/>
                <w:b/>
              </w:rPr>
              <w:br/>
              <w:t xml:space="preserve">Producto Interno Bruto – trimestral </w:t>
            </w:r>
          </w:p>
          <w:p w14:paraId="422BB337" w14:textId="77777777" w:rsidR="00CC715B" w:rsidRPr="009D74A3" w:rsidRDefault="00CC715B" w:rsidP="00CC715B">
            <w:pPr>
              <w:contextualSpacing/>
              <w:jc w:val="center"/>
              <w:rPr>
                <w:rFonts w:ascii="Times New Roman" w:hAnsi="Times New Roman" w:cs="Times New Roman"/>
                <w:bCs/>
                <w:i/>
                <w:iCs/>
              </w:rPr>
            </w:pPr>
            <w:r w:rsidRPr="009D74A3">
              <w:rPr>
                <w:rFonts w:ascii="Times New Roman" w:hAnsi="Times New Roman" w:cs="Times New Roman"/>
                <w:bCs/>
                <w:i/>
                <w:iCs/>
              </w:rPr>
              <w:t>Variación real anual (%)</w:t>
            </w:r>
          </w:p>
          <w:p w14:paraId="21872856" w14:textId="77777777" w:rsidR="00CC715B" w:rsidRPr="009D74A3" w:rsidRDefault="00CC715B" w:rsidP="00CC715B">
            <w:pPr>
              <w:contextualSpacing/>
              <w:jc w:val="center"/>
              <w:rPr>
                <w:rFonts w:ascii="Times New Roman" w:hAnsi="Times New Roman" w:cs="Times New Roman"/>
                <w:bCs/>
                <w:i/>
                <w:iCs/>
              </w:rPr>
            </w:pPr>
            <w:r w:rsidRPr="009D74A3">
              <w:rPr>
                <w:rFonts w:ascii="Times New Roman" w:hAnsi="Times New Roman" w:cs="Times New Roman"/>
                <w:bCs/>
                <w:i/>
                <w:iCs/>
                <w:noProof/>
                <w:lang w:eastAsia="es-CO"/>
              </w:rPr>
              <w:drawing>
                <wp:inline distT="0" distB="0" distL="0" distR="0" wp14:anchorId="6B8D959E" wp14:editId="31B1CE3A">
                  <wp:extent cx="5578475" cy="2158365"/>
                  <wp:effectExtent l="0" t="0" r="3175" b="0"/>
                  <wp:docPr id="1333514380"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78475" cy="2158365"/>
                          </a:xfrm>
                          <a:prstGeom prst="rect">
                            <a:avLst/>
                          </a:prstGeom>
                          <a:noFill/>
                        </pic:spPr>
                      </pic:pic>
                    </a:graphicData>
                  </a:graphic>
                </wp:inline>
              </w:drawing>
            </w:r>
          </w:p>
          <w:p w14:paraId="59233F89" w14:textId="77777777" w:rsidR="00CC715B" w:rsidRPr="009D74A3" w:rsidRDefault="00CC715B" w:rsidP="00CC715B">
            <w:pPr>
              <w:ind w:firstLine="776"/>
              <w:contextualSpacing/>
              <w:rPr>
                <w:rFonts w:ascii="Times New Roman" w:hAnsi="Times New Roman" w:cs="Times New Roman"/>
                <w:sz w:val="20"/>
                <w:szCs w:val="20"/>
              </w:rPr>
            </w:pPr>
            <w:r w:rsidRPr="009D74A3">
              <w:rPr>
                <w:rFonts w:ascii="Times New Roman" w:hAnsi="Times New Roman" w:cs="Times New Roman"/>
                <w:b/>
                <w:sz w:val="20"/>
                <w:szCs w:val="20"/>
              </w:rPr>
              <w:t xml:space="preserve">p: </w:t>
            </w:r>
            <w:r w:rsidRPr="009D74A3">
              <w:rPr>
                <w:rFonts w:ascii="Times New Roman" w:hAnsi="Times New Roman" w:cs="Times New Roman"/>
                <w:bCs/>
                <w:sz w:val="20"/>
                <w:szCs w:val="20"/>
              </w:rPr>
              <w:t>provisional;</w:t>
            </w:r>
            <w:r w:rsidRPr="009D74A3">
              <w:rPr>
                <w:rFonts w:ascii="Times New Roman" w:hAnsi="Times New Roman" w:cs="Times New Roman"/>
                <w:sz w:val="20"/>
                <w:szCs w:val="20"/>
              </w:rPr>
              <w:t xml:space="preserve"> </w:t>
            </w:r>
            <w:r w:rsidRPr="009D74A3">
              <w:rPr>
                <w:rFonts w:ascii="Times New Roman" w:hAnsi="Times New Roman" w:cs="Times New Roman"/>
                <w:b/>
                <w:bCs/>
                <w:sz w:val="20"/>
                <w:szCs w:val="20"/>
              </w:rPr>
              <w:t>pr:</w:t>
            </w:r>
            <w:r w:rsidRPr="009D74A3">
              <w:rPr>
                <w:rFonts w:ascii="Times New Roman" w:hAnsi="Times New Roman" w:cs="Times New Roman"/>
                <w:sz w:val="20"/>
                <w:szCs w:val="20"/>
              </w:rPr>
              <w:t xml:space="preserve"> preliminar.</w:t>
            </w:r>
          </w:p>
          <w:p w14:paraId="384951DF" w14:textId="77777777" w:rsidR="00CC715B" w:rsidRPr="009D74A3" w:rsidRDefault="00CC715B" w:rsidP="00CC715B">
            <w:pPr>
              <w:ind w:firstLine="776"/>
              <w:contextualSpacing/>
              <w:rPr>
                <w:rFonts w:ascii="Times New Roman" w:hAnsi="Times New Roman" w:cs="Times New Roman"/>
                <w:sz w:val="20"/>
                <w:szCs w:val="20"/>
              </w:rPr>
            </w:pPr>
            <w:r w:rsidRPr="009D74A3">
              <w:rPr>
                <w:rFonts w:ascii="Times New Roman" w:hAnsi="Times New Roman" w:cs="Times New Roman"/>
                <w:b/>
                <w:sz w:val="20"/>
                <w:szCs w:val="20"/>
              </w:rPr>
              <w:t>Fuente:</w:t>
            </w:r>
            <w:r w:rsidRPr="009D74A3">
              <w:rPr>
                <w:rFonts w:ascii="Times New Roman" w:hAnsi="Times New Roman" w:cs="Times New Roman"/>
                <w:sz w:val="20"/>
                <w:szCs w:val="20"/>
              </w:rPr>
              <w:t xml:space="preserve"> DANE, Cuentas nacionales, PIB trimestral de Bogotá D.C.</w:t>
            </w:r>
          </w:p>
          <w:p w14:paraId="6FD6AF73" w14:textId="77777777" w:rsidR="00CC715B" w:rsidRPr="009D74A3" w:rsidRDefault="00CC715B" w:rsidP="00CC715B">
            <w:pPr>
              <w:contextualSpacing/>
              <w:jc w:val="both"/>
              <w:rPr>
                <w:rFonts w:ascii="Times New Roman" w:hAnsi="Times New Roman" w:cs="Times New Roman"/>
              </w:rPr>
            </w:pPr>
          </w:p>
          <w:p w14:paraId="1A15CE02" w14:textId="79AD4510" w:rsidR="00CC715B" w:rsidRPr="009D74A3" w:rsidRDefault="00CC715B" w:rsidP="00CC715B">
            <w:pPr>
              <w:contextualSpacing/>
              <w:jc w:val="both"/>
              <w:rPr>
                <w:rFonts w:ascii="Times New Roman" w:hAnsi="Times New Roman" w:cs="Times New Roman"/>
                <w:sz w:val="24"/>
                <w:szCs w:val="24"/>
              </w:rPr>
            </w:pPr>
            <w:r w:rsidRPr="009D74A3">
              <w:rPr>
                <w:rFonts w:ascii="Times New Roman" w:hAnsi="Times New Roman" w:cs="Times New Roman"/>
                <w:sz w:val="24"/>
                <w:szCs w:val="24"/>
              </w:rPr>
              <w:t>El crecimiento de la economía distrital en el cuarto trimestre de 2024 se explica por el incremento anual (contribución) de los sectores de: actividades artísticas que registró un aumento de 7,0% (0,5 p.p.), construcción con 5,8% (0,2 p.p.), comercio, transporte, alojamiento y servicios de comida con 5,0% (1,0 p.p.) y administración pública, defensa, educación y salud con 4,5% (0,7 p.p.) (</w:t>
            </w:r>
            <w:r w:rsidRPr="009D74A3">
              <w:rPr>
                <w:rFonts w:ascii="Times New Roman" w:hAnsi="Times New Roman" w:cs="Times New Roman"/>
                <w:b/>
                <w:bCs/>
                <w:sz w:val="24"/>
                <w:szCs w:val="24"/>
              </w:rPr>
              <w:t>Gráfico 9</w:t>
            </w:r>
            <w:r w:rsidRPr="009D74A3">
              <w:rPr>
                <w:rFonts w:ascii="Times New Roman" w:hAnsi="Times New Roman" w:cs="Times New Roman"/>
                <w:sz w:val="24"/>
                <w:szCs w:val="24"/>
              </w:rPr>
              <w:t>).</w:t>
            </w:r>
          </w:p>
          <w:p w14:paraId="518CE6B0" w14:textId="77777777" w:rsidR="00CC715B" w:rsidRPr="009D74A3" w:rsidRDefault="00CC715B" w:rsidP="00CC715B">
            <w:pPr>
              <w:contextualSpacing/>
              <w:jc w:val="both"/>
              <w:rPr>
                <w:rFonts w:ascii="Times New Roman" w:hAnsi="Times New Roman" w:cs="Times New Roman"/>
                <w:sz w:val="24"/>
                <w:szCs w:val="24"/>
              </w:rPr>
            </w:pPr>
          </w:p>
          <w:p w14:paraId="257ABE1D" w14:textId="77777777" w:rsidR="00CC715B" w:rsidRPr="009D74A3" w:rsidRDefault="00CC715B" w:rsidP="00CC715B">
            <w:pPr>
              <w:contextualSpacing/>
              <w:jc w:val="both"/>
              <w:rPr>
                <w:rFonts w:ascii="Times New Roman" w:hAnsi="Times New Roman" w:cs="Times New Roman"/>
                <w:spacing w:val="-2"/>
                <w:sz w:val="24"/>
                <w:szCs w:val="24"/>
              </w:rPr>
            </w:pPr>
            <w:r w:rsidRPr="009D74A3">
              <w:rPr>
                <w:rFonts w:ascii="Times New Roman" w:hAnsi="Times New Roman" w:cs="Times New Roman"/>
                <w:spacing w:val="-2"/>
                <w:sz w:val="24"/>
                <w:szCs w:val="24"/>
              </w:rPr>
              <w:t xml:space="preserve">En comparación al agregado nacional, de acuerdo con el siguiente gráfico, Bogotá tuvo un crecimiento superior en los sectores de: construcción; minas y canteras; comercio, transporte, alojamiento y servicios de comida; y actividades artísticas; administración pública, defensa, educación y salud; actividades inmobiliarias; industria manufacturera; actividades profesionales e información y comunicaciones. </w:t>
            </w:r>
          </w:p>
          <w:p w14:paraId="70DC1FA5" w14:textId="77777777" w:rsidR="00CC715B" w:rsidRPr="009D74A3" w:rsidRDefault="00CC715B" w:rsidP="00CC715B">
            <w:pPr>
              <w:contextualSpacing/>
              <w:jc w:val="both"/>
              <w:rPr>
                <w:rFonts w:ascii="Times New Roman" w:hAnsi="Times New Roman" w:cs="Times New Roman"/>
                <w:spacing w:val="-2"/>
              </w:rPr>
            </w:pPr>
          </w:p>
          <w:p w14:paraId="47B6F739" w14:textId="77777777" w:rsidR="00CC715B" w:rsidRPr="009D74A3" w:rsidRDefault="00CC715B" w:rsidP="00CC715B">
            <w:pPr>
              <w:contextualSpacing/>
              <w:jc w:val="center"/>
              <w:rPr>
                <w:rFonts w:ascii="Times New Roman" w:hAnsi="Times New Roman" w:cs="Times New Roman"/>
                <w:bCs/>
                <w:i/>
                <w:iCs/>
              </w:rPr>
            </w:pPr>
            <w:r w:rsidRPr="009D74A3">
              <w:rPr>
                <w:rFonts w:ascii="Times New Roman" w:hAnsi="Times New Roman" w:cs="Times New Roman"/>
                <w:b/>
              </w:rPr>
              <w:t>Gráfico 9.</w:t>
            </w:r>
            <w:r w:rsidRPr="009D74A3">
              <w:rPr>
                <w:rFonts w:ascii="Times New Roman" w:hAnsi="Times New Roman" w:cs="Times New Roman"/>
              </w:rPr>
              <w:br/>
            </w:r>
            <w:r w:rsidRPr="009D74A3">
              <w:rPr>
                <w:rFonts w:ascii="Times New Roman" w:hAnsi="Times New Roman" w:cs="Times New Roman"/>
                <w:b/>
              </w:rPr>
              <w:t>Producto Interno Bruto sectorial – cuarto trimestre de 2024</w:t>
            </w:r>
            <w:r w:rsidRPr="009D74A3">
              <w:rPr>
                <w:rFonts w:ascii="Times New Roman" w:hAnsi="Times New Roman" w:cs="Times New Roman"/>
                <w:b/>
                <w:vertAlign w:val="superscript"/>
              </w:rPr>
              <w:t>pr</w:t>
            </w:r>
            <w:r w:rsidRPr="009D74A3">
              <w:rPr>
                <w:rFonts w:ascii="Times New Roman" w:hAnsi="Times New Roman" w:cs="Times New Roman"/>
                <w:b/>
              </w:rPr>
              <w:t xml:space="preserve"> </w:t>
            </w:r>
            <w:r w:rsidRPr="009D74A3">
              <w:rPr>
                <w:rFonts w:ascii="Times New Roman" w:hAnsi="Times New Roman" w:cs="Times New Roman"/>
              </w:rPr>
              <w:br/>
            </w:r>
            <w:r w:rsidRPr="009D74A3">
              <w:rPr>
                <w:rFonts w:ascii="Times New Roman" w:hAnsi="Times New Roman" w:cs="Times New Roman"/>
                <w:bCs/>
                <w:i/>
                <w:iCs/>
              </w:rPr>
              <w:t>Variación real anual (%)</w:t>
            </w:r>
          </w:p>
          <w:p w14:paraId="51373054" w14:textId="77777777" w:rsidR="00CC715B" w:rsidRPr="009D74A3" w:rsidRDefault="00CC715B" w:rsidP="00CC715B">
            <w:pPr>
              <w:contextualSpacing/>
              <w:jc w:val="center"/>
              <w:rPr>
                <w:rFonts w:ascii="Times New Roman" w:hAnsi="Times New Roman" w:cs="Times New Roman"/>
                <w:b/>
                <w:sz w:val="20"/>
                <w:szCs w:val="20"/>
              </w:rPr>
            </w:pPr>
            <w:r w:rsidRPr="009D74A3">
              <w:rPr>
                <w:rFonts w:ascii="Times New Roman" w:hAnsi="Times New Roman" w:cs="Times New Roman"/>
                <w:b/>
                <w:noProof/>
                <w:sz w:val="20"/>
                <w:szCs w:val="20"/>
                <w:lang w:eastAsia="es-CO"/>
              </w:rPr>
              <w:drawing>
                <wp:inline distT="0" distB="0" distL="0" distR="0" wp14:anchorId="0D415C6B" wp14:editId="40D81A4B">
                  <wp:extent cx="3905993" cy="2447925"/>
                  <wp:effectExtent l="0" t="0" r="0" b="0"/>
                  <wp:docPr id="164455239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18010" cy="2455456"/>
                          </a:xfrm>
                          <a:prstGeom prst="rect">
                            <a:avLst/>
                          </a:prstGeom>
                          <a:noFill/>
                        </pic:spPr>
                      </pic:pic>
                    </a:graphicData>
                  </a:graphic>
                </wp:inline>
              </w:drawing>
            </w:r>
          </w:p>
          <w:p w14:paraId="4D45F290" w14:textId="77777777" w:rsidR="00CC715B" w:rsidRPr="009D74A3" w:rsidRDefault="00CC715B" w:rsidP="00CC715B">
            <w:pPr>
              <w:ind w:firstLine="1910"/>
              <w:contextualSpacing/>
              <w:jc w:val="both"/>
              <w:rPr>
                <w:rFonts w:ascii="Times New Roman" w:hAnsi="Times New Roman" w:cs="Times New Roman"/>
                <w:sz w:val="20"/>
                <w:szCs w:val="20"/>
              </w:rPr>
            </w:pPr>
            <w:r w:rsidRPr="009D74A3">
              <w:rPr>
                <w:rFonts w:ascii="Times New Roman" w:hAnsi="Times New Roman" w:cs="Times New Roman"/>
                <w:b/>
                <w:bCs/>
                <w:sz w:val="20"/>
                <w:szCs w:val="20"/>
              </w:rPr>
              <w:t>Fuente:</w:t>
            </w:r>
            <w:r w:rsidRPr="009D74A3">
              <w:rPr>
                <w:rFonts w:ascii="Times New Roman" w:hAnsi="Times New Roman" w:cs="Times New Roman"/>
                <w:sz w:val="20"/>
                <w:szCs w:val="20"/>
              </w:rPr>
              <w:t xml:space="preserve"> DANE, Cuentas nacionales, PIB trimestral de Bogotá D.C.</w:t>
            </w:r>
          </w:p>
          <w:p w14:paraId="0F77554F" w14:textId="77777777" w:rsidR="00CC715B" w:rsidRPr="009D74A3" w:rsidRDefault="00CC715B" w:rsidP="00CC715B">
            <w:pPr>
              <w:contextualSpacing/>
              <w:jc w:val="both"/>
              <w:rPr>
                <w:rFonts w:ascii="Times New Roman" w:hAnsi="Times New Roman" w:cs="Times New Roman"/>
                <w:sz w:val="20"/>
                <w:szCs w:val="20"/>
              </w:rPr>
            </w:pPr>
          </w:p>
          <w:p w14:paraId="701066C0" w14:textId="55E2D858" w:rsidR="00CC715B" w:rsidRPr="009D74A3" w:rsidRDefault="000574CD" w:rsidP="00CC715B">
            <w:pPr>
              <w:contextualSpacing/>
              <w:jc w:val="both"/>
              <w:rPr>
                <w:rFonts w:ascii="Times New Roman" w:hAnsi="Times New Roman" w:cs="Times New Roman"/>
                <w:sz w:val="24"/>
                <w:szCs w:val="24"/>
              </w:rPr>
            </w:pPr>
            <w:r>
              <w:rPr>
                <w:rFonts w:ascii="Times New Roman" w:hAnsi="Times New Roman" w:cs="Times New Roman"/>
                <w:sz w:val="24"/>
                <w:szCs w:val="24"/>
              </w:rPr>
              <w:t>E</w:t>
            </w:r>
            <w:r w:rsidR="00CC715B" w:rsidRPr="009D74A3">
              <w:rPr>
                <w:rFonts w:ascii="Times New Roman" w:hAnsi="Times New Roman" w:cs="Times New Roman"/>
                <w:sz w:val="24"/>
                <w:szCs w:val="24"/>
              </w:rPr>
              <w:t>n 2024</w:t>
            </w:r>
            <w:r w:rsidR="000E3459">
              <w:rPr>
                <w:rFonts w:ascii="Times New Roman" w:hAnsi="Times New Roman" w:cs="Times New Roman"/>
                <w:sz w:val="24"/>
                <w:szCs w:val="24"/>
              </w:rPr>
              <w:t>,</w:t>
            </w:r>
            <w:r w:rsidR="00CC715B" w:rsidRPr="009D74A3">
              <w:rPr>
                <w:rFonts w:ascii="Times New Roman" w:hAnsi="Times New Roman" w:cs="Times New Roman"/>
                <w:sz w:val="24"/>
                <w:szCs w:val="24"/>
              </w:rPr>
              <w:t xml:space="preserve"> la economía de Bogotá presentó crecimientos frente al periodo previo a la pandemia, con un incremento de 16,5%. Los sectores que mayores crecimientos presentaron fueron: actividades artísticas (78,5%), información y comunicaciones (28,4%), y actividades financieras (24,9%). Por su parte, continúan su proceso de recuperación los sectores de: construcción y minas y canteras (</w:t>
            </w:r>
            <w:r w:rsidR="00CC715B" w:rsidRPr="009D74A3">
              <w:rPr>
                <w:rFonts w:ascii="Times New Roman" w:hAnsi="Times New Roman" w:cs="Times New Roman"/>
                <w:b/>
                <w:bCs/>
                <w:sz w:val="24"/>
                <w:szCs w:val="24"/>
              </w:rPr>
              <w:t>Gráfico 10</w:t>
            </w:r>
            <w:r w:rsidR="00CC715B" w:rsidRPr="009D74A3">
              <w:rPr>
                <w:rFonts w:ascii="Times New Roman" w:hAnsi="Times New Roman" w:cs="Times New Roman"/>
                <w:sz w:val="24"/>
                <w:szCs w:val="24"/>
              </w:rPr>
              <w:t>).</w:t>
            </w:r>
          </w:p>
          <w:p w14:paraId="0F2AFD01" w14:textId="686B2135" w:rsidR="00CC715B" w:rsidRPr="009D74A3" w:rsidRDefault="00CC715B" w:rsidP="00CC715B">
            <w:pPr>
              <w:contextualSpacing/>
              <w:jc w:val="both"/>
              <w:rPr>
                <w:rFonts w:ascii="Times New Roman" w:hAnsi="Times New Roman" w:cs="Times New Roman"/>
                <w:sz w:val="24"/>
                <w:szCs w:val="24"/>
              </w:rPr>
            </w:pPr>
          </w:p>
          <w:p w14:paraId="7F38BD24" w14:textId="77777777" w:rsidR="00CC715B" w:rsidRPr="009D74A3" w:rsidRDefault="00CC715B" w:rsidP="00CC715B">
            <w:pPr>
              <w:contextualSpacing/>
              <w:jc w:val="center"/>
              <w:rPr>
                <w:rFonts w:ascii="Times New Roman" w:hAnsi="Times New Roman" w:cs="Times New Roman"/>
                <w:b/>
              </w:rPr>
            </w:pPr>
            <w:r w:rsidRPr="009D74A3">
              <w:rPr>
                <w:rFonts w:ascii="Times New Roman" w:hAnsi="Times New Roman" w:cs="Times New Roman"/>
                <w:b/>
              </w:rPr>
              <w:t>Gráfico 10.</w:t>
            </w:r>
            <w:r w:rsidRPr="009D74A3">
              <w:rPr>
                <w:rFonts w:ascii="Times New Roman" w:hAnsi="Times New Roman" w:cs="Times New Roman"/>
                <w:b/>
              </w:rPr>
              <w:br/>
              <w:t>Nivel de producción sectorial de Bogotá – 2024</w:t>
            </w:r>
            <w:r w:rsidRPr="009D74A3">
              <w:rPr>
                <w:rFonts w:ascii="Times New Roman" w:hAnsi="Times New Roman" w:cs="Times New Roman"/>
                <w:b/>
                <w:vertAlign w:val="superscript"/>
              </w:rPr>
              <w:t xml:space="preserve">pr </w:t>
            </w:r>
          </w:p>
          <w:p w14:paraId="3EBD0D9B" w14:textId="77777777" w:rsidR="00CC715B" w:rsidRPr="009D74A3" w:rsidRDefault="00CC715B" w:rsidP="00CC715B">
            <w:pPr>
              <w:contextualSpacing/>
              <w:jc w:val="center"/>
              <w:rPr>
                <w:rFonts w:ascii="Times New Roman" w:hAnsi="Times New Roman" w:cs="Times New Roman"/>
                <w:bCs/>
                <w:i/>
                <w:iCs/>
              </w:rPr>
            </w:pPr>
            <w:r w:rsidRPr="009D74A3">
              <w:rPr>
                <w:rFonts w:ascii="Times New Roman" w:hAnsi="Times New Roman" w:cs="Times New Roman"/>
                <w:bCs/>
                <w:i/>
                <w:iCs/>
              </w:rPr>
              <w:t>2019=100</w:t>
            </w:r>
          </w:p>
          <w:p w14:paraId="75BFD324" w14:textId="77777777" w:rsidR="00CC715B" w:rsidRPr="009D74A3" w:rsidRDefault="00CC715B" w:rsidP="00CC715B">
            <w:pPr>
              <w:contextualSpacing/>
              <w:jc w:val="center"/>
              <w:rPr>
                <w:rFonts w:ascii="Times New Roman" w:hAnsi="Times New Roman" w:cs="Times New Roman"/>
              </w:rPr>
            </w:pPr>
            <w:r w:rsidRPr="009D74A3">
              <w:rPr>
                <w:rFonts w:ascii="Times New Roman" w:hAnsi="Times New Roman" w:cs="Times New Roman"/>
                <w:noProof/>
                <w:lang w:eastAsia="es-CO"/>
              </w:rPr>
              <w:drawing>
                <wp:inline distT="0" distB="0" distL="0" distR="0" wp14:anchorId="050BD761" wp14:editId="0652B60C">
                  <wp:extent cx="4050983" cy="1857375"/>
                  <wp:effectExtent l="0" t="0" r="6985" b="0"/>
                  <wp:docPr id="1674944396"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57093" cy="1860177"/>
                          </a:xfrm>
                          <a:prstGeom prst="rect">
                            <a:avLst/>
                          </a:prstGeom>
                          <a:noFill/>
                        </pic:spPr>
                      </pic:pic>
                    </a:graphicData>
                  </a:graphic>
                </wp:inline>
              </w:drawing>
            </w:r>
          </w:p>
          <w:p w14:paraId="5B13F221" w14:textId="77777777" w:rsidR="00CC715B" w:rsidRPr="009D74A3" w:rsidRDefault="00CC715B" w:rsidP="00CC715B">
            <w:pPr>
              <w:ind w:firstLine="918"/>
              <w:contextualSpacing/>
              <w:rPr>
                <w:rFonts w:ascii="Times New Roman" w:hAnsi="Times New Roman" w:cs="Times New Roman"/>
                <w:sz w:val="20"/>
                <w:szCs w:val="20"/>
              </w:rPr>
            </w:pPr>
            <w:r w:rsidRPr="009D74A3">
              <w:rPr>
                <w:rFonts w:ascii="Times New Roman" w:hAnsi="Times New Roman" w:cs="Times New Roman"/>
                <w:b/>
                <w:sz w:val="20"/>
                <w:szCs w:val="20"/>
              </w:rPr>
              <w:t xml:space="preserve">Fuente: </w:t>
            </w:r>
            <w:r w:rsidRPr="009D74A3">
              <w:rPr>
                <w:rFonts w:ascii="Times New Roman" w:hAnsi="Times New Roman" w:cs="Times New Roman"/>
                <w:sz w:val="20"/>
                <w:szCs w:val="20"/>
              </w:rPr>
              <w:t>DANE, PIB trimestral de Bogotá D.C.</w:t>
            </w:r>
          </w:p>
          <w:p w14:paraId="273CC51D" w14:textId="77777777" w:rsidR="00CC715B" w:rsidRPr="009D74A3" w:rsidRDefault="00CC715B" w:rsidP="00CC715B">
            <w:pPr>
              <w:ind w:firstLine="918"/>
              <w:contextualSpacing/>
              <w:rPr>
                <w:rFonts w:ascii="Times New Roman" w:hAnsi="Times New Roman" w:cs="Times New Roman"/>
                <w:sz w:val="20"/>
                <w:szCs w:val="20"/>
              </w:rPr>
            </w:pPr>
            <w:r w:rsidRPr="009D74A3">
              <w:rPr>
                <w:rFonts w:ascii="Times New Roman" w:hAnsi="Times New Roman" w:cs="Times New Roman"/>
                <w:b/>
                <w:sz w:val="20"/>
                <w:szCs w:val="20"/>
              </w:rPr>
              <w:t>Cálculos:</w:t>
            </w:r>
            <w:r w:rsidRPr="009D74A3">
              <w:rPr>
                <w:rFonts w:ascii="Times New Roman" w:hAnsi="Times New Roman" w:cs="Times New Roman"/>
                <w:sz w:val="20"/>
                <w:szCs w:val="20"/>
              </w:rPr>
              <w:t xml:space="preserve"> Secretaría Distrital de Hacienda.</w:t>
            </w:r>
          </w:p>
          <w:p w14:paraId="6162BD4E" w14:textId="77777777" w:rsidR="00CC715B" w:rsidRPr="009D74A3" w:rsidRDefault="00CC715B" w:rsidP="00CC715B">
            <w:pPr>
              <w:ind w:left="708"/>
              <w:contextualSpacing/>
              <w:rPr>
                <w:rFonts w:ascii="Times New Roman" w:hAnsi="Times New Roman" w:cs="Times New Roman"/>
                <w:sz w:val="18"/>
                <w:szCs w:val="18"/>
              </w:rPr>
            </w:pPr>
          </w:p>
          <w:p w14:paraId="24053606" w14:textId="77777777" w:rsidR="00CC715B" w:rsidRPr="009D74A3" w:rsidRDefault="00CC715B" w:rsidP="00CC715B">
            <w:p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Como se observa en la </w:t>
            </w:r>
            <w:r w:rsidRPr="009D74A3">
              <w:rPr>
                <w:rFonts w:ascii="Times New Roman" w:hAnsi="Times New Roman" w:cs="Times New Roman"/>
                <w:b/>
                <w:bCs/>
                <w:sz w:val="24"/>
                <w:szCs w:val="24"/>
              </w:rPr>
              <w:t>tabla 3</w:t>
            </w:r>
            <w:r w:rsidRPr="009D74A3">
              <w:rPr>
                <w:rFonts w:ascii="Times New Roman" w:hAnsi="Times New Roman" w:cs="Times New Roman"/>
                <w:sz w:val="24"/>
                <w:szCs w:val="24"/>
              </w:rPr>
              <w:t xml:space="preserve">, el Producto Interno Bruto de Bogotá presentó entre 2006 y 2024 un crecimiento promedio anual de 3,7%, levemente inferior al promedio presentado antes de la pandemia (2006-2019), cuando se observó un crecimiento de 3,9%. Esta disminución es explicada por una dinámica más moderada entre 2020-2024, cuyo crecimiento promedio anual fue de 3,3%. El sector que mayor dinamismo ha presentado en Bogotá es de las actividades financieras, que presentó entre 2006 y 2024 un crecimiento promedio anual de 7,0%, seguido por: actividades artísticas (6,9%); información y comunicaciones (4,9%); comercio, transporte, alojamiento y servicios de comida (4,1%); y administración pública, defensa, educación y salud (3,8%). </w:t>
            </w:r>
          </w:p>
          <w:p w14:paraId="76F6521A" w14:textId="77777777" w:rsidR="00CC715B" w:rsidRPr="009D74A3" w:rsidRDefault="00CC715B" w:rsidP="00CC715B">
            <w:pPr>
              <w:contextualSpacing/>
              <w:jc w:val="center"/>
              <w:rPr>
                <w:rFonts w:ascii="Times New Roman" w:hAnsi="Times New Roman" w:cs="Times New Roman"/>
                <w:b/>
              </w:rPr>
            </w:pPr>
          </w:p>
          <w:p w14:paraId="62B8AC0D" w14:textId="77777777" w:rsidR="00CC715B" w:rsidRPr="009D74A3" w:rsidRDefault="00CC715B" w:rsidP="00CC715B">
            <w:pPr>
              <w:contextualSpacing/>
              <w:jc w:val="center"/>
              <w:rPr>
                <w:rFonts w:ascii="Times New Roman" w:hAnsi="Times New Roman" w:cs="Times New Roman"/>
                <w:bCs/>
                <w:i/>
                <w:iCs/>
              </w:rPr>
            </w:pPr>
            <w:r w:rsidRPr="009D74A3">
              <w:rPr>
                <w:rFonts w:ascii="Times New Roman" w:hAnsi="Times New Roman" w:cs="Times New Roman"/>
                <w:b/>
              </w:rPr>
              <w:t>Tabla 3.</w:t>
            </w:r>
            <w:r w:rsidRPr="009D74A3">
              <w:rPr>
                <w:rFonts w:ascii="Times New Roman" w:hAnsi="Times New Roman" w:cs="Times New Roman"/>
                <w:b/>
              </w:rPr>
              <w:br/>
              <w:t xml:space="preserve">Producto Interno Bruto sectorial de Bogotá </w:t>
            </w:r>
            <w:r w:rsidRPr="009D74A3">
              <w:rPr>
                <w:rFonts w:ascii="Times New Roman" w:hAnsi="Times New Roman" w:cs="Times New Roman"/>
                <w:b/>
              </w:rPr>
              <w:br/>
            </w:r>
            <w:r w:rsidRPr="009D74A3">
              <w:rPr>
                <w:rFonts w:ascii="Times New Roman" w:hAnsi="Times New Roman" w:cs="Times New Roman"/>
                <w:bCs/>
                <w:i/>
                <w:iCs/>
              </w:rPr>
              <w:t>Variación promedio anual (%)</w:t>
            </w:r>
          </w:p>
          <w:p w14:paraId="61AD4B42" w14:textId="77777777" w:rsidR="00CC715B" w:rsidRPr="009D74A3" w:rsidRDefault="00CC715B" w:rsidP="00CC715B">
            <w:pPr>
              <w:contextualSpacing/>
              <w:jc w:val="center"/>
              <w:rPr>
                <w:rFonts w:ascii="Times New Roman" w:hAnsi="Times New Roman" w:cs="Times New Roman"/>
              </w:rPr>
            </w:pPr>
            <w:r w:rsidRPr="009D74A3">
              <w:rPr>
                <w:rFonts w:ascii="Times New Roman" w:hAnsi="Times New Roman" w:cs="Times New Roman"/>
                <w:noProof/>
                <w:lang w:eastAsia="es-CO"/>
              </w:rPr>
              <w:drawing>
                <wp:inline distT="0" distB="0" distL="0" distR="0" wp14:anchorId="1C9FB1C9" wp14:editId="35741A54">
                  <wp:extent cx="4476115" cy="2343150"/>
                  <wp:effectExtent l="0" t="0" r="635" b="0"/>
                  <wp:docPr id="1438501450"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91320" cy="2351109"/>
                          </a:xfrm>
                          <a:prstGeom prst="rect">
                            <a:avLst/>
                          </a:prstGeom>
                          <a:noFill/>
                          <a:ln>
                            <a:noFill/>
                          </a:ln>
                        </pic:spPr>
                      </pic:pic>
                    </a:graphicData>
                  </a:graphic>
                </wp:inline>
              </w:drawing>
            </w:r>
          </w:p>
          <w:p w14:paraId="502D0954" w14:textId="77777777" w:rsidR="00CC715B" w:rsidRPr="009D74A3" w:rsidRDefault="00CC715B" w:rsidP="00CC715B">
            <w:pPr>
              <w:ind w:left="1485" w:right="1501"/>
              <w:contextualSpacing/>
              <w:jc w:val="both"/>
              <w:rPr>
                <w:rFonts w:ascii="Times New Roman" w:hAnsi="Times New Roman" w:cs="Times New Roman"/>
                <w:sz w:val="20"/>
                <w:szCs w:val="20"/>
              </w:rPr>
            </w:pPr>
            <w:r w:rsidRPr="009D74A3">
              <w:rPr>
                <w:rFonts w:ascii="Times New Roman" w:hAnsi="Times New Roman" w:cs="Times New Roman"/>
                <w:b/>
                <w:sz w:val="20"/>
                <w:szCs w:val="20"/>
              </w:rPr>
              <w:t xml:space="preserve">Nota: </w:t>
            </w:r>
            <w:r w:rsidRPr="009D74A3">
              <w:rPr>
                <w:rFonts w:ascii="Times New Roman" w:hAnsi="Times New Roman" w:cs="Times New Roman"/>
                <w:sz w:val="20"/>
                <w:szCs w:val="20"/>
              </w:rPr>
              <w:t>Para los cálculos se utilizó el PIB trimestral de Bogotá D.C. con información disponibles desde el año 2005.</w:t>
            </w:r>
          </w:p>
          <w:p w14:paraId="6ACBB9FF" w14:textId="77777777" w:rsidR="00CC715B" w:rsidRPr="009D74A3" w:rsidRDefault="00CC715B" w:rsidP="00CC715B">
            <w:pPr>
              <w:ind w:left="918" w:right="897" w:firstLine="567"/>
              <w:contextualSpacing/>
              <w:jc w:val="both"/>
              <w:rPr>
                <w:rFonts w:ascii="Times New Roman" w:hAnsi="Times New Roman" w:cs="Times New Roman"/>
                <w:sz w:val="20"/>
                <w:szCs w:val="20"/>
              </w:rPr>
            </w:pPr>
            <w:r w:rsidRPr="009D74A3">
              <w:rPr>
                <w:rFonts w:ascii="Times New Roman" w:hAnsi="Times New Roman" w:cs="Times New Roman"/>
                <w:b/>
                <w:bCs/>
                <w:sz w:val="20"/>
                <w:szCs w:val="20"/>
              </w:rPr>
              <w:t>Cálculos:</w:t>
            </w:r>
            <w:r w:rsidRPr="009D74A3">
              <w:rPr>
                <w:rFonts w:ascii="Times New Roman" w:hAnsi="Times New Roman" w:cs="Times New Roman"/>
                <w:sz w:val="20"/>
                <w:szCs w:val="20"/>
              </w:rPr>
              <w:t xml:space="preserve"> Secretaría Distrital de Hacienda con información del DANE.</w:t>
            </w:r>
          </w:p>
          <w:p w14:paraId="24AB6DB7" w14:textId="77777777" w:rsidR="00CC715B" w:rsidRPr="009D74A3" w:rsidRDefault="00CC715B" w:rsidP="00CC715B">
            <w:pPr>
              <w:contextualSpacing/>
              <w:jc w:val="both"/>
              <w:rPr>
                <w:rFonts w:ascii="Times New Roman" w:hAnsi="Times New Roman" w:cs="Times New Roman"/>
                <w:sz w:val="24"/>
                <w:szCs w:val="24"/>
              </w:rPr>
            </w:pPr>
          </w:p>
          <w:p w14:paraId="5F9CC58B" w14:textId="54DA5F37" w:rsidR="00CC715B" w:rsidRPr="009D74A3" w:rsidRDefault="00CC715B" w:rsidP="00CC715B">
            <w:p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Por su parte, </w:t>
            </w:r>
            <w:r w:rsidR="00BF3795">
              <w:rPr>
                <w:rFonts w:ascii="Times New Roman" w:hAnsi="Times New Roman" w:cs="Times New Roman"/>
                <w:sz w:val="24"/>
                <w:szCs w:val="24"/>
              </w:rPr>
              <w:t xml:space="preserve">entre 2006 y 2024, </w:t>
            </w:r>
            <w:r w:rsidRPr="009D74A3">
              <w:rPr>
                <w:rFonts w:ascii="Times New Roman" w:hAnsi="Times New Roman" w:cs="Times New Roman"/>
                <w:sz w:val="24"/>
                <w:szCs w:val="24"/>
              </w:rPr>
              <w:t xml:space="preserve">presentaron crecimientos </w:t>
            </w:r>
            <w:r w:rsidR="00242753">
              <w:rPr>
                <w:rFonts w:ascii="Times New Roman" w:hAnsi="Times New Roman" w:cs="Times New Roman"/>
                <w:sz w:val="24"/>
                <w:szCs w:val="24"/>
              </w:rPr>
              <w:t>promedio</w:t>
            </w:r>
            <w:r w:rsidR="00096A4A">
              <w:rPr>
                <w:rFonts w:ascii="Times New Roman" w:hAnsi="Times New Roman" w:cs="Times New Roman"/>
                <w:sz w:val="24"/>
                <w:szCs w:val="24"/>
              </w:rPr>
              <w:t xml:space="preserve"> </w:t>
            </w:r>
            <w:r w:rsidR="00096A4A" w:rsidRPr="009D74A3">
              <w:rPr>
                <w:rFonts w:ascii="Times New Roman" w:hAnsi="Times New Roman" w:cs="Times New Roman"/>
                <w:sz w:val="24"/>
                <w:szCs w:val="24"/>
              </w:rPr>
              <w:t>moderados</w:t>
            </w:r>
            <w:r w:rsidR="00242753">
              <w:rPr>
                <w:rFonts w:ascii="Times New Roman" w:hAnsi="Times New Roman" w:cs="Times New Roman"/>
                <w:sz w:val="24"/>
                <w:szCs w:val="24"/>
              </w:rPr>
              <w:t xml:space="preserve"> </w:t>
            </w:r>
            <w:r w:rsidRPr="009D74A3">
              <w:rPr>
                <w:rFonts w:ascii="Times New Roman" w:hAnsi="Times New Roman" w:cs="Times New Roman"/>
                <w:sz w:val="24"/>
                <w:szCs w:val="24"/>
              </w:rPr>
              <w:t>e inferiores al observado en el total del PIB (3,7%) los sectores de: actividades profesionales (3,5%), actividades inmobiliarias (2,9%) y minas y canteras (2,3%). Mientras que presentaron una baja dinámica el sector de construcción (1,7%), servicios públicos (1,6%), agricultura (1,5%) e industria manufacturera (0,8%) (</w:t>
            </w:r>
            <w:r w:rsidRPr="009D74A3">
              <w:rPr>
                <w:rFonts w:ascii="Times New Roman" w:hAnsi="Times New Roman" w:cs="Times New Roman"/>
                <w:b/>
                <w:bCs/>
                <w:sz w:val="24"/>
                <w:szCs w:val="24"/>
              </w:rPr>
              <w:t>Tabla 3</w:t>
            </w:r>
            <w:r w:rsidRPr="009D74A3">
              <w:rPr>
                <w:rFonts w:ascii="Times New Roman" w:hAnsi="Times New Roman" w:cs="Times New Roman"/>
                <w:sz w:val="24"/>
                <w:szCs w:val="24"/>
              </w:rPr>
              <w:t>).</w:t>
            </w:r>
          </w:p>
          <w:p w14:paraId="1C534AF4" w14:textId="77777777" w:rsidR="00CC715B" w:rsidRPr="009D74A3" w:rsidRDefault="00CC715B" w:rsidP="00CC715B">
            <w:pPr>
              <w:pStyle w:val="Ttulo2"/>
              <w:numPr>
                <w:ilvl w:val="0"/>
                <w:numId w:val="0"/>
              </w:numPr>
              <w:spacing w:before="0"/>
              <w:ind w:left="720"/>
              <w:contextualSpacing/>
              <w:outlineLvl w:val="1"/>
              <w:rPr>
                <w:rFonts w:ascii="Times New Roman" w:hAnsi="Times New Roman" w:cs="Times New Roman"/>
                <w:b/>
                <w:sz w:val="24"/>
                <w:szCs w:val="24"/>
              </w:rPr>
            </w:pPr>
          </w:p>
          <w:p w14:paraId="426F23DE" w14:textId="77777777" w:rsidR="00CC715B" w:rsidRPr="009D74A3" w:rsidRDefault="00CC715B">
            <w:pPr>
              <w:pStyle w:val="Ttulo2"/>
              <w:numPr>
                <w:ilvl w:val="1"/>
                <w:numId w:val="6"/>
              </w:numPr>
              <w:spacing w:before="0"/>
              <w:contextualSpacing/>
              <w:outlineLvl w:val="1"/>
              <w:rPr>
                <w:rFonts w:ascii="Times New Roman" w:hAnsi="Times New Roman" w:cs="Times New Roman"/>
                <w:b/>
                <w:sz w:val="24"/>
                <w:szCs w:val="24"/>
              </w:rPr>
            </w:pPr>
            <w:r w:rsidRPr="009D74A3">
              <w:rPr>
                <w:rFonts w:ascii="Times New Roman" w:hAnsi="Times New Roman" w:cs="Times New Roman"/>
                <w:b/>
                <w:sz w:val="24"/>
                <w:szCs w:val="24"/>
              </w:rPr>
              <w:t>Mercado laboral</w:t>
            </w:r>
          </w:p>
          <w:p w14:paraId="3CBFE273" w14:textId="77777777" w:rsidR="00CC715B" w:rsidRPr="009D74A3" w:rsidRDefault="00CC715B" w:rsidP="00CC715B">
            <w:pPr>
              <w:contextualSpacing/>
              <w:rPr>
                <w:rFonts w:ascii="Times New Roman" w:hAnsi="Times New Roman" w:cs="Times New Roman"/>
                <w:sz w:val="24"/>
                <w:szCs w:val="24"/>
              </w:rPr>
            </w:pPr>
          </w:p>
          <w:p w14:paraId="285F37B6" w14:textId="77777777" w:rsidR="00CC715B" w:rsidRPr="009D74A3" w:rsidRDefault="00CC715B" w:rsidP="00CC715B">
            <w:pPr>
              <w:contextualSpacing/>
              <w:jc w:val="both"/>
              <w:rPr>
                <w:rFonts w:ascii="Times New Roman" w:hAnsi="Times New Roman" w:cs="Times New Roman"/>
                <w:sz w:val="24"/>
                <w:szCs w:val="24"/>
              </w:rPr>
            </w:pPr>
            <w:r w:rsidRPr="009D74A3">
              <w:rPr>
                <w:rFonts w:ascii="Times New Roman" w:hAnsi="Times New Roman" w:cs="Times New Roman"/>
                <w:sz w:val="24"/>
                <w:szCs w:val="24"/>
              </w:rPr>
              <w:t>El mercado laboral de la ciudad muestra señales de fortaleza, con una tasa de desempleo que se ubica en un dígito. La tasa de desempleo (TD) de Bogotá se ubicó en 8,7% en el trimestre móvil al mes de mayo de 2025, menor en 1,2 puntos porcentuales (p.p.) frente al mismo trimestre de 2024 (9,9%) (</w:t>
            </w:r>
            <w:r w:rsidRPr="009D74A3">
              <w:rPr>
                <w:rFonts w:ascii="Times New Roman" w:hAnsi="Times New Roman" w:cs="Times New Roman"/>
                <w:b/>
                <w:bCs/>
                <w:sz w:val="24"/>
                <w:szCs w:val="24"/>
              </w:rPr>
              <w:t>Gráfico 11</w:t>
            </w:r>
            <w:r w:rsidRPr="009D74A3">
              <w:rPr>
                <w:rFonts w:ascii="Times New Roman" w:hAnsi="Times New Roman" w:cs="Times New Roman"/>
                <w:sz w:val="24"/>
                <w:szCs w:val="24"/>
              </w:rPr>
              <w:t xml:space="preserve">), manteniéndose en un solo digito por segundo trimestre móvil consecutivo. Respecto a los principales dominios geográficos, en el trimestre móvil al mes de mayo, la tasa de desempleo de Bogotá (8,7%) fue </w:t>
            </w:r>
            <w:r w:rsidRPr="00776A4C">
              <w:rPr>
                <w:rFonts w:ascii="Times New Roman" w:hAnsi="Times New Roman" w:cs="Times New Roman"/>
                <w:sz w:val="24"/>
                <w:szCs w:val="24"/>
              </w:rPr>
              <w:t>menor</w:t>
            </w:r>
            <w:r w:rsidRPr="009D74A3">
              <w:rPr>
                <w:rFonts w:ascii="Times New Roman" w:hAnsi="Times New Roman" w:cs="Times New Roman"/>
                <w:sz w:val="24"/>
                <w:szCs w:val="24"/>
              </w:rPr>
              <w:t xml:space="preserve"> a la registrada en las 13 ciudades y A.M.</w:t>
            </w:r>
            <w:r w:rsidRPr="009D74A3">
              <w:rPr>
                <w:rStyle w:val="Refdenotaalpie"/>
                <w:rFonts w:ascii="Times New Roman" w:hAnsi="Times New Roman" w:cs="Times New Roman"/>
                <w:sz w:val="24"/>
                <w:szCs w:val="24"/>
              </w:rPr>
              <w:footnoteReference w:id="10"/>
            </w:r>
            <w:r w:rsidRPr="009D74A3">
              <w:rPr>
                <w:rFonts w:ascii="Times New Roman" w:hAnsi="Times New Roman" w:cs="Times New Roman"/>
                <w:sz w:val="24"/>
                <w:szCs w:val="24"/>
              </w:rPr>
              <w:t xml:space="preserve"> (9,0%) y a la del total nacional (9,1%). </w:t>
            </w:r>
          </w:p>
          <w:p w14:paraId="67E9041A" w14:textId="77777777" w:rsidR="00CC715B" w:rsidRPr="009D74A3" w:rsidRDefault="00CC715B" w:rsidP="00CC715B">
            <w:pPr>
              <w:contextualSpacing/>
              <w:jc w:val="center"/>
              <w:rPr>
                <w:rFonts w:ascii="Times New Roman" w:hAnsi="Times New Roman" w:cs="Times New Roman"/>
                <w:b/>
              </w:rPr>
            </w:pPr>
          </w:p>
          <w:p w14:paraId="714F421E" w14:textId="77777777" w:rsidR="00CC715B" w:rsidRPr="009D74A3" w:rsidRDefault="00CC715B" w:rsidP="00CC715B">
            <w:pPr>
              <w:contextualSpacing/>
              <w:jc w:val="center"/>
              <w:rPr>
                <w:rFonts w:ascii="Times New Roman" w:hAnsi="Times New Roman" w:cs="Times New Roman"/>
                <w:b/>
              </w:rPr>
            </w:pPr>
            <w:r w:rsidRPr="009D74A3">
              <w:rPr>
                <w:rFonts w:ascii="Times New Roman" w:hAnsi="Times New Roman" w:cs="Times New Roman"/>
                <w:b/>
              </w:rPr>
              <w:t>Gráfico 11.</w:t>
            </w:r>
            <w:r w:rsidRPr="009D74A3">
              <w:rPr>
                <w:rFonts w:ascii="Times New Roman" w:hAnsi="Times New Roman" w:cs="Times New Roman"/>
                <w:b/>
              </w:rPr>
              <w:br/>
              <w:t xml:space="preserve">Tasa de desempleo </w:t>
            </w:r>
          </w:p>
          <w:p w14:paraId="08A86F97" w14:textId="77777777" w:rsidR="00CC715B" w:rsidRPr="009D74A3" w:rsidRDefault="00CC715B" w:rsidP="00CC715B">
            <w:pPr>
              <w:contextualSpacing/>
              <w:jc w:val="center"/>
              <w:rPr>
                <w:rFonts w:ascii="Times New Roman" w:hAnsi="Times New Roman" w:cs="Times New Roman"/>
                <w:bCs/>
                <w:i/>
                <w:iCs/>
              </w:rPr>
            </w:pPr>
            <w:r w:rsidRPr="009D74A3">
              <w:rPr>
                <w:rFonts w:ascii="Times New Roman" w:hAnsi="Times New Roman" w:cs="Times New Roman"/>
                <w:bCs/>
                <w:i/>
                <w:iCs/>
              </w:rPr>
              <w:t xml:space="preserve">Trimestre móvil (%) </w:t>
            </w:r>
          </w:p>
          <w:p w14:paraId="40CD9C8B" w14:textId="77777777" w:rsidR="00CC715B" w:rsidRPr="009D74A3" w:rsidRDefault="00CC715B" w:rsidP="00CC715B">
            <w:pPr>
              <w:contextualSpacing/>
              <w:jc w:val="center"/>
              <w:rPr>
                <w:rFonts w:ascii="Times New Roman" w:hAnsi="Times New Roman" w:cs="Times New Roman"/>
                <w:bCs/>
                <w:i/>
                <w:iCs/>
              </w:rPr>
            </w:pPr>
            <w:r w:rsidRPr="009D74A3">
              <w:rPr>
                <w:rFonts w:ascii="Times New Roman" w:hAnsi="Times New Roman" w:cs="Times New Roman"/>
                <w:bCs/>
                <w:i/>
                <w:iCs/>
                <w:noProof/>
                <w:lang w:eastAsia="es-CO"/>
              </w:rPr>
              <w:drawing>
                <wp:inline distT="0" distB="0" distL="0" distR="0" wp14:anchorId="4222C5BB" wp14:editId="4B088022">
                  <wp:extent cx="5602605" cy="2072640"/>
                  <wp:effectExtent l="0" t="0" r="0" b="0"/>
                  <wp:docPr id="2034146071"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02605" cy="2072640"/>
                          </a:xfrm>
                          <a:prstGeom prst="rect">
                            <a:avLst/>
                          </a:prstGeom>
                          <a:noFill/>
                        </pic:spPr>
                      </pic:pic>
                    </a:graphicData>
                  </a:graphic>
                </wp:inline>
              </w:drawing>
            </w:r>
          </w:p>
          <w:p w14:paraId="2AFB4C2D" w14:textId="77777777" w:rsidR="00CC715B" w:rsidRPr="009D74A3" w:rsidRDefault="00CC715B" w:rsidP="00CC715B">
            <w:pPr>
              <w:ind w:firstLine="634"/>
              <w:contextualSpacing/>
              <w:rPr>
                <w:rFonts w:ascii="Times New Roman" w:hAnsi="Times New Roman" w:cs="Times New Roman"/>
                <w:sz w:val="20"/>
                <w:szCs w:val="20"/>
              </w:rPr>
            </w:pPr>
            <w:r w:rsidRPr="009D74A3">
              <w:rPr>
                <w:rFonts w:ascii="Times New Roman" w:hAnsi="Times New Roman" w:cs="Times New Roman"/>
                <w:b/>
                <w:sz w:val="20"/>
                <w:szCs w:val="20"/>
              </w:rPr>
              <w:t>Fuente:</w:t>
            </w:r>
            <w:r w:rsidRPr="009D74A3">
              <w:rPr>
                <w:rFonts w:ascii="Times New Roman" w:hAnsi="Times New Roman" w:cs="Times New Roman"/>
                <w:sz w:val="20"/>
                <w:szCs w:val="20"/>
              </w:rPr>
              <w:t xml:space="preserve"> DANE, Gran Encuesta Integrada de Hogares (GEIH). </w:t>
            </w:r>
          </w:p>
          <w:p w14:paraId="05A61F5C" w14:textId="77777777" w:rsidR="00CC715B" w:rsidRPr="009D74A3" w:rsidRDefault="00CC715B" w:rsidP="00CC715B">
            <w:pPr>
              <w:contextualSpacing/>
              <w:rPr>
                <w:rFonts w:ascii="Times New Roman" w:hAnsi="Times New Roman" w:cs="Times New Roman"/>
                <w:sz w:val="20"/>
                <w:szCs w:val="20"/>
              </w:rPr>
            </w:pPr>
          </w:p>
          <w:p w14:paraId="510DCB10" w14:textId="3D564E91" w:rsidR="00CC715B" w:rsidRPr="009D74A3" w:rsidRDefault="00CC715B" w:rsidP="00CC715B">
            <w:pPr>
              <w:contextualSpacing/>
              <w:jc w:val="both"/>
              <w:rPr>
                <w:rFonts w:ascii="Times New Roman" w:hAnsi="Times New Roman" w:cs="Times New Roman"/>
                <w:sz w:val="24"/>
                <w:szCs w:val="24"/>
              </w:rPr>
            </w:pPr>
            <w:r w:rsidRPr="009D74A3">
              <w:rPr>
                <w:rFonts w:ascii="Times New Roman" w:hAnsi="Times New Roman" w:cs="Times New Roman"/>
                <w:sz w:val="24"/>
                <w:szCs w:val="24"/>
              </w:rPr>
              <w:t>El buen desempeño del desempleo en Bogotá se explica en gran parte por aumentos progresivos en la ocupación que ha superado niveles promedio anteriores a la pandemia y que adicionalmente han sido más altos a lo observado en otras ciudades. (</w:t>
            </w:r>
            <w:r w:rsidRPr="009D74A3">
              <w:rPr>
                <w:rFonts w:ascii="Times New Roman" w:hAnsi="Times New Roman" w:cs="Times New Roman"/>
                <w:b/>
                <w:bCs/>
                <w:sz w:val="24"/>
                <w:szCs w:val="24"/>
              </w:rPr>
              <w:t>Gráfico 12</w:t>
            </w:r>
            <w:r w:rsidRPr="009D74A3">
              <w:rPr>
                <w:rFonts w:ascii="Times New Roman" w:hAnsi="Times New Roman" w:cs="Times New Roman"/>
                <w:sz w:val="24"/>
                <w:szCs w:val="24"/>
              </w:rPr>
              <w:t xml:space="preserve">). </w:t>
            </w:r>
          </w:p>
          <w:p w14:paraId="1933F8F6" w14:textId="77777777" w:rsidR="00CC715B" w:rsidRPr="009D74A3" w:rsidRDefault="00CC715B" w:rsidP="00CC715B">
            <w:pPr>
              <w:contextualSpacing/>
              <w:jc w:val="both"/>
              <w:rPr>
                <w:rFonts w:ascii="Times New Roman" w:hAnsi="Times New Roman" w:cs="Times New Roman"/>
                <w:sz w:val="24"/>
                <w:szCs w:val="24"/>
              </w:rPr>
            </w:pPr>
          </w:p>
          <w:p w14:paraId="4745FB30" w14:textId="77777777" w:rsidR="00CC715B" w:rsidRPr="009D74A3" w:rsidRDefault="00CC715B" w:rsidP="00CC715B">
            <w:pPr>
              <w:contextualSpacing/>
              <w:jc w:val="center"/>
              <w:rPr>
                <w:rFonts w:ascii="Times New Roman" w:hAnsi="Times New Roman" w:cs="Times New Roman"/>
                <w:b/>
              </w:rPr>
            </w:pPr>
            <w:r w:rsidRPr="009D74A3">
              <w:rPr>
                <w:rFonts w:ascii="Times New Roman" w:hAnsi="Times New Roman" w:cs="Times New Roman"/>
                <w:b/>
              </w:rPr>
              <w:t>Gráfico 12.</w:t>
            </w:r>
            <w:r w:rsidRPr="009D74A3">
              <w:rPr>
                <w:rFonts w:ascii="Times New Roman" w:hAnsi="Times New Roman" w:cs="Times New Roman"/>
                <w:b/>
              </w:rPr>
              <w:br/>
              <w:t>Tasa de ocupación</w:t>
            </w:r>
          </w:p>
          <w:p w14:paraId="62C2479D" w14:textId="77777777" w:rsidR="00CC715B" w:rsidRPr="009D74A3" w:rsidRDefault="00CC715B" w:rsidP="00CC715B">
            <w:pPr>
              <w:contextualSpacing/>
              <w:jc w:val="center"/>
              <w:rPr>
                <w:rFonts w:ascii="Times New Roman" w:hAnsi="Times New Roman" w:cs="Times New Roman"/>
                <w:bCs/>
                <w:i/>
                <w:iCs/>
              </w:rPr>
            </w:pPr>
            <w:r w:rsidRPr="009D74A3">
              <w:rPr>
                <w:rFonts w:ascii="Times New Roman" w:hAnsi="Times New Roman" w:cs="Times New Roman"/>
                <w:bCs/>
                <w:i/>
                <w:iCs/>
              </w:rPr>
              <w:t>Trimestre móvil (%)</w:t>
            </w:r>
          </w:p>
          <w:p w14:paraId="52423072" w14:textId="77777777" w:rsidR="00CC715B" w:rsidRPr="009D74A3" w:rsidRDefault="00CC715B" w:rsidP="00CC715B">
            <w:pPr>
              <w:contextualSpacing/>
              <w:jc w:val="center"/>
              <w:rPr>
                <w:rFonts w:ascii="Times New Roman" w:hAnsi="Times New Roman" w:cs="Times New Roman"/>
                <w:b/>
              </w:rPr>
            </w:pPr>
            <w:r w:rsidRPr="009D74A3">
              <w:rPr>
                <w:rFonts w:ascii="Times New Roman" w:hAnsi="Times New Roman" w:cs="Times New Roman"/>
                <w:b/>
                <w:noProof/>
                <w:lang w:eastAsia="es-CO"/>
              </w:rPr>
              <w:drawing>
                <wp:inline distT="0" distB="0" distL="0" distR="0" wp14:anchorId="20287318" wp14:editId="4AD411EC">
                  <wp:extent cx="5596890" cy="2066925"/>
                  <wp:effectExtent l="0" t="0" r="3810" b="0"/>
                  <wp:docPr id="1986609567"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96890" cy="2066925"/>
                          </a:xfrm>
                          <a:prstGeom prst="rect">
                            <a:avLst/>
                          </a:prstGeom>
                          <a:noFill/>
                        </pic:spPr>
                      </pic:pic>
                    </a:graphicData>
                  </a:graphic>
                </wp:inline>
              </w:drawing>
            </w:r>
          </w:p>
          <w:p w14:paraId="50495A28" w14:textId="77777777" w:rsidR="00CC715B" w:rsidRPr="009D74A3" w:rsidRDefault="00CC715B" w:rsidP="00CC715B">
            <w:pPr>
              <w:ind w:firstLine="776"/>
              <w:contextualSpacing/>
              <w:rPr>
                <w:rFonts w:ascii="Times New Roman" w:hAnsi="Times New Roman" w:cs="Times New Roman"/>
                <w:sz w:val="20"/>
                <w:szCs w:val="20"/>
              </w:rPr>
            </w:pPr>
            <w:r w:rsidRPr="009D74A3">
              <w:rPr>
                <w:rFonts w:ascii="Times New Roman" w:hAnsi="Times New Roman" w:cs="Times New Roman"/>
                <w:b/>
                <w:sz w:val="20"/>
                <w:szCs w:val="20"/>
              </w:rPr>
              <w:t>Fuente:</w:t>
            </w:r>
            <w:r w:rsidRPr="009D74A3">
              <w:rPr>
                <w:rFonts w:ascii="Times New Roman" w:hAnsi="Times New Roman" w:cs="Times New Roman"/>
                <w:sz w:val="20"/>
                <w:szCs w:val="20"/>
              </w:rPr>
              <w:t xml:space="preserve"> DANE, Gran Encuesta Integrada de Hogares (GEIH). </w:t>
            </w:r>
          </w:p>
          <w:p w14:paraId="29149B15" w14:textId="77777777" w:rsidR="00CC715B" w:rsidRPr="009D74A3" w:rsidRDefault="00CC715B" w:rsidP="00CC715B">
            <w:pPr>
              <w:contextualSpacing/>
              <w:rPr>
                <w:rFonts w:ascii="Times New Roman" w:hAnsi="Times New Roman" w:cs="Times New Roman"/>
                <w:sz w:val="20"/>
                <w:szCs w:val="20"/>
              </w:rPr>
            </w:pPr>
          </w:p>
          <w:p w14:paraId="168E3359" w14:textId="3DF80813" w:rsidR="00CC715B" w:rsidRPr="009D74A3" w:rsidRDefault="00CC715B" w:rsidP="00CC715B">
            <w:p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A pesar de la buena dinámica del mercado laboral de la ciudad, la generación de empleo se ha venido moderando desde inicios de 2024. </w:t>
            </w:r>
            <w:r w:rsidR="00EA530F">
              <w:rPr>
                <w:rFonts w:ascii="Times New Roman" w:hAnsi="Times New Roman" w:cs="Times New Roman"/>
                <w:sz w:val="24"/>
                <w:szCs w:val="24"/>
              </w:rPr>
              <w:t>De hecho, e</w:t>
            </w:r>
            <w:r w:rsidR="006151AD" w:rsidRPr="009D74A3">
              <w:rPr>
                <w:rFonts w:ascii="Times New Roman" w:hAnsi="Times New Roman" w:cs="Times New Roman"/>
                <w:sz w:val="24"/>
                <w:szCs w:val="24"/>
              </w:rPr>
              <w:t>n el trimestre móvil al mes de mayo de 2025 la tasa de ocupación de Bogotá fue de 63,9%, inferior en 1,0 p.p. respecto al observado en el mismo periodo del año anterior (64,9%)</w:t>
            </w:r>
            <w:r w:rsidR="00CF7469">
              <w:rPr>
                <w:rFonts w:ascii="Times New Roman" w:hAnsi="Times New Roman" w:cs="Times New Roman"/>
                <w:sz w:val="24"/>
                <w:szCs w:val="24"/>
              </w:rPr>
              <w:t>.</w:t>
            </w:r>
            <w:r w:rsidR="006151AD" w:rsidRPr="009D74A3">
              <w:rPr>
                <w:rFonts w:ascii="Times New Roman" w:hAnsi="Times New Roman" w:cs="Times New Roman"/>
                <w:sz w:val="24"/>
                <w:szCs w:val="24"/>
              </w:rPr>
              <w:t xml:space="preserve"> </w:t>
            </w:r>
            <w:r w:rsidRPr="009D74A3">
              <w:rPr>
                <w:rFonts w:ascii="Times New Roman" w:hAnsi="Times New Roman" w:cs="Times New Roman"/>
                <w:sz w:val="24"/>
                <w:szCs w:val="24"/>
              </w:rPr>
              <w:t>Por tipo de ocupación, el empleo formal ha explicado esta disminución de la generación de empleo, presentando una tendencia negativa desde finales de 2023, y pasando a terreno negativo desde el tercer trimestre de 2024. Por su parte, el empleo informal ha presentado un incremento, y es el segmento que ha explicado la generación de empleo en Bogotá recientemente</w:t>
            </w:r>
            <w:r w:rsidR="001D6B68">
              <w:rPr>
                <w:rFonts w:ascii="Times New Roman" w:hAnsi="Times New Roman" w:cs="Times New Roman"/>
                <w:sz w:val="24"/>
                <w:szCs w:val="24"/>
              </w:rPr>
              <w:t xml:space="preserve"> (</w:t>
            </w:r>
            <w:r w:rsidR="001D6B68" w:rsidRPr="001D6B68">
              <w:rPr>
                <w:rFonts w:ascii="Times New Roman" w:hAnsi="Times New Roman" w:cs="Times New Roman"/>
                <w:b/>
                <w:bCs/>
                <w:sz w:val="24"/>
                <w:szCs w:val="24"/>
              </w:rPr>
              <w:t>Gráfico 13</w:t>
            </w:r>
            <w:r w:rsidR="001D6B68">
              <w:rPr>
                <w:rFonts w:ascii="Times New Roman" w:hAnsi="Times New Roman" w:cs="Times New Roman"/>
                <w:sz w:val="24"/>
                <w:szCs w:val="24"/>
              </w:rPr>
              <w:t>)</w:t>
            </w:r>
            <w:r w:rsidRPr="009D74A3">
              <w:rPr>
                <w:rFonts w:ascii="Times New Roman" w:hAnsi="Times New Roman" w:cs="Times New Roman"/>
                <w:sz w:val="24"/>
                <w:szCs w:val="24"/>
              </w:rPr>
              <w:t xml:space="preserve">. </w:t>
            </w:r>
          </w:p>
          <w:p w14:paraId="68549214" w14:textId="77777777" w:rsidR="00CC715B" w:rsidRDefault="00CC715B" w:rsidP="00CC715B">
            <w:p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 </w:t>
            </w:r>
          </w:p>
          <w:p w14:paraId="0720D787" w14:textId="77777777" w:rsidR="00C47ADC" w:rsidRDefault="00C47ADC" w:rsidP="00CC715B">
            <w:pPr>
              <w:contextualSpacing/>
              <w:jc w:val="both"/>
              <w:rPr>
                <w:rFonts w:ascii="Times New Roman" w:hAnsi="Times New Roman" w:cs="Times New Roman"/>
                <w:sz w:val="24"/>
                <w:szCs w:val="24"/>
              </w:rPr>
            </w:pPr>
          </w:p>
          <w:p w14:paraId="572F170F" w14:textId="77777777" w:rsidR="00C47ADC" w:rsidRPr="009D74A3" w:rsidRDefault="00C47ADC" w:rsidP="00CC715B">
            <w:pPr>
              <w:contextualSpacing/>
              <w:jc w:val="both"/>
              <w:rPr>
                <w:rFonts w:ascii="Times New Roman" w:hAnsi="Times New Roman" w:cs="Times New Roman"/>
                <w:sz w:val="24"/>
                <w:szCs w:val="24"/>
              </w:rPr>
            </w:pPr>
          </w:p>
          <w:p w14:paraId="0F7504AD" w14:textId="77777777" w:rsidR="00CC715B" w:rsidRPr="009D74A3" w:rsidRDefault="00CC715B" w:rsidP="00CC715B">
            <w:pPr>
              <w:contextualSpacing/>
              <w:jc w:val="center"/>
              <w:rPr>
                <w:rFonts w:ascii="Times New Roman" w:hAnsi="Times New Roman" w:cs="Times New Roman"/>
                <w:b/>
              </w:rPr>
            </w:pPr>
            <w:r w:rsidRPr="009D74A3">
              <w:rPr>
                <w:rFonts w:ascii="Times New Roman" w:hAnsi="Times New Roman" w:cs="Times New Roman"/>
                <w:b/>
              </w:rPr>
              <w:t>Gráfico 13.</w:t>
            </w:r>
            <w:r w:rsidRPr="009D74A3">
              <w:rPr>
                <w:rFonts w:ascii="Times New Roman" w:hAnsi="Times New Roman" w:cs="Times New Roman"/>
                <w:b/>
              </w:rPr>
              <w:br/>
              <w:t>Población ocupada de Bogotá</w:t>
            </w:r>
          </w:p>
          <w:p w14:paraId="17411A8C" w14:textId="77777777" w:rsidR="00CC715B" w:rsidRPr="009D74A3" w:rsidRDefault="00CC715B" w:rsidP="00CC715B">
            <w:pPr>
              <w:ind w:left="-75"/>
              <w:jc w:val="center"/>
              <w:rPr>
                <w:rFonts w:ascii="Times New Roman" w:hAnsi="Times New Roman" w:cs="Times New Roman"/>
                <w:b/>
              </w:rPr>
            </w:pPr>
            <w:r w:rsidRPr="009D74A3">
              <w:rPr>
                <w:rFonts w:ascii="Times New Roman" w:hAnsi="Times New Roman" w:cs="Times New Roman"/>
                <w:bCs/>
                <w:i/>
                <w:iCs/>
              </w:rPr>
              <w:t>Trimestre móvil</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87"/>
              <w:gridCol w:w="4988"/>
            </w:tblGrid>
            <w:tr w:rsidR="00CC715B" w:rsidRPr="009D74A3" w14:paraId="0C1A6B15" w14:textId="77777777" w:rsidTr="00740130">
              <w:tc>
                <w:tcPr>
                  <w:tcW w:w="4987" w:type="dxa"/>
                </w:tcPr>
                <w:p w14:paraId="37A41B17" w14:textId="77777777" w:rsidR="00CC715B" w:rsidRPr="009D74A3" w:rsidRDefault="00CC715B" w:rsidP="00CC715B">
                  <w:pPr>
                    <w:contextualSpacing/>
                    <w:jc w:val="center"/>
                    <w:rPr>
                      <w:rFonts w:ascii="Times New Roman" w:hAnsi="Times New Roman" w:cs="Times New Roman"/>
                      <w:b/>
                      <w:bCs/>
                      <w:iCs/>
                    </w:rPr>
                  </w:pPr>
                  <w:r w:rsidRPr="009D74A3">
                    <w:rPr>
                      <w:rFonts w:ascii="Times New Roman" w:hAnsi="Times New Roman" w:cs="Times New Roman"/>
                      <w:b/>
                      <w:bCs/>
                      <w:iCs/>
                    </w:rPr>
                    <w:t>Población Ocupada formal e informal</w:t>
                  </w:r>
                </w:p>
                <w:p w14:paraId="2DB01DF8" w14:textId="77777777" w:rsidR="00CC715B" w:rsidRPr="009D74A3" w:rsidRDefault="00CC715B" w:rsidP="00CC715B">
                  <w:pPr>
                    <w:contextualSpacing/>
                    <w:jc w:val="center"/>
                    <w:rPr>
                      <w:rFonts w:ascii="Times New Roman" w:hAnsi="Times New Roman" w:cs="Times New Roman"/>
                      <w:iCs/>
                    </w:rPr>
                  </w:pPr>
                  <w:r w:rsidRPr="009D74A3">
                    <w:rPr>
                      <w:rFonts w:ascii="Times New Roman" w:hAnsi="Times New Roman" w:cs="Times New Roman"/>
                      <w:b/>
                      <w:bCs/>
                      <w:iCs/>
                    </w:rPr>
                    <w:t>Variación absoluta anual (Miles de personas)</w:t>
                  </w:r>
                </w:p>
              </w:tc>
              <w:tc>
                <w:tcPr>
                  <w:tcW w:w="4988" w:type="dxa"/>
                </w:tcPr>
                <w:p w14:paraId="587A7A0D" w14:textId="77777777" w:rsidR="00CC715B" w:rsidRPr="009D74A3" w:rsidRDefault="00CC715B" w:rsidP="00CC715B">
                  <w:pPr>
                    <w:contextualSpacing/>
                    <w:jc w:val="center"/>
                    <w:rPr>
                      <w:rFonts w:ascii="Times New Roman" w:hAnsi="Times New Roman" w:cs="Times New Roman"/>
                      <w:b/>
                      <w:bCs/>
                      <w:iCs/>
                    </w:rPr>
                  </w:pPr>
                  <w:r w:rsidRPr="009D74A3">
                    <w:rPr>
                      <w:rFonts w:ascii="Times New Roman" w:hAnsi="Times New Roman" w:cs="Times New Roman"/>
                      <w:b/>
                      <w:bCs/>
                      <w:iCs/>
                    </w:rPr>
                    <w:t>Población Ocupada formal e informal</w:t>
                  </w:r>
                </w:p>
                <w:p w14:paraId="6DA91F15" w14:textId="77777777" w:rsidR="00CC715B" w:rsidRPr="009D74A3" w:rsidRDefault="00CC715B" w:rsidP="00CC715B">
                  <w:pPr>
                    <w:contextualSpacing/>
                    <w:jc w:val="center"/>
                    <w:rPr>
                      <w:rFonts w:ascii="Times New Roman" w:hAnsi="Times New Roman" w:cs="Times New Roman"/>
                      <w:iCs/>
                    </w:rPr>
                  </w:pPr>
                  <w:r w:rsidRPr="009D74A3">
                    <w:rPr>
                      <w:rFonts w:ascii="Times New Roman" w:hAnsi="Times New Roman" w:cs="Times New Roman"/>
                      <w:b/>
                      <w:bCs/>
                      <w:iCs/>
                    </w:rPr>
                    <w:t>Variación anual (%)</w:t>
                  </w:r>
                </w:p>
              </w:tc>
            </w:tr>
            <w:tr w:rsidR="00CC715B" w:rsidRPr="009D74A3" w14:paraId="695E7FBB" w14:textId="77777777" w:rsidTr="00740130">
              <w:tc>
                <w:tcPr>
                  <w:tcW w:w="4987" w:type="dxa"/>
                </w:tcPr>
                <w:p w14:paraId="6C8AC13E" w14:textId="77777777" w:rsidR="00CC715B" w:rsidRPr="009D74A3" w:rsidRDefault="00CC715B" w:rsidP="00CC715B">
                  <w:pPr>
                    <w:contextualSpacing/>
                    <w:rPr>
                      <w:rFonts w:ascii="Times New Roman" w:hAnsi="Times New Roman" w:cs="Times New Roman"/>
                      <w:iCs/>
                    </w:rPr>
                  </w:pPr>
                  <w:r w:rsidRPr="009D74A3">
                    <w:rPr>
                      <w:rFonts w:ascii="Times New Roman" w:hAnsi="Times New Roman" w:cs="Times New Roman"/>
                      <w:iCs/>
                      <w:noProof/>
                      <w:lang w:eastAsia="es-CO"/>
                    </w:rPr>
                    <w:drawing>
                      <wp:inline distT="0" distB="0" distL="0" distR="0" wp14:anchorId="44C05909" wp14:editId="2F40D7CF">
                        <wp:extent cx="3073564" cy="2160000"/>
                        <wp:effectExtent l="0" t="0" r="0" b="0"/>
                        <wp:docPr id="1012132679"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073564" cy="2160000"/>
                                </a:xfrm>
                                <a:prstGeom prst="rect">
                                  <a:avLst/>
                                </a:prstGeom>
                                <a:noFill/>
                              </pic:spPr>
                            </pic:pic>
                          </a:graphicData>
                        </a:graphic>
                      </wp:inline>
                    </w:drawing>
                  </w:r>
                </w:p>
              </w:tc>
              <w:tc>
                <w:tcPr>
                  <w:tcW w:w="4988" w:type="dxa"/>
                </w:tcPr>
                <w:p w14:paraId="222465B4" w14:textId="77777777" w:rsidR="00CC715B" w:rsidRPr="009D74A3" w:rsidRDefault="00CC715B" w:rsidP="00CC715B">
                  <w:pPr>
                    <w:contextualSpacing/>
                    <w:rPr>
                      <w:rFonts w:ascii="Times New Roman" w:hAnsi="Times New Roman" w:cs="Times New Roman"/>
                      <w:iCs/>
                    </w:rPr>
                  </w:pPr>
                  <w:r w:rsidRPr="009D74A3">
                    <w:rPr>
                      <w:rFonts w:ascii="Times New Roman" w:hAnsi="Times New Roman" w:cs="Times New Roman"/>
                      <w:iCs/>
                      <w:noProof/>
                      <w:lang w:eastAsia="es-CO"/>
                    </w:rPr>
                    <w:drawing>
                      <wp:inline distT="0" distB="0" distL="0" distR="0" wp14:anchorId="6D755821" wp14:editId="2C96D6A5">
                        <wp:extent cx="3019425" cy="2159635"/>
                        <wp:effectExtent l="0" t="0" r="9525" b="0"/>
                        <wp:docPr id="1868526916"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019936" cy="2160000"/>
                                </a:xfrm>
                                <a:prstGeom prst="rect">
                                  <a:avLst/>
                                </a:prstGeom>
                                <a:noFill/>
                              </pic:spPr>
                            </pic:pic>
                          </a:graphicData>
                        </a:graphic>
                      </wp:inline>
                    </w:drawing>
                  </w:r>
                </w:p>
              </w:tc>
            </w:tr>
          </w:tbl>
          <w:p w14:paraId="695724DD" w14:textId="77777777" w:rsidR="00CC715B" w:rsidRPr="009D74A3" w:rsidRDefault="00CC715B" w:rsidP="009D74A3">
            <w:pPr>
              <w:contextualSpacing/>
              <w:outlineLvl w:val="2"/>
              <w:rPr>
                <w:rFonts w:ascii="Times New Roman" w:hAnsi="Times New Roman" w:cs="Times New Roman"/>
                <w:sz w:val="20"/>
                <w:szCs w:val="20"/>
              </w:rPr>
            </w:pPr>
            <w:r w:rsidRPr="009D74A3">
              <w:rPr>
                <w:rFonts w:ascii="Times New Roman" w:hAnsi="Times New Roman" w:cs="Times New Roman"/>
                <w:b/>
                <w:sz w:val="20"/>
                <w:szCs w:val="20"/>
              </w:rPr>
              <w:t>Fuente:</w:t>
            </w:r>
            <w:r w:rsidRPr="009D74A3">
              <w:rPr>
                <w:rFonts w:ascii="Times New Roman" w:hAnsi="Times New Roman" w:cs="Times New Roman"/>
                <w:sz w:val="20"/>
                <w:szCs w:val="20"/>
              </w:rPr>
              <w:t xml:space="preserve"> DANE, Gran Encuesta Integrada de Hogares (GEIH). </w:t>
            </w:r>
          </w:p>
          <w:p w14:paraId="4F2E1CC2" w14:textId="77777777" w:rsidR="00CC715B" w:rsidRPr="009D74A3" w:rsidRDefault="00CC715B" w:rsidP="009D74A3">
            <w:pPr>
              <w:contextualSpacing/>
              <w:jc w:val="both"/>
              <w:outlineLvl w:val="2"/>
              <w:rPr>
                <w:rFonts w:ascii="Times New Roman" w:hAnsi="Times New Roman" w:cs="Times New Roman"/>
                <w:bCs/>
                <w:sz w:val="24"/>
                <w:szCs w:val="24"/>
              </w:rPr>
            </w:pPr>
          </w:p>
          <w:p w14:paraId="37121C96" w14:textId="1A482F9B" w:rsidR="00CC715B" w:rsidRPr="009D74A3" w:rsidRDefault="00B22E01" w:rsidP="009D74A3">
            <w:pPr>
              <w:contextualSpacing/>
              <w:jc w:val="both"/>
              <w:outlineLvl w:val="2"/>
              <w:rPr>
                <w:rFonts w:ascii="Times New Roman" w:hAnsi="Times New Roman" w:cs="Times New Roman"/>
                <w:sz w:val="24"/>
                <w:szCs w:val="24"/>
              </w:rPr>
            </w:pPr>
            <w:r>
              <w:rPr>
                <w:rFonts w:ascii="Times New Roman" w:hAnsi="Times New Roman" w:cs="Times New Roman"/>
                <w:bCs/>
                <w:sz w:val="24"/>
                <w:szCs w:val="24"/>
              </w:rPr>
              <w:t>La</w:t>
            </w:r>
            <w:r w:rsidRPr="009D74A3">
              <w:rPr>
                <w:rFonts w:ascii="Times New Roman" w:hAnsi="Times New Roman" w:cs="Times New Roman"/>
                <w:bCs/>
                <w:sz w:val="24"/>
                <w:szCs w:val="24"/>
              </w:rPr>
              <w:t xml:space="preserve"> </w:t>
            </w:r>
            <w:r w:rsidR="00CC715B" w:rsidRPr="009D74A3">
              <w:rPr>
                <w:rFonts w:ascii="Times New Roman" w:hAnsi="Times New Roman" w:cs="Times New Roman"/>
                <w:bCs/>
                <w:sz w:val="24"/>
                <w:szCs w:val="24"/>
              </w:rPr>
              <w:t xml:space="preserve">dinámica descrita anteriormente ha </w:t>
            </w:r>
            <w:r w:rsidR="00DE2666">
              <w:rPr>
                <w:rFonts w:ascii="Times New Roman" w:hAnsi="Times New Roman" w:cs="Times New Roman"/>
                <w:bCs/>
                <w:sz w:val="24"/>
                <w:szCs w:val="24"/>
              </w:rPr>
              <w:t>causado</w:t>
            </w:r>
            <w:r w:rsidR="00DE2666" w:rsidRPr="009D74A3">
              <w:rPr>
                <w:rFonts w:ascii="Times New Roman" w:hAnsi="Times New Roman" w:cs="Times New Roman"/>
                <w:bCs/>
                <w:sz w:val="24"/>
                <w:szCs w:val="24"/>
              </w:rPr>
              <w:t xml:space="preserve"> </w:t>
            </w:r>
            <w:r w:rsidR="00CC715B" w:rsidRPr="009D74A3">
              <w:rPr>
                <w:rFonts w:ascii="Times New Roman" w:hAnsi="Times New Roman" w:cs="Times New Roman"/>
                <w:bCs/>
                <w:sz w:val="24"/>
                <w:szCs w:val="24"/>
              </w:rPr>
              <w:t xml:space="preserve">que la proporción de informalidad en la ciudad aumente. </w:t>
            </w:r>
            <w:r w:rsidR="006B4D0A">
              <w:rPr>
                <w:rFonts w:ascii="Times New Roman" w:hAnsi="Times New Roman" w:cs="Times New Roman"/>
                <w:bCs/>
                <w:sz w:val="24"/>
                <w:szCs w:val="24"/>
              </w:rPr>
              <w:t>A</w:t>
            </w:r>
            <w:r w:rsidR="006B4D0A" w:rsidRPr="009D74A3">
              <w:rPr>
                <w:rFonts w:ascii="Times New Roman" w:hAnsi="Times New Roman" w:cs="Times New Roman"/>
                <w:bCs/>
                <w:sz w:val="24"/>
                <w:szCs w:val="24"/>
              </w:rPr>
              <w:t xml:space="preserve"> pesar de </w:t>
            </w:r>
            <w:r w:rsidR="00F827CA">
              <w:rPr>
                <w:rFonts w:ascii="Times New Roman" w:hAnsi="Times New Roman" w:cs="Times New Roman"/>
                <w:bCs/>
                <w:sz w:val="24"/>
                <w:szCs w:val="24"/>
              </w:rPr>
              <w:t xml:space="preserve">ser </w:t>
            </w:r>
            <w:r w:rsidR="006B4D0A" w:rsidRPr="009D74A3">
              <w:rPr>
                <w:rFonts w:ascii="Times New Roman" w:hAnsi="Times New Roman" w:cs="Times New Roman"/>
                <w:bCs/>
                <w:sz w:val="24"/>
                <w:szCs w:val="24"/>
              </w:rPr>
              <w:t>la más baja a nivel nacional</w:t>
            </w:r>
            <w:r w:rsidR="006B4D0A">
              <w:rPr>
                <w:rFonts w:ascii="Times New Roman" w:hAnsi="Times New Roman" w:cs="Times New Roman"/>
                <w:bCs/>
                <w:sz w:val="24"/>
                <w:szCs w:val="24"/>
              </w:rPr>
              <w:t>, e</w:t>
            </w:r>
            <w:r w:rsidR="00CC715B" w:rsidRPr="009D74A3">
              <w:rPr>
                <w:rFonts w:ascii="Times New Roman" w:hAnsi="Times New Roman" w:cs="Times New Roman"/>
                <w:bCs/>
                <w:sz w:val="24"/>
                <w:szCs w:val="24"/>
              </w:rPr>
              <w:t xml:space="preserve">n el trimestre móvil al mes de mayo de 2025, , el indicador presentó un incremento de 3,2 p.p. </w:t>
            </w:r>
            <w:r w:rsidR="006B4D0A" w:rsidRPr="009D74A3">
              <w:rPr>
                <w:rFonts w:ascii="Times New Roman" w:hAnsi="Times New Roman" w:cs="Times New Roman"/>
                <w:bCs/>
                <w:sz w:val="24"/>
                <w:szCs w:val="24"/>
              </w:rPr>
              <w:t>al ubicarse en 36,6%</w:t>
            </w:r>
            <w:r w:rsidR="006B4D0A">
              <w:rPr>
                <w:rFonts w:ascii="Times New Roman" w:hAnsi="Times New Roman" w:cs="Times New Roman"/>
                <w:bCs/>
                <w:sz w:val="24"/>
                <w:szCs w:val="24"/>
              </w:rPr>
              <w:t xml:space="preserve"> </w:t>
            </w:r>
            <w:r w:rsidR="00CC715B" w:rsidRPr="009D74A3">
              <w:rPr>
                <w:rFonts w:ascii="Times New Roman" w:hAnsi="Times New Roman" w:cs="Times New Roman"/>
                <w:bCs/>
                <w:sz w:val="24"/>
                <w:szCs w:val="24"/>
              </w:rPr>
              <w:t xml:space="preserve">frente </w:t>
            </w:r>
            <w:r w:rsidR="003F4039">
              <w:rPr>
                <w:rFonts w:ascii="Times New Roman" w:hAnsi="Times New Roman" w:cs="Times New Roman"/>
                <w:bCs/>
                <w:sz w:val="24"/>
                <w:szCs w:val="24"/>
              </w:rPr>
              <w:t>a 33,5% en e</w:t>
            </w:r>
            <w:r w:rsidR="00CC715B" w:rsidRPr="009D74A3">
              <w:rPr>
                <w:rFonts w:ascii="Times New Roman" w:hAnsi="Times New Roman" w:cs="Times New Roman"/>
                <w:bCs/>
                <w:sz w:val="24"/>
                <w:szCs w:val="24"/>
              </w:rPr>
              <w:t>l mismo periodo del año inmediatamente anterior</w:t>
            </w:r>
            <w:r w:rsidR="003F4039">
              <w:rPr>
                <w:rFonts w:ascii="Times New Roman" w:hAnsi="Times New Roman" w:cs="Times New Roman"/>
                <w:sz w:val="24"/>
                <w:szCs w:val="24"/>
              </w:rPr>
              <w:t>,</w:t>
            </w:r>
            <w:r w:rsidR="00943404">
              <w:rPr>
                <w:rFonts w:ascii="Times New Roman" w:hAnsi="Times New Roman" w:cs="Times New Roman"/>
                <w:sz w:val="24"/>
                <w:szCs w:val="24"/>
              </w:rPr>
              <w:t xml:space="preserve"> l</w:t>
            </w:r>
            <w:r w:rsidR="00CC715B" w:rsidRPr="009D74A3">
              <w:rPr>
                <w:rFonts w:ascii="Times New Roman" w:hAnsi="Times New Roman" w:cs="Times New Roman"/>
                <w:sz w:val="24"/>
                <w:szCs w:val="24"/>
              </w:rPr>
              <w:t>o que evidencia la necesidad de</w:t>
            </w:r>
            <w:r w:rsidR="00943404">
              <w:rPr>
                <w:rFonts w:ascii="Times New Roman" w:hAnsi="Times New Roman" w:cs="Times New Roman"/>
                <w:sz w:val="24"/>
                <w:szCs w:val="24"/>
              </w:rPr>
              <w:t xml:space="preserve"> </w:t>
            </w:r>
            <w:r w:rsidR="00CC715B" w:rsidRPr="009D74A3">
              <w:rPr>
                <w:rFonts w:ascii="Times New Roman" w:hAnsi="Times New Roman" w:cs="Times New Roman"/>
                <w:sz w:val="24"/>
                <w:szCs w:val="24"/>
              </w:rPr>
              <w:t>impuls</w:t>
            </w:r>
            <w:r w:rsidR="00943404">
              <w:rPr>
                <w:rFonts w:ascii="Times New Roman" w:hAnsi="Times New Roman" w:cs="Times New Roman"/>
                <w:sz w:val="24"/>
                <w:szCs w:val="24"/>
              </w:rPr>
              <w:t>ar</w:t>
            </w:r>
            <w:r w:rsidR="00CC715B" w:rsidRPr="009D74A3">
              <w:rPr>
                <w:rFonts w:ascii="Times New Roman" w:hAnsi="Times New Roman" w:cs="Times New Roman"/>
                <w:sz w:val="24"/>
                <w:szCs w:val="24"/>
              </w:rPr>
              <w:t xml:space="preserve"> el mercado laboral de la ciudad, especialmente en empleo formal. </w:t>
            </w:r>
          </w:p>
          <w:p w14:paraId="4CDF85BA" w14:textId="77777777" w:rsidR="00CC715B" w:rsidRPr="009D74A3" w:rsidRDefault="00CC715B" w:rsidP="009D74A3">
            <w:pPr>
              <w:contextualSpacing/>
              <w:jc w:val="both"/>
              <w:outlineLvl w:val="2"/>
              <w:rPr>
                <w:rFonts w:ascii="Times New Roman" w:hAnsi="Times New Roman" w:cs="Times New Roman"/>
              </w:rPr>
            </w:pPr>
          </w:p>
          <w:p w14:paraId="361A053D" w14:textId="4A757450" w:rsidR="00CC715B" w:rsidRPr="009D74A3" w:rsidRDefault="00CC715B" w:rsidP="009D74A3">
            <w:pPr>
              <w:contextualSpacing/>
              <w:jc w:val="both"/>
              <w:outlineLvl w:val="2"/>
              <w:rPr>
                <w:rFonts w:ascii="Times New Roman" w:hAnsi="Times New Roman" w:cs="Times New Roman"/>
                <w:bCs/>
                <w:sz w:val="24"/>
                <w:szCs w:val="24"/>
              </w:rPr>
            </w:pPr>
            <w:r w:rsidRPr="46221FE5">
              <w:rPr>
                <w:rFonts w:ascii="Times New Roman" w:hAnsi="Times New Roman" w:cs="Times New Roman"/>
                <w:sz w:val="24"/>
                <w:szCs w:val="24"/>
              </w:rPr>
              <w:t xml:space="preserve">Al observar la proporción de ocupación informal por sectores y tamaño de empresa, las </w:t>
            </w:r>
            <w:r w:rsidR="6743876E" w:rsidRPr="46221FE5">
              <w:rPr>
                <w:rFonts w:ascii="Times New Roman" w:hAnsi="Times New Roman" w:cs="Times New Roman"/>
                <w:sz w:val="24"/>
                <w:szCs w:val="24"/>
              </w:rPr>
              <w:t>micro</w:t>
            </w:r>
            <w:r w:rsidR="5121F639" w:rsidRPr="46221FE5">
              <w:rPr>
                <w:rFonts w:ascii="Times New Roman" w:hAnsi="Times New Roman" w:cs="Times New Roman"/>
                <w:sz w:val="24"/>
                <w:szCs w:val="24"/>
              </w:rPr>
              <w:t xml:space="preserve"> y pequeña </w:t>
            </w:r>
            <w:r w:rsidR="6743876E" w:rsidRPr="46221FE5">
              <w:rPr>
                <w:rFonts w:ascii="Times New Roman" w:hAnsi="Times New Roman" w:cs="Times New Roman"/>
                <w:sz w:val="24"/>
                <w:szCs w:val="24"/>
              </w:rPr>
              <w:t xml:space="preserve">empresas </w:t>
            </w:r>
            <w:r w:rsidRPr="46221FE5">
              <w:rPr>
                <w:rFonts w:ascii="Times New Roman" w:hAnsi="Times New Roman" w:cs="Times New Roman"/>
                <w:sz w:val="24"/>
                <w:szCs w:val="24"/>
              </w:rPr>
              <w:t>son las que mayor proporción de informalidad presentan en la ciudad (</w:t>
            </w:r>
            <w:r w:rsidR="5121F639" w:rsidRPr="46221FE5">
              <w:rPr>
                <w:rFonts w:ascii="Times New Roman" w:hAnsi="Times New Roman" w:cs="Times New Roman"/>
                <w:sz w:val="24"/>
                <w:szCs w:val="24"/>
              </w:rPr>
              <w:t>58</w:t>
            </w:r>
            <w:r w:rsidR="6743876E" w:rsidRPr="46221FE5">
              <w:rPr>
                <w:rFonts w:ascii="Times New Roman" w:hAnsi="Times New Roman" w:cs="Times New Roman"/>
                <w:sz w:val="24"/>
                <w:szCs w:val="24"/>
              </w:rPr>
              <w:t>,</w:t>
            </w:r>
            <w:r w:rsidR="5121F639" w:rsidRPr="46221FE5">
              <w:rPr>
                <w:rFonts w:ascii="Times New Roman" w:hAnsi="Times New Roman" w:cs="Times New Roman"/>
                <w:sz w:val="24"/>
                <w:szCs w:val="24"/>
              </w:rPr>
              <w:t>7</w:t>
            </w:r>
            <w:r w:rsidRPr="46221FE5">
              <w:rPr>
                <w:rFonts w:ascii="Times New Roman" w:hAnsi="Times New Roman" w:cs="Times New Roman"/>
                <w:sz w:val="24"/>
                <w:szCs w:val="24"/>
              </w:rPr>
              <w:t>%), mientras que las empresas grandes tienen una menor proporción (2,7%). Dentro de las micro</w:t>
            </w:r>
            <w:r w:rsidR="00FE322B">
              <w:rPr>
                <w:rFonts w:ascii="Times New Roman" w:hAnsi="Times New Roman" w:cs="Times New Roman"/>
                <w:sz w:val="24"/>
                <w:szCs w:val="24"/>
              </w:rPr>
              <w:t xml:space="preserve"> </w:t>
            </w:r>
            <w:r w:rsidRPr="46221FE5">
              <w:rPr>
                <w:rFonts w:ascii="Times New Roman" w:hAnsi="Times New Roman" w:cs="Times New Roman"/>
                <w:sz w:val="24"/>
                <w:szCs w:val="24"/>
              </w:rPr>
              <w:t>y pequeñas empresas el sector que mayor proporción de empleo informal tiene es la industria</w:t>
            </w:r>
            <w:r w:rsidRPr="009D74A3">
              <w:rPr>
                <w:rFonts w:ascii="Times New Roman" w:hAnsi="Times New Roman" w:cs="Times New Roman"/>
                <w:bCs/>
                <w:sz w:val="24"/>
                <w:szCs w:val="24"/>
              </w:rPr>
              <w:t xml:space="preserve"> (</w:t>
            </w:r>
            <w:r w:rsidRPr="009D74A3">
              <w:rPr>
                <w:rFonts w:ascii="Times New Roman" w:hAnsi="Times New Roman" w:cs="Times New Roman"/>
                <w:b/>
                <w:sz w:val="24"/>
                <w:szCs w:val="24"/>
              </w:rPr>
              <w:t>Tabla 4</w:t>
            </w:r>
            <w:r w:rsidRPr="009D74A3">
              <w:rPr>
                <w:rFonts w:ascii="Times New Roman" w:hAnsi="Times New Roman" w:cs="Times New Roman"/>
                <w:bCs/>
                <w:sz w:val="24"/>
                <w:szCs w:val="24"/>
              </w:rPr>
              <w:t>).</w:t>
            </w:r>
          </w:p>
          <w:p w14:paraId="1F47D8BE" w14:textId="77777777" w:rsidR="00CC715B" w:rsidRPr="009D74A3" w:rsidRDefault="00CC715B" w:rsidP="009D74A3">
            <w:pPr>
              <w:contextualSpacing/>
              <w:jc w:val="both"/>
              <w:outlineLvl w:val="2"/>
              <w:rPr>
                <w:rFonts w:ascii="Times New Roman" w:hAnsi="Times New Roman" w:cs="Times New Roman"/>
                <w:b/>
                <w:highlight w:val="magenta"/>
              </w:rPr>
            </w:pPr>
          </w:p>
          <w:p w14:paraId="2252B3DD" w14:textId="77777777" w:rsidR="00CC715B" w:rsidRPr="009D74A3" w:rsidRDefault="00CC715B" w:rsidP="009D74A3">
            <w:pPr>
              <w:contextualSpacing/>
              <w:jc w:val="center"/>
              <w:outlineLvl w:val="2"/>
              <w:rPr>
                <w:rFonts w:ascii="Times New Roman" w:hAnsi="Times New Roman" w:cs="Times New Roman"/>
                <w:bCs/>
                <w:i/>
                <w:iCs/>
              </w:rPr>
            </w:pPr>
            <w:r w:rsidRPr="009D74A3">
              <w:rPr>
                <w:rFonts w:ascii="Times New Roman" w:hAnsi="Times New Roman" w:cs="Times New Roman"/>
                <w:b/>
              </w:rPr>
              <w:t>Tabla 4</w:t>
            </w:r>
            <w:r w:rsidRPr="009D74A3">
              <w:rPr>
                <w:rFonts w:ascii="Times New Roman" w:hAnsi="Times New Roman" w:cs="Times New Roman"/>
                <w:b/>
              </w:rPr>
              <w:br/>
              <w:t xml:space="preserve">Proporción de ocupación informal por tamaño de empresa en Bogotá – 2024 </w:t>
            </w:r>
            <w:r w:rsidRPr="009D74A3">
              <w:rPr>
                <w:rFonts w:ascii="Times New Roman" w:hAnsi="Times New Roman" w:cs="Times New Roman"/>
                <w:b/>
              </w:rPr>
              <w:br/>
            </w:r>
            <w:r w:rsidRPr="009D74A3">
              <w:rPr>
                <w:rFonts w:ascii="Times New Roman" w:hAnsi="Times New Roman" w:cs="Times New Roman"/>
                <w:bCs/>
                <w:i/>
                <w:iCs/>
              </w:rPr>
              <w:t>Porcentaje</w:t>
            </w:r>
          </w:p>
          <w:p w14:paraId="59CAD9A9" w14:textId="2264728A" w:rsidR="00CC715B" w:rsidRPr="009D74A3" w:rsidRDefault="004B74CF" w:rsidP="009D74A3">
            <w:pPr>
              <w:contextualSpacing/>
              <w:jc w:val="center"/>
              <w:outlineLvl w:val="2"/>
              <w:rPr>
                <w:rFonts w:ascii="Times New Roman" w:hAnsi="Times New Roman" w:cs="Times New Roman"/>
                <w:bCs/>
                <w:i/>
                <w:iCs/>
              </w:rPr>
            </w:pPr>
            <w:r w:rsidRPr="004B74CF">
              <w:rPr>
                <w:rFonts w:ascii="Times New Roman" w:hAnsi="Times New Roman" w:cs="Times New Roman"/>
                <w:bCs/>
                <w:i/>
                <w:iCs/>
                <w:noProof/>
                <w:lang w:eastAsia="es-CO"/>
              </w:rPr>
              <w:drawing>
                <wp:inline distT="0" distB="0" distL="0" distR="0" wp14:anchorId="71E22038" wp14:editId="197E6E91">
                  <wp:extent cx="4953635" cy="977900"/>
                  <wp:effectExtent l="0" t="0" r="0" b="0"/>
                  <wp:docPr id="702690160"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53635" cy="977900"/>
                          </a:xfrm>
                          <a:prstGeom prst="rect">
                            <a:avLst/>
                          </a:prstGeom>
                          <a:noFill/>
                          <a:ln>
                            <a:noFill/>
                          </a:ln>
                        </pic:spPr>
                      </pic:pic>
                    </a:graphicData>
                  </a:graphic>
                </wp:inline>
              </w:drawing>
            </w:r>
          </w:p>
          <w:p w14:paraId="560D00F5" w14:textId="77777777" w:rsidR="00CC715B" w:rsidRPr="009D74A3" w:rsidRDefault="00CC715B" w:rsidP="009D74A3">
            <w:pPr>
              <w:ind w:left="776" w:right="792"/>
              <w:contextualSpacing/>
              <w:outlineLvl w:val="2"/>
              <w:rPr>
                <w:rFonts w:ascii="Times New Roman" w:hAnsi="Times New Roman" w:cs="Times New Roman"/>
                <w:sz w:val="20"/>
                <w:szCs w:val="20"/>
              </w:rPr>
            </w:pPr>
            <w:r w:rsidRPr="009D74A3">
              <w:rPr>
                <w:rFonts w:ascii="Times New Roman" w:hAnsi="Times New Roman" w:cs="Times New Roman"/>
                <w:b/>
                <w:sz w:val="20"/>
                <w:szCs w:val="20"/>
              </w:rPr>
              <w:t xml:space="preserve">Cálculos: </w:t>
            </w:r>
            <w:r w:rsidRPr="009D74A3">
              <w:rPr>
                <w:rFonts w:ascii="Times New Roman" w:hAnsi="Times New Roman" w:cs="Times New Roman"/>
                <w:bCs/>
                <w:sz w:val="20"/>
                <w:szCs w:val="20"/>
              </w:rPr>
              <w:t>Secretaría Distrital de Hacienda con información de la</w:t>
            </w:r>
            <w:r w:rsidRPr="009D74A3">
              <w:rPr>
                <w:rFonts w:ascii="Times New Roman" w:hAnsi="Times New Roman" w:cs="Times New Roman"/>
                <w:b/>
                <w:sz w:val="20"/>
                <w:szCs w:val="20"/>
              </w:rPr>
              <w:t xml:space="preserve"> </w:t>
            </w:r>
            <w:r w:rsidRPr="009D74A3">
              <w:rPr>
                <w:rFonts w:ascii="Times New Roman" w:hAnsi="Times New Roman" w:cs="Times New Roman"/>
                <w:sz w:val="20"/>
                <w:szCs w:val="20"/>
              </w:rPr>
              <w:t>Gran Encuesta Integrada de Hogares del DANE.</w:t>
            </w:r>
          </w:p>
          <w:p w14:paraId="4BEAABAB" w14:textId="77777777" w:rsidR="00CC715B" w:rsidRPr="009D74A3" w:rsidRDefault="00CC715B" w:rsidP="009D74A3">
            <w:pPr>
              <w:contextualSpacing/>
              <w:jc w:val="center"/>
              <w:outlineLvl w:val="2"/>
              <w:rPr>
                <w:rFonts w:ascii="Times New Roman" w:hAnsi="Times New Roman" w:cs="Times New Roman"/>
                <w:bCs/>
                <w:i/>
                <w:iCs/>
              </w:rPr>
            </w:pPr>
          </w:p>
          <w:p w14:paraId="04C891D9" w14:textId="77777777" w:rsidR="00CC715B" w:rsidRPr="009D74A3" w:rsidRDefault="00CC715B">
            <w:pPr>
              <w:pStyle w:val="Ttulo2"/>
              <w:numPr>
                <w:ilvl w:val="1"/>
                <w:numId w:val="6"/>
              </w:numPr>
              <w:spacing w:before="0"/>
              <w:contextualSpacing/>
              <w:outlineLvl w:val="1"/>
              <w:rPr>
                <w:rFonts w:ascii="Times New Roman" w:hAnsi="Times New Roman" w:cs="Times New Roman"/>
                <w:b/>
                <w:sz w:val="24"/>
                <w:szCs w:val="24"/>
              </w:rPr>
            </w:pPr>
            <w:r w:rsidRPr="009D74A3">
              <w:rPr>
                <w:rFonts w:ascii="Times New Roman" w:hAnsi="Times New Roman" w:cs="Times New Roman"/>
                <w:b/>
                <w:sz w:val="24"/>
                <w:szCs w:val="24"/>
              </w:rPr>
              <w:t xml:space="preserve">Inflación </w:t>
            </w:r>
          </w:p>
          <w:p w14:paraId="1D8FD354" w14:textId="77777777" w:rsidR="00CC715B" w:rsidRPr="009D74A3" w:rsidRDefault="00CC715B" w:rsidP="009D74A3">
            <w:pPr>
              <w:contextualSpacing/>
              <w:outlineLvl w:val="2"/>
              <w:rPr>
                <w:rFonts w:ascii="Times New Roman" w:hAnsi="Times New Roman" w:cs="Times New Roman"/>
                <w:sz w:val="24"/>
                <w:szCs w:val="24"/>
              </w:rPr>
            </w:pPr>
          </w:p>
          <w:p w14:paraId="31AAF869" w14:textId="16FBFAC1" w:rsidR="00CC715B" w:rsidRPr="009D74A3" w:rsidRDefault="00CC715B" w:rsidP="009D74A3">
            <w:pPr>
              <w:pStyle w:val="PRRAFOSDH"/>
              <w:spacing w:line="240" w:lineRule="auto"/>
              <w:contextualSpacing/>
              <w:outlineLvl w:val="2"/>
              <w:rPr>
                <w:rFonts w:ascii="Times New Roman" w:hAnsi="Times New Roman" w:cs="Times New Roman"/>
                <w:sz w:val="24"/>
                <w:szCs w:val="24"/>
                <w:lang w:val="es-CO"/>
              </w:rPr>
            </w:pPr>
            <w:r w:rsidRPr="009D74A3">
              <w:rPr>
                <w:rFonts w:ascii="Times New Roman" w:hAnsi="Times New Roman" w:cs="Times New Roman"/>
                <w:sz w:val="24"/>
                <w:szCs w:val="24"/>
                <w:lang w:val="es-CO"/>
              </w:rPr>
              <w:t>La inflación anual en Bogotá en junio de 2025 fue de 5,20%, inferior en 0,27 p.p. a la observada en el mes anterior (5,47%) y menor en 2,24 p.p. a la del mismo mes de 2024 (7,44%). La inflación a nivel nacional por su parte se ubicó en 4,82%, menor en 0,23 p.p. a la presentada en el mes anterior (5,05%), y menor en 2,36 p.p. a la observada en el mismo periodo del año anterior (7,18%) (</w:t>
            </w:r>
            <w:r w:rsidRPr="009D74A3">
              <w:rPr>
                <w:rFonts w:ascii="Times New Roman" w:hAnsi="Times New Roman" w:cs="Times New Roman"/>
                <w:b/>
                <w:bCs/>
                <w:sz w:val="24"/>
                <w:szCs w:val="24"/>
                <w:lang w:val="es-CO"/>
              </w:rPr>
              <w:t>Gráfico 14</w:t>
            </w:r>
            <w:r w:rsidRPr="009D74A3">
              <w:rPr>
                <w:rFonts w:ascii="Times New Roman" w:hAnsi="Times New Roman" w:cs="Times New Roman"/>
                <w:sz w:val="24"/>
                <w:szCs w:val="24"/>
                <w:lang w:val="es-CO"/>
              </w:rPr>
              <w:t>).</w:t>
            </w:r>
          </w:p>
          <w:p w14:paraId="0708A525" w14:textId="77777777" w:rsidR="00CC715B" w:rsidRPr="009D74A3" w:rsidRDefault="00CC715B" w:rsidP="009D74A3">
            <w:pPr>
              <w:pStyle w:val="PRRAFOSDH"/>
              <w:spacing w:line="240" w:lineRule="auto"/>
              <w:contextualSpacing/>
              <w:outlineLvl w:val="2"/>
              <w:rPr>
                <w:rFonts w:ascii="Times New Roman" w:hAnsi="Times New Roman" w:cs="Times New Roman"/>
                <w:sz w:val="24"/>
                <w:szCs w:val="24"/>
                <w:lang w:val="es-CO"/>
              </w:rPr>
            </w:pPr>
          </w:p>
          <w:p w14:paraId="14A1049C" w14:textId="3E25FBC8" w:rsidR="009D74A3" w:rsidRPr="00961E7E" w:rsidRDefault="00CC715B" w:rsidP="00961E7E">
            <w:pPr>
              <w:pStyle w:val="PRRAFOSDH"/>
              <w:spacing w:line="240" w:lineRule="auto"/>
              <w:contextualSpacing/>
              <w:outlineLvl w:val="2"/>
              <w:rPr>
                <w:rFonts w:ascii="Times New Roman" w:hAnsi="Times New Roman" w:cs="Times New Roman"/>
                <w:sz w:val="24"/>
                <w:szCs w:val="24"/>
                <w:lang w:val="es-CO"/>
              </w:rPr>
            </w:pPr>
            <w:r w:rsidRPr="009D74A3">
              <w:rPr>
                <w:rFonts w:ascii="Times New Roman" w:hAnsi="Times New Roman" w:cs="Times New Roman"/>
                <w:sz w:val="24"/>
                <w:szCs w:val="24"/>
                <w:lang w:val="es-CO"/>
              </w:rPr>
              <w:t>La disminución progresiva de la inflación en todo el país desde marzo de 2023 ha llevado a anclar las expectativas de inflación de mediano plazo en el rango meta del Banco de la República, es decir en el intervalo entre 2% y 4%. No obstante, el momento exacto en el cual la inflación puede converger a dicho rango se ha retrasado a medida que el descenso de la inflación se ha ralentizado. Según la Encuesta Mensual de Expectativas de Analistas Económicos del Banco de la República (junio 2025), la inflación podría ubicarse en el rango meta hacia mediados de 2026.</w:t>
            </w:r>
          </w:p>
          <w:p w14:paraId="6271755C" w14:textId="77777777" w:rsidR="009D74A3" w:rsidRDefault="009D74A3" w:rsidP="00961E7E">
            <w:pPr>
              <w:contextualSpacing/>
              <w:outlineLvl w:val="2"/>
              <w:rPr>
                <w:rFonts w:ascii="Times New Roman" w:hAnsi="Times New Roman" w:cs="Times New Roman"/>
                <w:b/>
              </w:rPr>
            </w:pPr>
          </w:p>
          <w:p w14:paraId="72CC89AB" w14:textId="35B03C04" w:rsidR="00CC715B" w:rsidRPr="009D74A3" w:rsidRDefault="00CC715B" w:rsidP="009D74A3">
            <w:pPr>
              <w:contextualSpacing/>
              <w:jc w:val="center"/>
              <w:outlineLvl w:val="2"/>
              <w:rPr>
                <w:rFonts w:ascii="Times New Roman" w:hAnsi="Times New Roman" w:cs="Times New Roman"/>
                <w:b/>
              </w:rPr>
            </w:pPr>
            <w:r w:rsidRPr="009D74A3">
              <w:rPr>
                <w:rFonts w:ascii="Times New Roman" w:hAnsi="Times New Roman" w:cs="Times New Roman"/>
                <w:b/>
              </w:rPr>
              <w:t>Gráfico 14.</w:t>
            </w:r>
            <w:r w:rsidRPr="009D74A3">
              <w:rPr>
                <w:rFonts w:ascii="Times New Roman" w:hAnsi="Times New Roman" w:cs="Times New Roman"/>
                <w:b/>
              </w:rPr>
              <w:br/>
              <w:t xml:space="preserve">Inflación anual (12 meses) </w:t>
            </w:r>
          </w:p>
          <w:p w14:paraId="2BCA57C3" w14:textId="77777777" w:rsidR="00CC715B" w:rsidRPr="009D74A3" w:rsidRDefault="00CC715B" w:rsidP="009D74A3">
            <w:pPr>
              <w:contextualSpacing/>
              <w:jc w:val="center"/>
              <w:outlineLvl w:val="2"/>
              <w:rPr>
                <w:rFonts w:ascii="Times New Roman" w:hAnsi="Times New Roman" w:cs="Times New Roman"/>
                <w:bCs/>
                <w:i/>
                <w:iCs/>
              </w:rPr>
            </w:pPr>
            <w:r w:rsidRPr="009D74A3">
              <w:rPr>
                <w:rFonts w:ascii="Times New Roman" w:hAnsi="Times New Roman" w:cs="Times New Roman"/>
                <w:bCs/>
                <w:i/>
                <w:iCs/>
              </w:rPr>
              <w:t>Porcentaje (%)</w:t>
            </w:r>
          </w:p>
          <w:p w14:paraId="0C95AA63" w14:textId="77777777" w:rsidR="00CC715B" w:rsidRPr="009D74A3" w:rsidRDefault="00CC715B" w:rsidP="009D74A3">
            <w:pPr>
              <w:contextualSpacing/>
              <w:jc w:val="center"/>
              <w:outlineLvl w:val="2"/>
              <w:rPr>
                <w:rFonts w:ascii="Times New Roman" w:hAnsi="Times New Roman" w:cs="Times New Roman"/>
                <w:bCs/>
                <w:i/>
                <w:iCs/>
              </w:rPr>
            </w:pPr>
            <w:r w:rsidRPr="009D74A3">
              <w:rPr>
                <w:rFonts w:ascii="Times New Roman" w:hAnsi="Times New Roman" w:cs="Times New Roman"/>
                <w:bCs/>
                <w:i/>
                <w:iCs/>
                <w:noProof/>
                <w:lang w:eastAsia="es-CO"/>
              </w:rPr>
              <w:drawing>
                <wp:inline distT="0" distB="0" distL="0" distR="0" wp14:anchorId="6AC48698" wp14:editId="28149743">
                  <wp:extent cx="5899367" cy="1850065"/>
                  <wp:effectExtent l="0" t="0" r="0" b="4445"/>
                  <wp:docPr id="896221164"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8884" cy="1865594"/>
                          </a:xfrm>
                          <a:prstGeom prst="rect">
                            <a:avLst/>
                          </a:prstGeom>
                          <a:noFill/>
                        </pic:spPr>
                      </pic:pic>
                    </a:graphicData>
                  </a:graphic>
                </wp:inline>
              </w:drawing>
            </w:r>
          </w:p>
          <w:p w14:paraId="64B64392" w14:textId="77777777" w:rsidR="00CC715B" w:rsidRPr="009D74A3" w:rsidRDefault="00CC715B" w:rsidP="009D74A3">
            <w:pPr>
              <w:ind w:firstLine="634"/>
              <w:contextualSpacing/>
              <w:outlineLvl w:val="2"/>
              <w:rPr>
                <w:rFonts w:ascii="Times New Roman" w:hAnsi="Times New Roman" w:cs="Times New Roman"/>
                <w:sz w:val="20"/>
                <w:szCs w:val="20"/>
              </w:rPr>
            </w:pPr>
            <w:r w:rsidRPr="009D74A3">
              <w:rPr>
                <w:rFonts w:ascii="Times New Roman" w:hAnsi="Times New Roman" w:cs="Times New Roman"/>
                <w:b/>
                <w:sz w:val="20"/>
                <w:szCs w:val="20"/>
              </w:rPr>
              <w:t>Fuente:</w:t>
            </w:r>
            <w:r w:rsidRPr="009D74A3">
              <w:rPr>
                <w:rFonts w:ascii="Times New Roman" w:hAnsi="Times New Roman" w:cs="Times New Roman"/>
                <w:sz w:val="20"/>
                <w:szCs w:val="20"/>
              </w:rPr>
              <w:t xml:space="preserve"> DANE, Índice de Precios al Consumidor (IPC)</w:t>
            </w:r>
          </w:p>
          <w:p w14:paraId="45F74517" w14:textId="77777777" w:rsidR="009D74A3" w:rsidRPr="009D74A3" w:rsidRDefault="009D74A3" w:rsidP="009D74A3">
            <w:pPr>
              <w:pStyle w:val="PRRAFOSDH"/>
              <w:spacing w:line="240" w:lineRule="auto"/>
              <w:contextualSpacing/>
              <w:outlineLvl w:val="2"/>
              <w:rPr>
                <w:rFonts w:ascii="Times New Roman" w:hAnsi="Times New Roman" w:cs="Times New Roman"/>
                <w:sz w:val="24"/>
                <w:szCs w:val="24"/>
                <w:lang w:val="es-CO"/>
              </w:rPr>
            </w:pPr>
          </w:p>
          <w:p w14:paraId="3F4B2D4D" w14:textId="6895146A" w:rsidR="00CC715B" w:rsidRPr="009D74A3" w:rsidRDefault="00CC715B" w:rsidP="009D74A3">
            <w:pPr>
              <w:pStyle w:val="PRRAFOSDH"/>
              <w:spacing w:line="240" w:lineRule="auto"/>
              <w:contextualSpacing/>
              <w:outlineLvl w:val="2"/>
              <w:rPr>
                <w:rFonts w:ascii="Times New Roman" w:hAnsi="Times New Roman" w:cs="Times New Roman"/>
                <w:sz w:val="24"/>
                <w:szCs w:val="24"/>
                <w:lang w:val="es-CO"/>
              </w:rPr>
            </w:pPr>
            <w:r w:rsidRPr="009D74A3">
              <w:rPr>
                <w:rFonts w:ascii="Times New Roman" w:hAnsi="Times New Roman" w:cs="Times New Roman"/>
                <w:sz w:val="24"/>
                <w:szCs w:val="24"/>
                <w:lang w:val="es-CO"/>
              </w:rPr>
              <w:t xml:space="preserve">Por su parte, en Bogotá, las divisiones de gasto que registraron mayor inflación anual en junio de 2025 fueron: educación (7,94%), restaurantes y hoteles (6,74%), alojamiento y servicios públicos (6,30%), bebidas alcohólicas y tabaco (5,91), transporte (5,56%) y salud (5,45%), mientras que los menores incrementos anuales se observaron en: alimentos y bebidas no alcohólicas (4,45%), bienes y servicios diversos (3,54%), artículos para el hogar (3,30%), recreación y cultura (1,43%) y prendas de vestir y calzado (0,89%), </w:t>
            </w:r>
            <w:r w:rsidR="00555B26">
              <w:rPr>
                <w:rFonts w:ascii="Times New Roman" w:hAnsi="Times New Roman" w:cs="Times New Roman"/>
                <w:sz w:val="24"/>
                <w:szCs w:val="24"/>
                <w:lang w:val="es-CO"/>
              </w:rPr>
              <w:t>de igual forma se</w:t>
            </w:r>
            <w:r w:rsidRPr="009D74A3">
              <w:rPr>
                <w:rFonts w:ascii="Times New Roman" w:hAnsi="Times New Roman" w:cs="Times New Roman"/>
                <w:sz w:val="24"/>
                <w:szCs w:val="24"/>
                <w:lang w:val="es-CO"/>
              </w:rPr>
              <w:t xml:space="preserve"> registró variación negativa</w:t>
            </w:r>
            <w:r w:rsidR="00672FAE">
              <w:rPr>
                <w:rFonts w:ascii="Times New Roman" w:hAnsi="Times New Roman" w:cs="Times New Roman"/>
                <w:sz w:val="24"/>
                <w:szCs w:val="24"/>
                <w:lang w:val="es-CO"/>
              </w:rPr>
              <w:t xml:space="preserve"> en</w:t>
            </w:r>
            <w:r w:rsidRPr="009D74A3">
              <w:rPr>
                <w:rFonts w:ascii="Times New Roman" w:hAnsi="Times New Roman" w:cs="Times New Roman"/>
                <w:sz w:val="24"/>
                <w:szCs w:val="24"/>
                <w:lang w:val="es-CO"/>
              </w:rPr>
              <w:t xml:space="preserve"> información y comunicación (-2,27%).</w:t>
            </w:r>
            <w:r w:rsidRPr="009D74A3" w:rsidDel="000F1421">
              <w:rPr>
                <w:rFonts w:ascii="Times New Roman" w:hAnsi="Times New Roman" w:cs="Times New Roman"/>
                <w:sz w:val="24"/>
                <w:szCs w:val="24"/>
                <w:lang w:val="es-CO"/>
              </w:rPr>
              <w:t xml:space="preserve"> </w:t>
            </w:r>
          </w:p>
          <w:p w14:paraId="4215C714" w14:textId="77777777" w:rsidR="00CC715B" w:rsidRPr="009D74A3" w:rsidRDefault="00CC715B" w:rsidP="009D74A3">
            <w:pPr>
              <w:pStyle w:val="PRRAFOSDH"/>
              <w:spacing w:line="240" w:lineRule="auto"/>
              <w:contextualSpacing/>
              <w:outlineLvl w:val="2"/>
              <w:rPr>
                <w:rFonts w:ascii="Times New Roman" w:hAnsi="Times New Roman" w:cs="Times New Roman"/>
                <w:sz w:val="24"/>
                <w:szCs w:val="24"/>
                <w:lang w:val="es-CO"/>
              </w:rPr>
            </w:pPr>
          </w:p>
          <w:p w14:paraId="58831784" w14:textId="3EE9F9B5" w:rsidR="00CC715B" w:rsidRPr="009D74A3" w:rsidRDefault="00CC715B" w:rsidP="009D74A3">
            <w:pPr>
              <w:pStyle w:val="PRRAFOSDH"/>
              <w:spacing w:line="240" w:lineRule="auto"/>
              <w:contextualSpacing/>
              <w:outlineLvl w:val="2"/>
              <w:rPr>
                <w:rFonts w:ascii="Times New Roman" w:hAnsi="Times New Roman" w:cs="Times New Roman"/>
                <w:sz w:val="24"/>
                <w:szCs w:val="24"/>
                <w:lang w:val="es-CO"/>
              </w:rPr>
            </w:pPr>
            <w:r w:rsidRPr="009D74A3">
              <w:rPr>
                <w:rFonts w:ascii="Times New Roman" w:hAnsi="Times New Roman" w:cs="Times New Roman"/>
                <w:sz w:val="24"/>
                <w:szCs w:val="24"/>
                <w:lang w:val="es-CO"/>
              </w:rPr>
              <w:t xml:space="preserve">Por su parte, en junio de 2025, en el grupo de servicios públicos y combustible, </w:t>
            </w:r>
            <w:r w:rsidRPr="46221FE5">
              <w:rPr>
                <w:rFonts w:ascii="Times New Roman" w:hAnsi="Times New Roman" w:cs="Times New Roman"/>
                <w:sz w:val="24"/>
                <w:szCs w:val="24"/>
                <w:lang w:val="es-CO"/>
              </w:rPr>
              <w:t>la inflación anual de electricidad en Bogotá fue negativa por tercer mes consecutivo</w:t>
            </w:r>
            <w:r w:rsidRPr="009D74A3">
              <w:rPr>
                <w:rFonts w:ascii="Times New Roman" w:hAnsi="Times New Roman" w:cs="Times New Roman"/>
                <w:sz w:val="24"/>
                <w:szCs w:val="24"/>
                <w:lang w:val="es-CO"/>
              </w:rPr>
              <w:t>, manteniendo su tendencia descendente iniciada en febrero de 2024, al ubicarse en -6,82%, variación más negativa en 3,78 p.p. a la observada en el mes anterior (-3,04%), y que la registrada a nivel nacional (-4,82%), y en contraste con el alto crecimiento presentado en el mismo periodo del año anterior (14,41%) (</w:t>
            </w:r>
            <w:r w:rsidRPr="009D74A3">
              <w:rPr>
                <w:rFonts w:ascii="Times New Roman" w:hAnsi="Times New Roman" w:cs="Times New Roman"/>
                <w:b/>
                <w:bCs/>
                <w:sz w:val="24"/>
                <w:szCs w:val="24"/>
                <w:lang w:val="es-CO"/>
              </w:rPr>
              <w:t>Gráfico 15</w:t>
            </w:r>
            <w:r w:rsidRPr="009D74A3">
              <w:rPr>
                <w:rFonts w:ascii="Times New Roman" w:hAnsi="Times New Roman" w:cs="Times New Roman"/>
                <w:sz w:val="24"/>
                <w:szCs w:val="24"/>
                <w:lang w:val="es-CO"/>
              </w:rPr>
              <w:t>).</w:t>
            </w:r>
          </w:p>
          <w:p w14:paraId="382A0735" w14:textId="77777777" w:rsidR="00CC715B" w:rsidRDefault="00CC715B" w:rsidP="009D74A3">
            <w:pPr>
              <w:pStyle w:val="PRRAFOSDH"/>
              <w:spacing w:line="240" w:lineRule="auto"/>
              <w:contextualSpacing/>
              <w:outlineLvl w:val="2"/>
              <w:rPr>
                <w:rFonts w:ascii="Times New Roman" w:hAnsi="Times New Roman" w:cs="Times New Roman"/>
                <w:sz w:val="22"/>
                <w:szCs w:val="22"/>
                <w:lang w:val="es-CO"/>
              </w:rPr>
            </w:pPr>
          </w:p>
          <w:p w14:paraId="32ADDD1D" w14:textId="77777777" w:rsidR="00CF6043" w:rsidRDefault="00CF6043" w:rsidP="009D74A3">
            <w:pPr>
              <w:pStyle w:val="PRRAFOSDH"/>
              <w:spacing w:line="240" w:lineRule="auto"/>
              <w:contextualSpacing/>
              <w:outlineLvl w:val="2"/>
              <w:rPr>
                <w:rFonts w:ascii="Times New Roman" w:hAnsi="Times New Roman" w:cs="Times New Roman"/>
                <w:sz w:val="22"/>
                <w:szCs w:val="22"/>
                <w:lang w:val="es-CO"/>
              </w:rPr>
            </w:pPr>
          </w:p>
          <w:p w14:paraId="2FD5E724" w14:textId="77777777" w:rsidR="00CF6043" w:rsidRDefault="00CF6043" w:rsidP="009D74A3">
            <w:pPr>
              <w:pStyle w:val="PRRAFOSDH"/>
              <w:spacing w:line="240" w:lineRule="auto"/>
              <w:contextualSpacing/>
              <w:outlineLvl w:val="2"/>
              <w:rPr>
                <w:rFonts w:ascii="Times New Roman" w:hAnsi="Times New Roman" w:cs="Times New Roman"/>
                <w:sz w:val="22"/>
                <w:szCs w:val="22"/>
                <w:lang w:val="es-CO"/>
              </w:rPr>
            </w:pPr>
          </w:p>
          <w:p w14:paraId="33DBD444" w14:textId="77777777" w:rsidR="00CF6043" w:rsidRDefault="00CF6043" w:rsidP="009D74A3">
            <w:pPr>
              <w:pStyle w:val="PRRAFOSDH"/>
              <w:spacing w:line="240" w:lineRule="auto"/>
              <w:contextualSpacing/>
              <w:outlineLvl w:val="2"/>
              <w:rPr>
                <w:rFonts w:ascii="Times New Roman" w:hAnsi="Times New Roman" w:cs="Times New Roman"/>
                <w:sz w:val="22"/>
                <w:szCs w:val="22"/>
                <w:lang w:val="es-CO"/>
              </w:rPr>
            </w:pPr>
          </w:p>
          <w:p w14:paraId="084FCF6C" w14:textId="77777777" w:rsidR="00CF6043" w:rsidRDefault="00CF6043" w:rsidP="009D74A3">
            <w:pPr>
              <w:pStyle w:val="PRRAFOSDH"/>
              <w:spacing w:line="240" w:lineRule="auto"/>
              <w:contextualSpacing/>
              <w:outlineLvl w:val="2"/>
              <w:rPr>
                <w:rFonts w:ascii="Times New Roman" w:hAnsi="Times New Roman" w:cs="Times New Roman"/>
                <w:sz w:val="22"/>
                <w:szCs w:val="22"/>
                <w:lang w:val="es-CO"/>
              </w:rPr>
            </w:pPr>
          </w:p>
          <w:p w14:paraId="26EDE2EB" w14:textId="77777777" w:rsidR="00CF6043" w:rsidRDefault="00CF6043" w:rsidP="009D74A3">
            <w:pPr>
              <w:pStyle w:val="PRRAFOSDH"/>
              <w:spacing w:line="240" w:lineRule="auto"/>
              <w:contextualSpacing/>
              <w:outlineLvl w:val="2"/>
              <w:rPr>
                <w:rFonts w:ascii="Times New Roman" w:hAnsi="Times New Roman" w:cs="Times New Roman"/>
                <w:sz w:val="22"/>
                <w:szCs w:val="22"/>
                <w:lang w:val="es-CO"/>
              </w:rPr>
            </w:pPr>
          </w:p>
          <w:p w14:paraId="020AA50E" w14:textId="77777777" w:rsidR="00CF6043" w:rsidRDefault="00CF6043" w:rsidP="009D74A3">
            <w:pPr>
              <w:pStyle w:val="PRRAFOSDH"/>
              <w:spacing w:line="240" w:lineRule="auto"/>
              <w:contextualSpacing/>
              <w:outlineLvl w:val="2"/>
              <w:rPr>
                <w:rFonts w:ascii="Times New Roman" w:hAnsi="Times New Roman" w:cs="Times New Roman"/>
                <w:sz w:val="22"/>
                <w:szCs w:val="22"/>
                <w:lang w:val="es-CO"/>
              </w:rPr>
            </w:pPr>
          </w:p>
          <w:p w14:paraId="7A4931C3" w14:textId="77777777" w:rsidR="00CF6043" w:rsidRDefault="00CF6043" w:rsidP="009D74A3">
            <w:pPr>
              <w:pStyle w:val="PRRAFOSDH"/>
              <w:spacing w:line="240" w:lineRule="auto"/>
              <w:contextualSpacing/>
              <w:outlineLvl w:val="2"/>
              <w:rPr>
                <w:rFonts w:ascii="Times New Roman" w:hAnsi="Times New Roman" w:cs="Times New Roman"/>
                <w:sz w:val="22"/>
                <w:szCs w:val="22"/>
                <w:lang w:val="es-CO"/>
              </w:rPr>
            </w:pPr>
          </w:p>
          <w:p w14:paraId="3346295B" w14:textId="77777777" w:rsidR="00CF6043" w:rsidRDefault="00CF6043" w:rsidP="009D74A3">
            <w:pPr>
              <w:pStyle w:val="PRRAFOSDH"/>
              <w:spacing w:line="240" w:lineRule="auto"/>
              <w:contextualSpacing/>
              <w:outlineLvl w:val="2"/>
              <w:rPr>
                <w:rFonts w:ascii="Times New Roman" w:hAnsi="Times New Roman" w:cs="Times New Roman"/>
                <w:sz w:val="22"/>
                <w:szCs w:val="22"/>
                <w:lang w:val="es-CO"/>
              </w:rPr>
            </w:pPr>
          </w:p>
          <w:p w14:paraId="7FFDD8A5" w14:textId="77777777" w:rsidR="00CF6043" w:rsidRDefault="00CF6043" w:rsidP="009D74A3">
            <w:pPr>
              <w:pStyle w:val="PRRAFOSDH"/>
              <w:spacing w:line="240" w:lineRule="auto"/>
              <w:contextualSpacing/>
              <w:outlineLvl w:val="2"/>
              <w:rPr>
                <w:rFonts w:ascii="Times New Roman" w:hAnsi="Times New Roman" w:cs="Times New Roman"/>
                <w:sz w:val="22"/>
                <w:szCs w:val="22"/>
                <w:lang w:val="es-CO"/>
              </w:rPr>
            </w:pPr>
          </w:p>
          <w:p w14:paraId="1EDF2621" w14:textId="77777777" w:rsidR="00CF6043" w:rsidRPr="009D74A3" w:rsidRDefault="00CF6043" w:rsidP="009D74A3">
            <w:pPr>
              <w:pStyle w:val="PRRAFOSDH"/>
              <w:spacing w:line="240" w:lineRule="auto"/>
              <w:contextualSpacing/>
              <w:outlineLvl w:val="2"/>
              <w:rPr>
                <w:rFonts w:ascii="Times New Roman" w:hAnsi="Times New Roman" w:cs="Times New Roman"/>
                <w:sz w:val="22"/>
                <w:szCs w:val="22"/>
                <w:lang w:val="es-CO"/>
              </w:rPr>
            </w:pPr>
          </w:p>
          <w:p w14:paraId="3F635771" w14:textId="77777777" w:rsidR="00CC715B" w:rsidRPr="009D74A3" w:rsidRDefault="00CC715B" w:rsidP="009D74A3">
            <w:pPr>
              <w:contextualSpacing/>
              <w:jc w:val="center"/>
              <w:outlineLvl w:val="2"/>
              <w:rPr>
                <w:rFonts w:ascii="Times New Roman" w:hAnsi="Times New Roman" w:cs="Times New Roman"/>
                <w:b/>
              </w:rPr>
            </w:pPr>
            <w:r w:rsidRPr="009D74A3">
              <w:rPr>
                <w:rFonts w:ascii="Times New Roman" w:hAnsi="Times New Roman" w:cs="Times New Roman"/>
                <w:b/>
              </w:rPr>
              <w:t>Gráfico 15.</w:t>
            </w:r>
            <w:r w:rsidRPr="009D74A3">
              <w:rPr>
                <w:rFonts w:ascii="Times New Roman" w:hAnsi="Times New Roman" w:cs="Times New Roman"/>
                <w:b/>
              </w:rPr>
              <w:br/>
              <w:t xml:space="preserve">Inflación anual - </w:t>
            </w:r>
            <w:r w:rsidRPr="009D74A3">
              <w:rPr>
                <w:rFonts w:ascii="Times New Roman" w:hAnsi="Times New Roman" w:cs="Times New Roman"/>
                <w:b/>
                <w:bCs/>
              </w:rPr>
              <w:t>Servicios públicos y combustible - Bogotá</w:t>
            </w:r>
            <w:r w:rsidRPr="009D74A3">
              <w:rPr>
                <w:rFonts w:ascii="Times New Roman" w:hAnsi="Times New Roman" w:cs="Times New Roman"/>
                <w:b/>
              </w:rPr>
              <w:t xml:space="preserve"> </w:t>
            </w:r>
          </w:p>
          <w:p w14:paraId="611E6610" w14:textId="77777777" w:rsidR="00CC715B" w:rsidRPr="009D74A3" w:rsidRDefault="00CC715B" w:rsidP="009D74A3">
            <w:pPr>
              <w:contextualSpacing/>
              <w:jc w:val="center"/>
              <w:outlineLvl w:val="2"/>
              <w:rPr>
                <w:rFonts w:ascii="Times New Roman" w:hAnsi="Times New Roman" w:cs="Times New Roman"/>
                <w:bCs/>
                <w:i/>
                <w:iCs/>
              </w:rPr>
            </w:pPr>
            <w:r w:rsidRPr="009D74A3">
              <w:rPr>
                <w:rFonts w:ascii="Times New Roman" w:hAnsi="Times New Roman" w:cs="Times New Roman"/>
                <w:bCs/>
                <w:i/>
                <w:iCs/>
              </w:rPr>
              <w:t>Porcentaje (%)</w:t>
            </w:r>
          </w:p>
          <w:p w14:paraId="663E4FBF" w14:textId="77777777" w:rsidR="00CC715B" w:rsidRPr="009D74A3" w:rsidRDefault="00CC715B" w:rsidP="009D74A3">
            <w:pPr>
              <w:contextualSpacing/>
              <w:jc w:val="center"/>
              <w:outlineLvl w:val="2"/>
              <w:rPr>
                <w:rFonts w:ascii="Times New Roman" w:hAnsi="Times New Roman" w:cs="Times New Roman"/>
                <w:bCs/>
                <w:i/>
                <w:iCs/>
              </w:rPr>
            </w:pPr>
            <w:r w:rsidRPr="009D74A3">
              <w:rPr>
                <w:rFonts w:ascii="Times New Roman" w:hAnsi="Times New Roman" w:cs="Times New Roman"/>
                <w:bCs/>
                <w:i/>
                <w:iCs/>
                <w:noProof/>
                <w:lang w:eastAsia="es-CO"/>
              </w:rPr>
              <w:drawing>
                <wp:inline distT="0" distB="0" distL="0" distR="0" wp14:anchorId="29635EB1" wp14:editId="6FADBD26">
                  <wp:extent cx="5578475" cy="2075291"/>
                  <wp:effectExtent l="0" t="0" r="3175" b="1270"/>
                  <wp:docPr id="1921494200"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589704" cy="2079468"/>
                          </a:xfrm>
                          <a:prstGeom prst="rect">
                            <a:avLst/>
                          </a:prstGeom>
                          <a:noFill/>
                        </pic:spPr>
                      </pic:pic>
                    </a:graphicData>
                  </a:graphic>
                </wp:inline>
              </w:drawing>
            </w:r>
          </w:p>
          <w:p w14:paraId="7F864DB7" w14:textId="3A2265D0" w:rsidR="00CC715B" w:rsidRPr="009D74A3" w:rsidRDefault="00CC715B" w:rsidP="009D74A3">
            <w:pPr>
              <w:ind w:firstLine="776"/>
              <w:contextualSpacing/>
              <w:outlineLvl w:val="2"/>
              <w:rPr>
                <w:rFonts w:ascii="Times New Roman" w:hAnsi="Times New Roman" w:cs="Times New Roman"/>
                <w:sz w:val="20"/>
                <w:szCs w:val="20"/>
              </w:rPr>
            </w:pPr>
            <w:r w:rsidRPr="009D74A3">
              <w:rPr>
                <w:rFonts w:ascii="Times New Roman" w:hAnsi="Times New Roman" w:cs="Times New Roman"/>
                <w:b/>
                <w:sz w:val="20"/>
                <w:szCs w:val="20"/>
              </w:rPr>
              <w:t>Fuente:</w:t>
            </w:r>
            <w:r w:rsidRPr="009D74A3">
              <w:rPr>
                <w:rFonts w:ascii="Times New Roman" w:hAnsi="Times New Roman" w:cs="Times New Roman"/>
                <w:sz w:val="20"/>
                <w:szCs w:val="20"/>
              </w:rPr>
              <w:t xml:space="preserve"> DANE, Índice de Precios al Consumidor (IPC)</w:t>
            </w:r>
          </w:p>
          <w:p w14:paraId="54A8A9F6" w14:textId="77777777" w:rsidR="009D74A3" w:rsidRPr="009D74A3" w:rsidRDefault="009D74A3" w:rsidP="009D74A3">
            <w:pPr>
              <w:ind w:firstLine="776"/>
              <w:contextualSpacing/>
              <w:outlineLvl w:val="2"/>
              <w:rPr>
                <w:rFonts w:ascii="Times New Roman" w:hAnsi="Times New Roman" w:cs="Times New Roman"/>
                <w:sz w:val="20"/>
                <w:szCs w:val="20"/>
              </w:rPr>
            </w:pPr>
          </w:p>
          <w:p w14:paraId="330CFD9E" w14:textId="77777777" w:rsidR="00CC715B" w:rsidRPr="009D74A3" w:rsidRDefault="00CC715B">
            <w:pPr>
              <w:pStyle w:val="Ttulo2"/>
              <w:numPr>
                <w:ilvl w:val="1"/>
                <w:numId w:val="6"/>
              </w:numPr>
              <w:spacing w:before="0"/>
              <w:ind w:left="1440"/>
              <w:contextualSpacing/>
              <w:outlineLvl w:val="1"/>
              <w:rPr>
                <w:rFonts w:ascii="Times New Roman" w:hAnsi="Times New Roman" w:cs="Times New Roman"/>
                <w:b/>
                <w:sz w:val="24"/>
                <w:szCs w:val="24"/>
              </w:rPr>
            </w:pPr>
            <w:r w:rsidRPr="009D74A3">
              <w:rPr>
                <w:rFonts w:ascii="Times New Roman" w:hAnsi="Times New Roman" w:cs="Times New Roman"/>
                <w:b/>
                <w:sz w:val="24"/>
                <w:szCs w:val="24"/>
              </w:rPr>
              <w:t xml:space="preserve">Principales resultados socioeconómicos </w:t>
            </w:r>
          </w:p>
          <w:p w14:paraId="139DF6E5" w14:textId="77777777" w:rsidR="00C52FE5" w:rsidRDefault="00C52FE5" w:rsidP="009D74A3">
            <w:pPr>
              <w:contextualSpacing/>
              <w:jc w:val="both"/>
              <w:outlineLvl w:val="2"/>
              <w:rPr>
                <w:rFonts w:ascii="Times New Roman" w:hAnsi="Times New Roman" w:cs="Times New Roman"/>
                <w:sz w:val="24"/>
                <w:szCs w:val="24"/>
              </w:rPr>
            </w:pPr>
          </w:p>
          <w:p w14:paraId="0800AE92" w14:textId="0AB9B49C" w:rsidR="00C52FE5" w:rsidRPr="009D74A3" w:rsidRDefault="00C52FE5" w:rsidP="009D74A3">
            <w:pPr>
              <w:contextualSpacing/>
              <w:jc w:val="both"/>
              <w:outlineLvl w:val="2"/>
              <w:rPr>
                <w:rFonts w:ascii="Times New Roman" w:hAnsi="Times New Roman" w:cs="Times New Roman"/>
                <w:sz w:val="24"/>
                <w:szCs w:val="24"/>
              </w:rPr>
            </w:pPr>
            <w:r w:rsidRPr="00172919">
              <w:rPr>
                <w:rFonts w:ascii="Times New Roman" w:hAnsi="Times New Roman" w:cs="Times New Roman"/>
                <w:sz w:val="24"/>
                <w:szCs w:val="24"/>
              </w:rPr>
              <w:t xml:space="preserve">Además de los resultados favorables del mercado laboral </w:t>
            </w:r>
            <w:r w:rsidR="003A2DB4">
              <w:rPr>
                <w:rFonts w:ascii="Times New Roman" w:hAnsi="Times New Roman" w:cs="Times New Roman"/>
                <w:sz w:val="24"/>
                <w:szCs w:val="24"/>
              </w:rPr>
              <w:t>mencionados anteriormente</w:t>
            </w:r>
            <w:r w:rsidRPr="00172919">
              <w:rPr>
                <w:rFonts w:ascii="Times New Roman" w:hAnsi="Times New Roman" w:cs="Times New Roman"/>
                <w:sz w:val="24"/>
                <w:szCs w:val="24"/>
              </w:rPr>
              <w:t xml:space="preserve">, </w:t>
            </w:r>
            <w:r w:rsidR="009B43B0">
              <w:rPr>
                <w:rFonts w:ascii="Times New Roman" w:hAnsi="Times New Roman" w:cs="Times New Roman"/>
                <w:sz w:val="24"/>
                <w:szCs w:val="24"/>
              </w:rPr>
              <w:t xml:space="preserve">se destacan </w:t>
            </w:r>
            <w:r w:rsidRPr="00172919">
              <w:rPr>
                <w:rFonts w:ascii="Times New Roman" w:hAnsi="Times New Roman" w:cs="Times New Roman"/>
                <w:sz w:val="24"/>
                <w:szCs w:val="24"/>
              </w:rPr>
              <w:t xml:space="preserve">mejoras en otros indicadores socioeconómicos de Bogotá durante </w:t>
            </w:r>
            <w:r w:rsidR="003A2DB4">
              <w:rPr>
                <w:rFonts w:ascii="Times New Roman" w:hAnsi="Times New Roman" w:cs="Times New Roman"/>
                <w:sz w:val="24"/>
                <w:szCs w:val="24"/>
              </w:rPr>
              <w:t>los últimos años</w:t>
            </w:r>
            <w:r w:rsidRPr="00172919">
              <w:rPr>
                <w:rFonts w:ascii="Times New Roman" w:hAnsi="Times New Roman" w:cs="Times New Roman"/>
                <w:sz w:val="24"/>
                <w:szCs w:val="24"/>
              </w:rPr>
              <w:t>.</w:t>
            </w:r>
          </w:p>
          <w:p w14:paraId="2C54A215" w14:textId="77777777" w:rsidR="00CC715B" w:rsidRPr="009D74A3" w:rsidRDefault="00CC715B" w:rsidP="009D74A3">
            <w:pPr>
              <w:contextualSpacing/>
              <w:jc w:val="both"/>
              <w:outlineLvl w:val="2"/>
              <w:rPr>
                <w:rFonts w:ascii="Times New Roman" w:hAnsi="Times New Roman" w:cs="Times New Roman"/>
                <w:sz w:val="24"/>
                <w:szCs w:val="24"/>
              </w:rPr>
            </w:pPr>
          </w:p>
          <w:p w14:paraId="45DAD652" w14:textId="4EABED9C" w:rsidR="00CC715B" w:rsidRPr="009D74A3" w:rsidRDefault="00CC715B" w:rsidP="009D74A3">
            <w:pPr>
              <w:contextualSpacing/>
              <w:jc w:val="both"/>
              <w:outlineLvl w:val="2"/>
              <w:rPr>
                <w:rFonts w:ascii="Times New Roman" w:hAnsi="Times New Roman" w:cs="Times New Roman"/>
                <w:sz w:val="24"/>
                <w:szCs w:val="24"/>
              </w:rPr>
            </w:pPr>
            <w:r w:rsidRPr="009D74A3">
              <w:rPr>
                <w:rFonts w:ascii="Times New Roman" w:hAnsi="Times New Roman" w:cs="Times New Roman"/>
                <w:sz w:val="24"/>
                <w:szCs w:val="24"/>
              </w:rPr>
              <w:t xml:space="preserve">En particular, la Incidencia de Pobreza Monetaria (IPM) de Bogotá se ubicó en </w:t>
            </w:r>
            <w:r w:rsidR="00F7662D">
              <w:rPr>
                <w:rFonts w:ascii="Times New Roman" w:hAnsi="Times New Roman" w:cs="Times New Roman"/>
                <w:sz w:val="24"/>
                <w:szCs w:val="24"/>
              </w:rPr>
              <w:t>19</w:t>
            </w:r>
            <w:r w:rsidRPr="009D74A3">
              <w:rPr>
                <w:rFonts w:ascii="Times New Roman" w:hAnsi="Times New Roman" w:cs="Times New Roman"/>
                <w:sz w:val="24"/>
                <w:szCs w:val="24"/>
              </w:rPr>
              <w:t>,</w:t>
            </w:r>
            <w:r w:rsidR="00F7662D">
              <w:rPr>
                <w:rFonts w:ascii="Times New Roman" w:hAnsi="Times New Roman" w:cs="Times New Roman"/>
                <w:sz w:val="24"/>
                <w:szCs w:val="24"/>
              </w:rPr>
              <w:t>6</w:t>
            </w:r>
            <w:r w:rsidRPr="009D74A3">
              <w:rPr>
                <w:rFonts w:ascii="Times New Roman" w:hAnsi="Times New Roman" w:cs="Times New Roman"/>
                <w:sz w:val="24"/>
                <w:szCs w:val="24"/>
              </w:rPr>
              <w:t xml:space="preserve">% en </w:t>
            </w:r>
            <w:r w:rsidR="00F7662D" w:rsidRPr="009D74A3">
              <w:rPr>
                <w:rFonts w:ascii="Times New Roman" w:hAnsi="Times New Roman" w:cs="Times New Roman"/>
                <w:sz w:val="24"/>
                <w:szCs w:val="24"/>
              </w:rPr>
              <w:t>202</w:t>
            </w:r>
            <w:r w:rsidR="00F7662D">
              <w:rPr>
                <w:rFonts w:ascii="Times New Roman" w:hAnsi="Times New Roman" w:cs="Times New Roman"/>
                <w:sz w:val="24"/>
                <w:szCs w:val="24"/>
              </w:rPr>
              <w:t>4</w:t>
            </w:r>
            <w:r w:rsidRPr="009D74A3">
              <w:rPr>
                <w:rFonts w:ascii="Times New Roman" w:hAnsi="Times New Roman" w:cs="Times New Roman"/>
                <w:sz w:val="24"/>
                <w:szCs w:val="24"/>
              </w:rPr>
              <w:t>, menor en 4,</w:t>
            </w:r>
            <w:r w:rsidR="00073789">
              <w:rPr>
                <w:rFonts w:ascii="Times New Roman" w:hAnsi="Times New Roman" w:cs="Times New Roman"/>
                <w:sz w:val="24"/>
                <w:szCs w:val="24"/>
              </w:rPr>
              <w:t>5</w:t>
            </w:r>
            <w:r w:rsidR="00073789" w:rsidRPr="009D74A3">
              <w:rPr>
                <w:rFonts w:ascii="Times New Roman" w:hAnsi="Times New Roman" w:cs="Times New Roman"/>
                <w:sz w:val="24"/>
                <w:szCs w:val="24"/>
              </w:rPr>
              <w:t xml:space="preserve"> </w:t>
            </w:r>
            <w:r w:rsidRPr="009D74A3">
              <w:rPr>
                <w:rFonts w:ascii="Times New Roman" w:hAnsi="Times New Roman" w:cs="Times New Roman"/>
                <w:sz w:val="24"/>
                <w:szCs w:val="24"/>
              </w:rPr>
              <w:t xml:space="preserve">p.p. a la registrada en </w:t>
            </w:r>
            <w:r w:rsidR="00073789" w:rsidRPr="009D74A3">
              <w:rPr>
                <w:rFonts w:ascii="Times New Roman" w:hAnsi="Times New Roman" w:cs="Times New Roman"/>
                <w:sz w:val="24"/>
                <w:szCs w:val="24"/>
              </w:rPr>
              <w:t>202</w:t>
            </w:r>
            <w:r w:rsidR="00073789">
              <w:rPr>
                <w:rFonts w:ascii="Times New Roman" w:hAnsi="Times New Roman" w:cs="Times New Roman"/>
                <w:sz w:val="24"/>
                <w:szCs w:val="24"/>
              </w:rPr>
              <w:t>3</w:t>
            </w:r>
            <w:r w:rsidR="00073789" w:rsidRPr="009D74A3">
              <w:rPr>
                <w:rFonts w:ascii="Times New Roman" w:hAnsi="Times New Roman" w:cs="Times New Roman"/>
                <w:sz w:val="24"/>
                <w:szCs w:val="24"/>
              </w:rPr>
              <w:t xml:space="preserve"> </w:t>
            </w:r>
            <w:r w:rsidRPr="009D74A3">
              <w:rPr>
                <w:rFonts w:ascii="Times New Roman" w:hAnsi="Times New Roman" w:cs="Times New Roman"/>
                <w:sz w:val="24"/>
                <w:szCs w:val="24"/>
              </w:rPr>
              <w:t>(</w:t>
            </w:r>
            <w:r w:rsidR="00073789" w:rsidRPr="009D74A3">
              <w:rPr>
                <w:rFonts w:ascii="Times New Roman" w:hAnsi="Times New Roman" w:cs="Times New Roman"/>
                <w:sz w:val="24"/>
                <w:szCs w:val="24"/>
              </w:rPr>
              <w:t>2</w:t>
            </w:r>
            <w:r w:rsidR="00073789">
              <w:rPr>
                <w:rFonts w:ascii="Times New Roman" w:hAnsi="Times New Roman" w:cs="Times New Roman"/>
                <w:sz w:val="24"/>
                <w:szCs w:val="24"/>
              </w:rPr>
              <w:t>4</w:t>
            </w:r>
            <w:r w:rsidRPr="009D74A3">
              <w:rPr>
                <w:rFonts w:ascii="Times New Roman" w:hAnsi="Times New Roman" w:cs="Times New Roman"/>
                <w:sz w:val="24"/>
                <w:szCs w:val="24"/>
              </w:rPr>
              <w:t>,1%) y a lo observado en el total nacional (</w:t>
            </w:r>
            <w:r w:rsidR="00B86D3F" w:rsidRPr="009D74A3">
              <w:rPr>
                <w:rFonts w:ascii="Times New Roman" w:hAnsi="Times New Roman" w:cs="Times New Roman"/>
                <w:sz w:val="24"/>
                <w:szCs w:val="24"/>
              </w:rPr>
              <w:t>3</w:t>
            </w:r>
            <w:r w:rsidR="00B86D3F">
              <w:rPr>
                <w:rFonts w:ascii="Times New Roman" w:hAnsi="Times New Roman" w:cs="Times New Roman"/>
                <w:sz w:val="24"/>
                <w:szCs w:val="24"/>
              </w:rPr>
              <w:t>1</w:t>
            </w:r>
            <w:r w:rsidRPr="009D74A3">
              <w:rPr>
                <w:rFonts w:ascii="Times New Roman" w:hAnsi="Times New Roman" w:cs="Times New Roman"/>
                <w:sz w:val="24"/>
                <w:szCs w:val="24"/>
              </w:rPr>
              <w:t>,</w:t>
            </w:r>
            <w:r w:rsidR="00B86D3F">
              <w:rPr>
                <w:rFonts w:ascii="Times New Roman" w:hAnsi="Times New Roman" w:cs="Times New Roman"/>
                <w:sz w:val="24"/>
                <w:szCs w:val="24"/>
              </w:rPr>
              <w:t>8</w:t>
            </w:r>
            <w:r w:rsidRPr="009D74A3">
              <w:rPr>
                <w:rFonts w:ascii="Times New Roman" w:hAnsi="Times New Roman" w:cs="Times New Roman"/>
                <w:sz w:val="24"/>
                <w:szCs w:val="24"/>
              </w:rPr>
              <w:t xml:space="preserve">%). </w:t>
            </w:r>
            <w:r w:rsidR="00B86D3F">
              <w:rPr>
                <w:rFonts w:ascii="Times New Roman" w:hAnsi="Times New Roman" w:cs="Times New Roman"/>
                <w:sz w:val="24"/>
                <w:szCs w:val="24"/>
              </w:rPr>
              <w:t>Además</w:t>
            </w:r>
            <w:r w:rsidRPr="009D74A3">
              <w:rPr>
                <w:rFonts w:ascii="Times New Roman" w:hAnsi="Times New Roman" w:cs="Times New Roman"/>
                <w:sz w:val="24"/>
                <w:szCs w:val="24"/>
              </w:rPr>
              <w:t xml:space="preserve">, la </w:t>
            </w:r>
            <w:r w:rsidR="00AF155B">
              <w:rPr>
                <w:rFonts w:ascii="Times New Roman" w:hAnsi="Times New Roman" w:cs="Times New Roman"/>
                <w:sz w:val="24"/>
                <w:szCs w:val="24"/>
              </w:rPr>
              <w:t>pobreza monetaria</w:t>
            </w:r>
            <w:r w:rsidRPr="009D74A3">
              <w:rPr>
                <w:rFonts w:ascii="Times New Roman" w:hAnsi="Times New Roman" w:cs="Times New Roman"/>
                <w:sz w:val="24"/>
                <w:szCs w:val="24"/>
              </w:rPr>
              <w:t xml:space="preserve"> para la ciudad en 202</w:t>
            </w:r>
            <w:r w:rsidR="00B86D3F">
              <w:rPr>
                <w:rFonts w:ascii="Times New Roman" w:hAnsi="Times New Roman" w:cs="Times New Roman"/>
                <w:sz w:val="24"/>
                <w:szCs w:val="24"/>
              </w:rPr>
              <w:t>4</w:t>
            </w:r>
            <w:r w:rsidRPr="009D74A3">
              <w:rPr>
                <w:rFonts w:ascii="Times New Roman" w:hAnsi="Times New Roman" w:cs="Times New Roman"/>
                <w:sz w:val="24"/>
                <w:szCs w:val="24"/>
              </w:rPr>
              <w:t xml:space="preserve"> alcanz</w:t>
            </w:r>
            <w:r w:rsidR="00B86D3F">
              <w:rPr>
                <w:rFonts w:ascii="Times New Roman" w:hAnsi="Times New Roman" w:cs="Times New Roman"/>
                <w:sz w:val="24"/>
                <w:szCs w:val="24"/>
              </w:rPr>
              <w:t>ó</w:t>
            </w:r>
            <w:r w:rsidRPr="009D74A3">
              <w:rPr>
                <w:rFonts w:ascii="Times New Roman" w:hAnsi="Times New Roman" w:cs="Times New Roman"/>
                <w:sz w:val="24"/>
                <w:szCs w:val="24"/>
              </w:rPr>
              <w:t xml:space="preserve"> los niveles presentados antes de la pandemia</w:t>
            </w:r>
            <w:r w:rsidR="00B86D3F">
              <w:rPr>
                <w:rFonts w:ascii="Times New Roman" w:hAnsi="Times New Roman" w:cs="Times New Roman"/>
                <w:sz w:val="24"/>
                <w:szCs w:val="24"/>
              </w:rPr>
              <w:t xml:space="preserve"> (21,4%)</w:t>
            </w:r>
            <w:r w:rsidRPr="009D74A3">
              <w:rPr>
                <w:rFonts w:ascii="Times New Roman" w:hAnsi="Times New Roman" w:cs="Times New Roman"/>
                <w:sz w:val="24"/>
                <w:szCs w:val="24"/>
              </w:rPr>
              <w:t xml:space="preserve">. </w:t>
            </w:r>
            <w:r w:rsidR="005C5CC2">
              <w:rPr>
                <w:rFonts w:ascii="Times New Roman" w:hAnsi="Times New Roman" w:cs="Times New Roman"/>
                <w:sz w:val="24"/>
                <w:szCs w:val="24"/>
              </w:rPr>
              <w:t>Por su parte</w:t>
            </w:r>
            <w:r w:rsidR="001E62AF">
              <w:rPr>
                <w:rFonts w:ascii="Times New Roman" w:hAnsi="Times New Roman" w:cs="Times New Roman"/>
                <w:sz w:val="24"/>
                <w:szCs w:val="24"/>
              </w:rPr>
              <w:t>,</w:t>
            </w:r>
            <w:r w:rsidRPr="009D74A3">
              <w:rPr>
                <w:rFonts w:ascii="Times New Roman" w:hAnsi="Times New Roman" w:cs="Times New Roman"/>
                <w:sz w:val="24"/>
                <w:szCs w:val="24"/>
              </w:rPr>
              <w:t xml:space="preserve"> el indicador de Pobreza Monetaria Extrema,</w:t>
            </w:r>
            <w:r w:rsidR="008E6FB2">
              <w:rPr>
                <w:rFonts w:ascii="Times New Roman" w:hAnsi="Times New Roman" w:cs="Times New Roman"/>
                <w:sz w:val="24"/>
                <w:szCs w:val="24"/>
              </w:rPr>
              <w:t xml:space="preserve"> </w:t>
            </w:r>
            <w:r w:rsidR="001E62AF">
              <w:rPr>
                <w:rFonts w:ascii="Times New Roman" w:hAnsi="Times New Roman" w:cs="Times New Roman"/>
                <w:sz w:val="24"/>
                <w:szCs w:val="24"/>
              </w:rPr>
              <w:t>también conto</w:t>
            </w:r>
            <w:r w:rsidR="001E62AF" w:rsidRPr="009D74A3">
              <w:rPr>
                <w:rFonts w:ascii="Times New Roman" w:hAnsi="Times New Roman" w:cs="Times New Roman"/>
                <w:sz w:val="24"/>
                <w:szCs w:val="24"/>
              </w:rPr>
              <w:t xml:space="preserve"> </w:t>
            </w:r>
            <w:r w:rsidR="001E62AF">
              <w:rPr>
                <w:rFonts w:ascii="Times New Roman" w:hAnsi="Times New Roman" w:cs="Times New Roman"/>
                <w:sz w:val="24"/>
                <w:szCs w:val="24"/>
              </w:rPr>
              <w:t xml:space="preserve">con </w:t>
            </w:r>
            <w:r w:rsidRPr="009D74A3">
              <w:rPr>
                <w:rFonts w:ascii="Times New Roman" w:hAnsi="Times New Roman" w:cs="Times New Roman"/>
                <w:sz w:val="24"/>
                <w:szCs w:val="24"/>
              </w:rPr>
              <w:t xml:space="preserve">una recuperación en el periodo postpandemia, </w:t>
            </w:r>
            <w:r w:rsidR="001E62AF">
              <w:rPr>
                <w:rFonts w:ascii="Times New Roman" w:hAnsi="Times New Roman" w:cs="Times New Roman"/>
                <w:sz w:val="24"/>
                <w:szCs w:val="24"/>
              </w:rPr>
              <w:t>aunque no</w:t>
            </w:r>
            <w:r w:rsidR="001E62AF" w:rsidRPr="009D74A3">
              <w:rPr>
                <w:rFonts w:ascii="Times New Roman" w:hAnsi="Times New Roman" w:cs="Times New Roman"/>
                <w:sz w:val="24"/>
                <w:szCs w:val="24"/>
              </w:rPr>
              <w:t xml:space="preserve"> alcanz</w:t>
            </w:r>
            <w:r w:rsidR="001E62AF">
              <w:rPr>
                <w:rFonts w:ascii="Times New Roman" w:hAnsi="Times New Roman" w:cs="Times New Roman"/>
                <w:sz w:val="24"/>
                <w:szCs w:val="24"/>
              </w:rPr>
              <w:t>ó</w:t>
            </w:r>
            <w:r w:rsidR="001E62AF" w:rsidRPr="009D74A3">
              <w:rPr>
                <w:rFonts w:ascii="Times New Roman" w:hAnsi="Times New Roman" w:cs="Times New Roman"/>
                <w:sz w:val="24"/>
                <w:szCs w:val="24"/>
              </w:rPr>
              <w:t xml:space="preserve"> </w:t>
            </w:r>
            <w:r w:rsidRPr="009D74A3">
              <w:rPr>
                <w:rFonts w:ascii="Times New Roman" w:hAnsi="Times New Roman" w:cs="Times New Roman"/>
                <w:sz w:val="24"/>
                <w:szCs w:val="24"/>
              </w:rPr>
              <w:t>los niveles presentados en 2019. Por su parte, el PIB per cápita</w:t>
            </w:r>
            <w:r w:rsidRPr="008E6FB2">
              <w:rPr>
                <w:rFonts w:ascii="Times New Roman" w:hAnsi="Times New Roman" w:cs="Times New Roman"/>
                <w:sz w:val="24"/>
                <w:szCs w:val="24"/>
                <w:vertAlign w:val="superscript"/>
              </w:rPr>
              <w:footnoteReference w:id="11"/>
            </w:r>
            <w:r w:rsidRPr="008E6FB2">
              <w:rPr>
                <w:rFonts w:ascii="Times New Roman" w:hAnsi="Times New Roman" w:cs="Times New Roman"/>
                <w:sz w:val="24"/>
                <w:szCs w:val="24"/>
                <w:vertAlign w:val="superscript"/>
              </w:rPr>
              <w:t xml:space="preserve"> </w:t>
            </w:r>
            <w:r w:rsidRPr="009D74A3">
              <w:rPr>
                <w:rFonts w:ascii="Times New Roman" w:hAnsi="Times New Roman" w:cs="Times New Roman"/>
                <w:sz w:val="24"/>
                <w:szCs w:val="24"/>
              </w:rPr>
              <w:t xml:space="preserve">de Bogotá en 2024 se ubicó en $54 millones, siendo el más alto del país por tercer año consecutivo, mayor en $4,2 </w:t>
            </w:r>
            <w:r w:rsidR="008E6FB2">
              <w:rPr>
                <w:rFonts w:ascii="Times New Roman" w:hAnsi="Times New Roman" w:cs="Times New Roman"/>
                <w:sz w:val="24"/>
                <w:szCs w:val="24"/>
              </w:rPr>
              <w:t xml:space="preserve">millones </w:t>
            </w:r>
            <w:r w:rsidRPr="009D74A3">
              <w:rPr>
                <w:rFonts w:ascii="Times New Roman" w:hAnsi="Times New Roman" w:cs="Times New Roman"/>
                <w:sz w:val="24"/>
                <w:szCs w:val="24"/>
              </w:rPr>
              <w:t>a lo observado en 2023 ($50 millones). Lo que evidencia que en 2024, el ingreso promedio de los bogotanos presentó una dinámica favorable, ayudando a disminuir la pobreza en la ciudad.</w:t>
            </w:r>
          </w:p>
          <w:p w14:paraId="775CE7B2" w14:textId="77777777" w:rsidR="00CC715B" w:rsidRPr="009D74A3" w:rsidRDefault="00CC715B" w:rsidP="009D74A3">
            <w:pPr>
              <w:contextualSpacing/>
              <w:jc w:val="both"/>
              <w:outlineLvl w:val="2"/>
              <w:rPr>
                <w:rFonts w:ascii="Times New Roman" w:hAnsi="Times New Roman" w:cs="Times New Roman"/>
                <w:sz w:val="24"/>
                <w:szCs w:val="24"/>
              </w:rPr>
            </w:pPr>
          </w:p>
          <w:p w14:paraId="423184AF" w14:textId="1E4533E7" w:rsidR="00CC715B" w:rsidRPr="009D74A3" w:rsidRDefault="00612E25" w:rsidP="009D74A3">
            <w:pPr>
              <w:contextualSpacing/>
              <w:jc w:val="both"/>
              <w:outlineLvl w:val="2"/>
              <w:rPr>
                <w:rFonts w:ascii="Times New Roman" w:hAnsi="Times New Roman" w:cs="Times New Roman"/>
              </w:rPr>
            </w:pPr>
            <w:r>
              <w:rPr>
                <w:rFonts w:ascii="Times New Roman" w:hAnsi="Times New Roman" w:cs="Times New Roman"/>
                <w:sz w:val="24"/>
                <w:szCs w:val="24"/>
              </w:rPr>
              <w:t>E</w:t>
            </w:r>
            <w:r w:rsidR="00CC715B" w:rsidRPr="009D74A3">
              <w:rPr>
                <w:rFonts w:ascii="Times New Roman" w:hAnsi="Times New Roman" w:cs="Times New Roman"/>
                <w:sz w:val="24"/>
                <w:szCs w:val="24"/>
              </w:rPr>
              <w:t>l Indicador de Pobreza Multidimensional</w:t>
            </w:r>
            <w:r>
              <w:rPr>
                <w:rFonts w:ascii="Times New Roman" w:hAnsi="Times New Roman" w:cs="Times New Roman"/>
                <w:sz w:val="24"/>
                <w:szCs w:val="24"/>
              </w:rPr>
              <w:t xml:space="preserve"> también</w:t>
            </w:r>
            <w:r w:rsidR="00CC715B" w:rsidRPr="009D74A3">
              <w:rPr>
                <w:rFonts w:ascii="Times New Roman" w:hAnsi="Times New Roman" w:cs="Times New Roman"/>
                <w:sz w:val="24"/>
                <w:szCs w:val="24"/>
              </w:rPr>
              <w:t xml:space="preserve"> ha venido presentando una buena dinámica, </w:t>
            </w:r>
            <w:r w:rsidR="000D4398">
              <w:rPr>
                <w:rFonts w:ascii="Times New Roman" w:hAnsi="Times New Roman" w:cs="Times New Roman"/>
                <w:sz w:val="24"/>
                <w:szCs w:val="24"/>
              </w:rPr>
              <w:t xml:space="preserve">si bien </w:t>
            </w:r>
            <w:r w:rsidR="00CC715B" w:rsidRPr="009D74A3">
              <w:rPr>
                <w:rFonts w:ascii="Times New Roman" w:hAnsi="Times New Roman" w:cs="Times New Roman"/>
                <w:sz w:val="24"/>
                <w:szCs w:val="24"/>
              </w:rPr>
              <w:t>para 2024 se ubicó en 5,4%, superior a lo registrado el año anterior</w:t>
            </w:r>
            <w:r w:rsidR="00CC715B" w:rsidRPr="009D74A3">
              <w:rPr>
                <w:rStyle w:val="Refdenotaalpie"/>
                <w:rFonts w:ascii="Times New Roman" w:hAnsi="Times New Roman" w:cs="Times New Roman"/>
                <w:sz w:val="24"/>
                <w:szCs w:val="24"/>
              </w:rPr>
              <w:footnoteReference w:id="12"/>
            </w:r>
            <w:r w:rsidR="00CC715B" w:rsidRPr="009D74A3">
              <w:rPr>
                <w:rFonts w:ascii="Times New Roman" w:hAnsi="Times New Roman" w:cs="Times New Roman"/>
                <w:sz w:val="24"/>
                <w:szCs w:val="24"/>
              </w:rPr>
              <w:t xml:space="preserve"> (3,6%), </w:t>
            </w:r>
            <w:r w:rsidR="000D4398">
              <w:rPr>
                <w:rFonts w:ascii="Times New Roman" w:hAnsi="Times New Roman" w:cs="Times New Roman"/>
                <w:sz w:val="24"/>
                <w:szCs w:val="24"/>
              </w:rPr>
              <w:t xml:space="preserve">esta cifra es </w:t>
            </w:r>
            <w:r w:rsidR="00CC715B" w:rsidRPr="009D74A3">
              <w:rPr>
                <w:rFonts w:ascii="Times New Roman" w:hAnsi="Times New Roman" w:cs="Times New Roman"/>
                <w:sz w:val="24"/>
                <w:szCs w:val="24"/>
              </w:rPr>
              <w:t>inferior a lo registrado antes de la pandemia (7,1%) y el total nacional (11,5%)</w:t>
            </w:r>
            <w:r w:rsidR="000D4398">
              <w:rPr>
                <w:rFonts w:ascii="Times New Roman" w:hAnsi="Times New Roman" w:cs="Times New Roman"/>
                <w:sz w:val="24"/>
                <w:szCs w:val="24"/>
              </w:rPr>
              <w:t xml:space="preserve"> y </w:t>
            </w:r>
            <w:r w:rsidR="002E2487" w:rsidRPr="00740130">
              <w:rPr>
                <w:rFonts w:ascii="Times New Roman" w:hAnsi="Times New Roman" w:cs="Times New Roman"/>
                <w:sz w:val="24"/>
                <w:szCs w:val="24"/>
              </w:rPr>
              <w:t xml:space="preserve">esconde el hecho de que </w:t>
            </w:r>
            <w:r w:rsidR="007A2975" w:rsidRPr="00740130">
              <w:rPr>
                <w:rFonts w:ascii="Times New Roman" w:hAnsi="Times New Roman" w:cs="Times New Roman"/>
                <w:sz w:val="24"/>
                <w:szCs w:val="24"/>
              </w:rPr>
              <w:t>13</w:t>
            </w:r>
            <w:r w:rsidR="002E2487" w:rsidRPr="00740130">
              <w:rPr>
                <w:rFonts w:ascii="Times New Roman" w:hAnsi="Times New Roman" w:cs="Times New Roman"/>
                <w:sz w:val="24"/>
                <w:szCs w:val="24"/>
              </w:rPr>
              <w:t xml:space="preserve"> </w:t>
            </w:r>
            <w:r w:rsidR="00BB2770" w:rsidRPr="00740130">
              <w:rPr>
                <w:rFonts w:ascii="Times New Roman" w:hAnsi="Times New Roman" w:cs="Times New Roman"/>
                <w:sz w:val="24"/>
                <w:szCs w:val="24"/>
              </w:rPr>
              <w:t>de l</w:t>
            </w:r>
            <w:r w:rsidR="007A2975" w:rsidRPr="00740130">
              <w:rPr>
                <w:rFonts w:ascii="Times New Roman" w:hAnsi="Times New Roman" w:cs="Times New Roman"/>
                <w:sz w:val="24"/>
                <w:szCs w:val="24"/>
              </w:rPr>
              <w:t>a</w:t>
            </w:r>
            <w:r w:rsidR="00BB2770" w:rsidRPr="00740130">
              <w:rPr>
                <w:rFonts w:ascii="Times New Roman" w:hAnsi="Times New Roman" w:cs="Times New Roman"/>
                <w:sz w:val="24"/>
                <w:szCs w:val="24"/>
              </w:rPr>
              <w:t>s</w:t>
            </w:r>
            <w:r w:rsidR="007A2975" w:rsidRPr="00740130">
              <w:rPr>
                <w:rFonts w:ascii="Times New Roman" w:hAnsi="Times New Roman" w:cs="Times New Roman"/>
                <w:sz w:val="24"/>
                <w:szCs w:val="24"/>
              </w:rPr>
              <w:t xml:space="preserve"> 15 variables</w:t>
            </w:r>
            <w:r w:rsidR="00BB2770" w:rsidRPr="00740130">
              <w:rPr>
                <w:rFonts w:ascii="Times New Roman" w:hAnsi="Times New Roman" w:cs="Times New Roman"/>
                <w:sz w:val="24"/>
                <w:szCs w:val="24"/>
              </w:rPr>
              <w:t xml:space="preserve"> presenta</w:t>
            </w:r>
            <w:r w:rsidR="007A2975" w:rsidRPr="00740130">
              <w:rPr>
                <w:rFonts w:ascii="Times New Roman" w:hAnsi="Times New Roman" w:cs="Times New Roman"/>
                <w:sz w:val="24"/>
                <w:szCs w:val="24"/>
              </w:rPr>
              <w:t>ron</w:t>
            </w:r>
            <w:r w:rsidR="00BB2770" w:rsidRPr="00740130">
              <w:rPr>
                <w:rFonts w:ascii="Times New Roman" w:hAnsi="Times New Roman" w:cs="Times New Roman"/>
                <w:sz w:val="24"/>
                <w:szCs w:val="24"/>
              </w:rPr>
              <w:t xml:space="preserve"> mejoras y </w:t>
            </w:r>
            <w:r w:rsidR="007A2975" w:rsidRPr="00740130">
              <w:rPr>
                <w:rFonts w:ascii="Times New Roman" w:hAnsi="Times New Roman" w:cs="Times New Roman"/>
                <w:sz w:val="24"/>
                <w:szCs w:val="24"/>
              </w:rPr>
              <w:t>el</w:t>
            </w:r>
            <w:r w:rsidR="00BB2770" w:rsidRPr="00740130">
              <w:rPr>
                <w:rFonts w:ascii="Times New Roman" w:hAnsi="Times New Roman" w:cs="Times New Roman"/>
                <w:sz w:val="24"/>
                <w:szCs w:val="24"/>
              </w:rPr>
              <w:t xml:space="preserve"> </w:t>
            </w:r>
            <w:r w:rsidR="007A2975" w:rsidRPr="00740130">
              <w:rPr>
                <w:rFonts w:ascii="Times New Roman" w:hAnsi="Times New Roman" w:cs="Times New Roman"/>
                <w:sz w:val="24"/>
                <w:szCs w:val="24"/>
              </w:rPr>
              <w:t>aumento</w:t>
            </w:r>
            <w:r w:rsidR="00BB2770" w:rsidRPr="00740130">
              <w:rPr>
                <w:rFonts w:ascii="Times New Roman" w:hAnsi="Times New Roman" w:cs="Times New Roman"/>
                <w:sz w:val="24"/>
                <w:szCs w:val="24"/>
              </w:rPr>
              <w:t xml:space="preserve"> está únicamente asociada a </w:t>
            </w:r>
            <w:r w:rsidR="004312D9" w:rsidRPr="00740130">
              <w:rPr>
                <w:rFonts w:ascii="Times New Roman" w:hAnsi="Times New Roman" w:cs="Times New Roman"/>
                <w:sz w:val="24"/>
                <w:szCs w:val="24"/>
              </w:rPr>
              <w:t>salud</w:t>
            </w:r>
            <w:r w:rsidR="00CC715B" w:rsidRPr="00740130">
              <w:rPr>
                <w:rFonts w:ascii="Times New Roman" w:hAnsi="Times New Roman" w:cs="Times New Roman"/>
                <w:sz w:val="24"/>
                <w:szCs w:val="24"/>
              </w:rPr>
              <w:t>.</w:t>
            </w:r>
            <w:r w:rsidR="00CC715B" w:rsidRPr="009D74A3">
              <w:rPr>
                <w:rFonts w:ascii="Times New Roman" w:hAnsi="Times New Roman" w:cs="Times New Roman"/>
                <w:sz w:val="24"/>
                <w:szCs w:val="24"/>
              </w:rPr>
              <w:t xml:space="preserve"> </w:t>
            </w:r>
          </w:p>
          <w:p w14:paraId="00BC1282" w14:textId="77777777" w:rsidR="00CC715B" w:rsidRPr="009D74A3" w:rsidRDefault="00CC715B" w:rsidP="009D74A3">
            <w:pPr>
              <w:outlineLvl w:val="2"/>
              <w:rPr>
                <w:rFonts w:ascii="Times New Roman" w:hAnsi="Times New Roman" w:cs="Times New Roman"/>
              </w:rPr>
            </w:pPr>
          </w:p>
          <w:p w14:paraId="4A1EAC0A" w14:textId="6CA233AE" w:rsidR="00CC715B" w:rsidRPr="009D74A3" w:rsidRDefault="00CC715B" w:rsidP="009D74A3">
            <w:pPr>
              <w:contextualSpacing/>
              <w:jc w:val="both"/>
              <w:outlineLvl w:val="2"/>
              <w:rPr>
                <w:rFonts w:ascii="Times New Roman" w:hAnsi="Times New Roman" w:cs="Times New Roman"/>
                <w:sz w:val="24"/>
                <w:szCs w:val="24"/>
              </w:rPr>
            </w:pPr>
            <w:r w:rsidRPr="009D74A3">
              <w:rPr>
                <w:rFonts w:ascii="Times New Roman" w:hAnsi="Times New Roman" w:cs="Times New Roman"/>
                <w:sz w:val="24"/>
                <w:szCs w:val="24"/>
              </w:rPr>
              <w:t>Por su parte, la Secretaría Distrital de Planeación en conjunto con la Secretaría Distrital de Hacienda, con base en la Encuesta Multipropósito de Bogotá (EMB) publicada por el DANE, estiman periódicamente un indicador de capacidad de pago</w:t>
            </w:r>
            <w:r w:rsidRPr="009D74A3">
              <w:rPr>
                <w:rStyle w:val="Refdenotaalpie"/>
                <w:rFonts w:ascii="Times New Roman" w:hAnsi="Times New Roman" w:cs="Times New Roman"/>
                <w:sz w:val="24"/>
                <w:szCs w:val="24"/>
              </w:rPr>
              <w:footnoteReference w:id="13"/>
            </w:r>
            <w:r w:rsidRPr="009D74A3">
              <w:rPr>
                <w:rFonts w:ascii="Times New Roman" w:hAnsi="Times New Roman" w:cs="Times New Roman"/>
                <w:sz w:val="24"/>
                <w:szCs w:val="24"/>
              </w:rPr>
              <w:t xml:space="preserve">. Dicho indicador permite determinar la capacidad de gasto de los hogares una vez descontada una canasta de consumo básico, y evaluar la situación socioeconómica de los mismos. </w:t>
            </w:r>
            <w:r w:rsidR="002504B3">
              <w:rPr>
                <w:rFonts w:ascii="Times New Roman" w:hAnsi="Times New Roman" w:cs="Times New Roman"/>
                <w:sz w:val="24"/>
                <w:szCs w:val="24"/>
              </w:rPr>
              <w:t>U</w:t>
            </w:r>
            <w:r w:rsidRPr="009D74A3">
              <w:rPr>
                <w:rFonts w:ascii="Times New Roman" w:hAnsi="Times New Roman" w:cs="Times New Roman"/>
                <w:sz w:val="24"/>
                <w:szCs w:val="24"/>
              </w:rPr>
              <w:t xml:space="preserve">na mejora en el indicador de capacidad de pago refleja mayor capacidad de consumo y de bienestar de los hogares. </w:t>
            </w:r>
          </w:p>
          <w:p w14:paraId="15BAD8EC" w14:textId="77777777" w:rsidR="00CC715B" w:rsidRPr="009D74A3" w:rsidRDefault="00CC715B" w:rsidP="009D74A3">
            <w:pPr>
              <w:contextualSpacing/>
              <w:jc w:val="both"/>
              <w:outlineLvl w:val="2"/>
              <w:rPr>
                <w:rFonts w:ascii="Times New Roman" w:hAnsi="Times New Roman" w:cs="Times New Roman"/>
                <w:sz w:val="24"/>
                <w:szCs w:val="24"/>
              </w:rPr>
            </w:pPr>
          </w:p>
          <w:p w14:paraId="3C209A25" w14:textId="58E31723" w:rsidR="00CC715B" w:rsidRPr="009D74A3" w:rsidRDefault="00CC715B" w:rsidP="009D74A3">
            <w:pPr>
              <w:contextualSpacing/>
              <w:jc w:val="both"/>
              <w:outlineLvl w:val="2"/>
              <w:rPr>
                <w:rFonts w:ascii="Times New Roman" w:hAnsi="Times New Roman" w:cs="Times New Roman"/>
                <w:sz w:val="24"/>
                <w:szCs w:val="24"/>
              </w:rPr>
            </w:pPr>
            <w:r w:rsidRPr="009D74A3">
              <w:rPr>
                <w:rFonts w:ascii="Times New Roman" w:hAnsi="Times New Roman" w:cs="Times New Roman"/>
                <w:sz w:val="24"/>
                <w:szCs w:val="24"/>
              </w:rPr>
              <w:t>Para obtener e</w:t>
            </w:r>
            <w:r w:rsidR="002504B3">
              <w:rPr>
                <w:rFonts w:ascii="Times New Roman" w:hAnsi="Times New Roman" w:cs="Times New Roman"/>
                <w:sz w:val="24"/>
                <w:szCs w:val="24"/>
              </w:rPr>
              <w:t>ste</w:t>
            </w:r>
            <w:r w:rsidRPr="009D74A3">
              <w:rPr>
                <w:rFonts w:ascii="Times New Roman" w:hAnsi="Times New Roman" w:cs="Times New Roman"/>
                <w:sz w:val="24"/>
                <w:szCs w:val="24"/>
              </w:rPr>
              <w:t xml:space="preserve"> indicador se identifica el Gasto Mínimo de Bienes Básicos que establece un referente o línea de corte en la construcción del indicador. De esta manera, se obtiene el porcentaje de hogares que no logran superar este umbral de gasto mínimo, y que no tendrían en tal caso capacidad de pago. De acuerdo con los resultados obtenidos a partir de la Encuesta Multipropósito de Bogotá 2021 del DANE, la proporción de hogares sin capacidad de pago ha presentado una reducción entre 2017 y 2021</w:t>
            </w:r>
            <w:r w:rsidRPr="009D74A3">
              <w:rPr>
                <w:rStyle w:val="Refdenotaalpie"/>
                <w:rFonts w:ascii="Times New Roman" w:hAnsi="Times New Roman" w:cs="Times New Roman"/>
                <w:sz w:val="24"/>
                <w:szCs w:val="24"/>
              </w:rPr>
              <w:footnoteReference w:id="14"/>
            </w:r>
            <w:r w:rsidRPr="009D74A3">
              <w:rPr>
                <w:rFonts w:ascii="Times New Roman" w:hAnsi="Times New Roman" w:cs="Times New Roman"/>
                <w:sz w:val="24"/>
                <w:szCs w:val="24"/>
              </w:rPr>
              <w:t xml:space="preserve">, </w:t>
            </w:r>
            <w:r w:rsidR="008E74FA">
              <w:rPr>
                <w:rFonts w:ascii="Times New Roman" w:hAnsi="Times New Roman" w:cs="Times New Roman"/>
                <w:sz w:val="24"/>
                <w:szCs w:val="24"/>
              </w:rPr>
              <w:t xml:space="preserve">lo que evidencia </w:t>
            </w:r>
            <w:r w:rsidRPr="009D74A3">
              <w:rPr>
                <w:rFonts w:ascii="Times New Roman" w:hAnsi="Times New Roman" w:cs="Times New Roman"/>
                <w:sz w:val="24"/>
                <w:szCs w:val="24"/>
              </w:rPr>
              <w:t>una mejora en dicho indicador.</w:t>
            </w:r>
          </w:p>
          <w:p w14:paraId="62109DD0" w14:textId="77777777" w:rsidR="00B111BA" w:rsidRDefault="00B111BA" w:rsidP="009D74A3">
            <w:pPr>
              <w:contextualSpacing/>
              <w:jc w:val="both"/>
              <w:outlineLvl w:val="2"/>
              <w:rPr>
                <w:rFonts w:ascii="Times New Roman" w:hAnsi="Times New Roman" w:cs="Times New Roman"/>
                <w:sz w:val="24"/>
                <w:szCs w:val="24"/>
              </w:rPr>
            </w:pPr>
          </w:p>
          <w:p w14:paraId="6A33A6EC" w14:textId="68E55981" w:rsidR="00B111BA" w:rsidRPr="009D74A3" w:rsidRDefault="00B111BA" w:rsidP="009D74A3">
            <w:pPr>
              <w:contextualSpacing/>
              <w:jc w:val="both"/>
              <w:outlineLvl w:val="2"/>
              <w:rPr>
                <w:rFonts w:ascii="Times New Roman" w:hAnsi="Times New Roman" w:cs="Times New Roman"/>
                <w:sz w:val="24"/>
                <w:szCs w:val="24"/>
              </w:rPr>
            </w:pPr>
            <w:r w:rsidRPr="00C41F90">
              <w:rPr>
                <w:rFonts w:ascii="Times New Roman" w:hAnsi="Times New Roman" w:cs="Times New Roman"/>
                <w:sz w:val="24"/>
                <w:szCs w:val="24"/>
              </w:rPr>
              <w:t xml:space="preserve">En este sentido, Bogotá ha experimentado mejoras socioeconómicas significativas en los últimos años, evidenciadas en la reducción de los indicadores de pobreza (tanto monetaria como multidimensional), la disminución de la desigualdad, el comportamiento favorable del mercado laboral para la generación de ingresos y el aumento de la capacidad de gasto de los hogares. </w:t>
            </w:r>
            <w:r w:rsidR="00A32D81">
              <w:rPr>
                <w:rFonts w:ascii="Times New Roman" w:hAnsi="Times New Roman" w:cs="Times New Roman"/>
                <w:sz w:val="24"/>
                <w:szCs w:val="24"/>
              </w:rPr>
              <w:t xml:space="preserve">De igual forma, se destaca </w:t>
            </w:r>
            <w:r w:rsidRPr="00C41F90">
              <w:rPr>
                <w:rFonts w:ascii="Times New Roman" w:hAnsi="Times New Roman" w:cs="Times New Roman"/>
                <w:sz w:val="24"/>
                <w:szCs w:val="24"/>
              </w:rPr>
              <w:t>que la ciudad registra un ingreso per cápita superior al promedio nacional.</w:t>
            </w:r>
            <w:r w:rsidR="004F161A">
              <w:rPr>
                <w:rFonts w:ascii="Times New Roman" w:hAnsi="Times New Roman" w:cs="Times New Roman"/>
                <w:sz w:val="24"/>
                <w:szCs w:val="24"/>
              </w:rPr>
              <w:t xml:space="preserve"> Es necesario que la ciudad siga avanzando en este camino</w:t>
            </w:r>
            <w:r w:rsidR="00747148">
              <w:rPr>
                <w:rFonts w:ascii="Times New Roman" w:hAnsi="Times New Roman" w:cs="Times New Roman"/>
                <w:sz w:val="24"/>
                <w:szCs w:val="24"/>
              </w:rPr>
              <w:t>, para lo cual una estructura tributaria más progresiva resulta relevante</w:t>
            </w:r>
            <w:r w:rsidR="00AE0DE7">
              <w:rPr>
                <w:rFonts w:ascii="Times New Roman" w:hAnsi="Times New Roman" w:cs="Times New Roman"/>
                <w:sz w:val="24"/>
                <w:szCs w:val="24"/>
              </w:rPr>
              <w:t>.</w:t>
            </w:r>
          </w:p>
          <w:p w14:paraId="76E2E77A" w14:textId="77777777" w:rsidR="00CC715B" w:rsidRPr="009D74A3" w:rsidRDefault="00CC715B" w:rsidP="009D74A3">
            <w:pPr>
              <w:outlineLvl w:val="2"/>
              <w:rPr>
                <w:rFonts w:ascii="Times New Roman" w:hAnsi="Times New Roman" w:cs="Times New Roman"/>
              </w:rPr>
            </w:pPr>
          </w:p>
          <w:p w14:paraId="79D72F2C" w14:textId="77777777" w:rsidR="00CC715B" w:rsidRPr="009D74A3" w:rsidRDefault="00CC715B">
            <w:pPr>
              <w:pStyle w:val="Ttulo2"/>
              <w:numPr>
                <w:ilvl w:val="1"/>
                <w:numId w:val="6"/>
              </w:numPr>
              <w:spacing w:before="0"/>
              <w:contextualSpacing/>
              <w:outlineLvl w:val="1"/>
              <w:rPr>
                <w:rFonts w:ascii="Times New Roman" w:hAnsi="Times New Roman" w:cs="Times New Roman"/>
                <w:b/>
                <w:sz w:val="24"/>
                <w:szCs w:val="24"/>
              </w:rPr>
            </w:pPr>
            <w:r w:rsidRPr="009D74A3">
              <w:rPr>
                <w:rFonts w:ascii="Times New Roman" w:hAnsi="Times New Roman" w:cs="Times New Roman"/>
                <w:b/>
                <w:sz w:val="24"/>
                <w:szCs w:val="24"/>
              </w:rPr>
              <w:t xml:space="preserve"> Situación fiscal de Bogotá</w:t>
            </w:r>
          </w:p>
          <w:p w14:paraId="4F39B4ED" w14:textId="77777777" w:rsidR="00CC715B" w:rsidRPr="009D74A3" w:rsidRDefault="00CC715B" w:rsidP="009D74A3">
            <w:pPr>
              <w:outlineLvl w:val="2"/>
              <w:rPr>
                <w:rFonts w:ascii="Times New Roman" w:hAnsi="Times New Roman" w:cs="Times New Roman"/>
              </w:rPr>
            </w:pPr>
          </w:p>
          <w:p w14:paraId="73DED15E" w14:textId="272E9669" w:rsidR="00CC715B" w:rsidRPr="009D74A3" w:rsidRDefault="00CC715B" w:rsidP="009D74A3">
            <w:pPr>
              <w:contextualSpacing/>
              <w:jc w:val="both"/>
              <w:outlineLvl w:val="2"/>
              <w:rPr>
                <w:rFonts w:ascii="Times New Roman" w:hAnsi="Times New Roman" w:cs="Times New Roman"/>
                <w:sz w:val="24"/>
                <w:szCs w:val="24"/>
              </w:rPr>
            </w:pPr>
            <w:r w:rsidRPr="009D74A3">
              <w:rPr>
                <w:rFonts w:ascii="Times New Roman" w:hAnsi="Times New Roman" w:cs="Times New Roman"/>
                <w:sz w:val="24"/>
                <w:szCs w:val="24"/>
              </w:rPr>
              <w:t>De acuerdo con los resultados más recientes, Bogotá ocupa el primer lugar del Índice de Desempeño Fiscal</w:t>
            </w:r>
            <w:r w:rsidRPr="009D74A3">
              <w:rPr>
                <w:rStyle w:val="Refdenotaalpie"/>
                <w:rFonts w:ascii="Times New Roman" w:hAnsi="Times New Roman" w:cs="Times New Roman"/>
                <w:sz w:val="24"/>
                <w:szCs w:val="24"/>
              </w:rPr>
              <w:footnoteReference w:id="15"/>
            </w:r>
            <w:r w:rsidRPr="009D74A3">
              <w:rPr>
                <w:rFonts w:ascii="Times New Roman" w:hAnsi="Times New Roman" w:cs="Times New Roman"/>
                <w:sz w:val="24"/>
                <w:szCs w:val="24"/>
              </w:rPr>
              <w:t>, que es una herramienta utilizada por el Departamento Nacional de Planeación para evaluar la gestión financiera de los entes territoriales del país.  En particular, Bogotá se ubica en el rango de finanzas públicas sostenibles, lo que significa que el Distrito Capital dispone de unas finanzas saludables, que cumple con los límites legales de deuda y gasto y en el largo plazo tiene una mayor capacidad para proveer bienes y servicios públicos</w:t>
            </w:r>
            <w:r w:rsidR="00235226">
              <w:rPr>
                <w:rFonts w:ascii="Times New Roman" w:hAnsi="Times New Roman" w:cs="Times New Roman"/>
                <w:sz w:val="24"/>
                <w:szCs w:val="24"/>
              </w:rPr>
              <w:t xml:space="preserve"> (</w:t>
            </w:r>
            <w:r w:rsidR="00235226" w:rsidRPr="00235226">
              <w:rPr>
                <w:rFonts w:ascii="Times New Roman" w:hAnsi="Times New Roman" w:cs="Times New Roman"/>
                <w:b/>
                <w:bCs/>
                <w:sz w:val="24"/>
                <w:szCs w:val="24"/>
              </w:rPr>
              <w:t>Gráfico 16</w:t>
            </w:r>
            <w:r w:rsidR="00235226">
              <w:rPr>
                <w:rFonts w:ascii="Times New Roman" w:hAnsi="Times New Roman" w:cs="Times New Roman"/>
                <w:sz w:val="24"/>
                <w:szCs w:val="24"/>
              </w:rPr>
              <w:t>)</w:t>
            </w:r>
            <w:r w:rsidRPr="009D74A3">
              <w:rPr>
                <w:rFonts w:ascii="Times New Roman" w:hAnsi="Times New Roman" w:cs="Times New Roman"/>
                <w:sz w:val="24"/>
                <w:szCs w:val="24"/>
              </w:rPr>
              <w:t>.</w:t>
            </w:r>
          </w:p>
          <w:p w14:paraId="0031AB73" w14:textId="77777777" w:rsidR="00C72FEB" w:rsidRDefault="00C72FEB" w:rsidP="009D74A3">
            <w:pPr>
              <w:pStyle w:val="paragraph"/>
              <w:spacing w:before="0" w:beforeAutospacing="0" w:after="0" w:afterAutospacing="0"/>
              <w:contextualSpacing/>
              <w:jc w:val="center"/>
              <w:textAlignment w:val="baseline"/>
              <w:outlineLvl w:val="2"/>
              <w:rPr>
                <w:rStyle w:val="normaltextrun"/>
                <w:rFonts w:ascii="Times New Roman" w:eastAsiaTheme="majorEastAsia" w:hAnsi="Times New Roman" w:cs="Times New Roman"/>
                <w:b/>
                <w:sz w:val="22"/>
                <w:szCs w:val="22"/>
                <w:lang w:val="es-MX"/>
              </w:rPr>
            </w:pPr>
          </w:p>
          <w:p w14:paraId="46130B38" w14:textId="77777777" w:rsidR="00CC715B" w:rsidRPr="009D74A3" w:rsidRDefault="00CC715B" w:rsidP="009D74A3">
            <w:pPr>
              <w:pStyle w:val="paragraph"/>
              <w:spacing w:before="0" w:beforeAutospacing="0" w:after="0" w:afterAutospacing="0"/>
              <w:contextualSpacing/>
              <w:jc w:val="center"/>
              <w:textAlignment w:val="baseline"/>
              <w:outlineLvl w:val="2"/>
              <w:rPr>
                <w:rStyle w:val="normaltextrun"/>
                <w:rFonts w:ascii="Times New Roman" w:eastAsiaTheme="majorEastAsia" w:hAnsi="Times New Roman" w:cs="Times New Roman"/>
                <w:b/>
                <w:sz w:val="22"/>
                <w:szCs w:val="22"/>
                <w:lang w:val="es-MX"/>
              </w:rPr>
            </w:pPr>
            <w:r w:rsidRPr="009D74A3">
              <w:rPr>
                <w:rStyle w:val="normaltextrun"/>
                <w:rFonts w:ascii="Times New Roman" w:eastAsiaTheme="majorEastAsia" w:hAnsi="Times New Roman" w:cs="Times New Roman"/>
                <w:b/>
                <w:sz w:val="22"/>
                <w:szCs w:val="22"/>
                <w:lang w:val="es-MX"/>
              </w:rPr>
              <w:t>Gráfico 16.</w:t>
            </w:r>
          </w:p>
          <w:p w14:paraId="63A237C9" w14:textId="77777777" w:rsidR="00CC715B" w:rsidRPr="009D74A3" w:rsidRDefault="00CC715B" w:rsidP="009D74A3">
            <w:pPr>
              <w:pStyle w:val="paragraph"/>
              <w:spacing w:before="0" w:beforeAutospacing="0" w:after="0" w:afterAutospacing="0"/>
              <w:contextualSpacing/>
              <w:jc w:val="center"/>
              <w:textAlignment w:val="baseline"/>
              <w:outlineLvl w:val="2"/>
              <w:rPr>
                <w:sz w:val="18"/>
                <w:szCs w:val="18"/>
              </w:rPr>
            </w:pPr>
            <w:r w:rsidRPr="009D74A3">
              <w:rPr>
                <w:rStyle w:val="normaltextrun"/>
                <w:rFonts w:ascii="Times New Roman" w:eastAsiaTheme="majorEastAsia" w:hAnsi="Times New Roman" w:cs="Times New Roman"/>
                <w:b/>
                <w:bCs/>
                <w:sz w:val="22"/>
                <w:szCs w:val="22"/>
                <w:lang w:val="es-MX"/>
              </w:rPr>
              <w:t>Resultados Índice de Desempeño Fiscal para Bogotá – 2023</w:t>
            </w:r>
          </w:p>
          <w:p w14:paraId="61430F0E" w14:textId="77777777" w:rsidR="00CC715B" w:rsidRPr="009D74A3" w:rsidRDefault="00CC715B" w:rsidP="009D74A3">
            <w:pPr>
              <w:contextualSpacing/>
              <w:jc w:val="center"/>
              <w:outlineLvl w:val="2"/>
              <w:rPr>
                <w:rFonts w:ascii="Times New Roman" w:hAnsi="Times New Roman" w:cs="Times New Roman"/>
                <w:sz w:val="24"/>
                <w:szCs w:val="24"/>
              </w:rPr>
            </w:pPr>
            <w:r w:rsidRPr="009D74A3">
              <w:rPr>
                <w:rFonts w:ascii="Times New Roman" w:hAnsi="Times New Roman" w:cs="Times New Roman"/>
                <w:noProof/>
                <w:lang w:eastAsia="es-CO"/>
              </w:rPr>
              <w:drawing>
                <wp:inline distT="0" distB="0" distL="0" distR="0" wp14:anchorId="4E24C396" wp14:editId="71BAF6B1">
                  <wp:extent cx="5179028" cy="2028190"/>
                  <wp:effectExtent l="0" t="0" r="0" b="0"/>
                  <wp:docPr id="1244237513"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198949" cy="2035992"/>
                          </a:xfrm>
                          <a:prstGeom prst="rect">
                            <a:avLst/>
                          </a:prstGeom>
                          <a:noFill/>
                        </pic:spPr>
                      </pic:pic>
                    </a:graphicData>
                  </a:graphic>
                </wp:inline>
              </w:drawing>
            </w:r>
          </w:p>
          <w:p w14:paraId="64A581A6" w14:textId="77777777" w:rsidR="00CC715B" w:rsidRPr="009D74A3" w:rsidRDefault="00CC715B" w:rsidP="009D74A3">
            <w:pPr>
              <w:pStyle w:val="paragraph"/>
              <w:spacing w:before="0" w:beforeAutospacing="0" w:after="0" w:afterAutospacing="0"/>
              <w:ind w:firstLine="634"/>
              <w:contextualSpacing/>
              <w:jc w:val="both"/>
              <w:textAlignment w:val="baseline"/>
              <w:outlineLvl w:val="2"/>
              <w:rPr>
                <w:rStyle w:val="eop"/>
                <w:rFonts w:eastAsiaTheme="majorEastAsia"/>
                <w:sz w:val="20"/>
                <w:szCs w:val="20"/>
              </w:rPr>
            </w:pPr>
            <w:r w:rsidRPr="009D74A3">
              <w:rPr>
                <w:rStyle w:val="normaltextrun"/>
                <w:rFonts w:ascii="Times New Roman" w:eastAsiaTheme="majorEastAsia" w:hAnsi="Times New Roman" w:cs="Times New Roman"/>
                <w:b/>
                <w:bCs/>
                <w:sz w:val="20"/>
                <w:szCs w:val="20"/>
                <w:lang w:val="es-MX"/>
              </w:rPr>
              <w:t>Fuente:</w:t>
            </w:r>
            <w:r w:rsidRPr="009D74A3">
              <w:rPr>
                <w:rStyle w:val="normaltextrun"/>
                <w:rFonts w:ascii="Times New Roman" w:eastAsiaTheme="majorEastAsia" w:hAnsi="Times New Roman" w:cs="Times New Roman"/>
                <w:sz w:val="20"/>
                <w:szCs w:val="20"/>
                <w:lang w:val="es-MX"/>
              </w:rPr>
              <w:t xml:space="preserve"> Departamento Nacional de Planeación (2024)</w:t>
            </w:r>
          </w:p>
          <w:p w14:paraId="3C6B96EB" w14:textId="77777777" w:rsidR="00CC715B" w:rsidRPr="009D74A3" w:rsidRDefault="00CC715B" w:rsidP="009D74A3">
            <w:pPr>
              <w:contextualSpacing/>
              <w:jc w:val="center"/>
              <w:outlineLvl w:val="2"/>
              <w:rPr>
                <w:rFonts w:ascii="Times New Roman" w:hAnsi="Times New Roman" w:cs="Times New Roman"/>
                <w:sz w:val="24"/>
                <w:szCs w:val="24"/>
              </w:rPr>
            </w:pPr>
          </w:p>
          <w:p w14:paraId="4536C849" w14:textId="0CA45839" w:rsidR="009D74A3" w:rsidRPr="009D74A3" w:rsidRDefault="00CC715B" w:rsidP="009D74A3">
            <w:pPr>
              <w:contextualSpacing/>
              <w:jc w:val="both"/>
              <w:outlineLvl w:val="2"/>
              <w:rPr>
                <w:rFonts w:ascii="Times New Roman" w:hAnsi="Times New Roman" w:cs="Times New Roman"/>
                <w:sz w:val="24"/>
                <w:szCs w:val="24"/>
              </w:rPr>
            </w:pPr>
            <w:r w:rsidRPr="009D74A3">
              <w:rPr>
                <w:rFonts w:ascii="Times New Roman" w:hAnsi="Times New Roman" w:cs="Times New Roman"/>
                <w:sz w:val="24"/>
                <w:szCs w:val="24"/>
              </w:rPr>
              <w:t>Estos resultados son coherentes con el crecimiento promedio de los ingresos fiscales en los últimos 10 años (4% promedio anual real)</w:t>
            </w:r>
            <w:r w:rsidR="00CE6959">
              <w:rPr>
                <w:rFonts w:ascii="Times New Roman" w:hAnsi="Times New Roman" w:cs="Times New Roman"/>
                <w:sz w:val="24"/>
                <w:szCs w:val="24"/>
              </w:rPr>
              <w:t xml:space="preserve"> (</w:t>
            </w:r>
            <w:r w:rsidR="00CE6959" w:rsidRPr="00CE6959">
              <w:rPr>
                <w:rFonts w:ascii="Times New Roman" w:hAnsi="Times New Roman" w:cs="Times New Roman"/>
                <w:b/>
                <w:bCs/>
                <w:sz w:val="24"/>
                <w:szCs w:val="24"/>
              </w:rPr>
              <w:t>Gráfico 17</w:t>
            </w:r>
            <w:r w:rsidR="00CE6959">
              <w:rPr>
                <w:rFonts w:ascii="Times New Roman" w:hAnsi="Times New Roman" w:cs="Times New Roman"/>
                <w:sz w:val="24"/>
                <w:szCs w:val="24"/>
              </w:rPr>
              <w:t>)</w:t>
            </w:r>
            <w:r w:rsidRPr="009D74A3">
              <w:rPr>
                <w:rFonts w:ascii="Times New Roman" w:hAnsi="Times New Roman" w:cs="Times New Roman"/>
                <w:sz w:val="24"/>
                <w:szCs w:val="24"/>
              </w:rPr>
              <w:t xml:space="preserve"> y con el hecho de que los ingresos corrientes (tributarios y no tributarios) representen alrededor del 75% de los ingresos fiscales de la ciudad.</w:t>
            </w:r>
          </w:p>
          <w:p w14:paraId="67AC4C40" w14:textId="77777777" w:rsidR="00CC715B" w:rsidRPr="009D74A3" w:rsidRDefault="00CC715B" w:rsidP="009D74A3">
            <w:pPr>
              <w:pStyle w:val="paragraph"/>
              <w:spacing w:before="0" w:beforeAutospacing="0" w:after="0" w:afterAutospacing="0"/>
              <w:contextualSpacing/>
              <w:jc w:val="center"/>
              <w:textAlignment w:val="baseline"/>
              <w:outlineLvl w:val="2"/>
              <w:rPr>
                <w:rStyle w:val="normaltextrun"/>
                <w:rFonts w:ascii="Times New Roman" w:eastAsiaTheme="majorEastAsia" w:hAnsi="Times New Roman" w:cs="Times New Roman"/>
                <w:b/>
                <w:sz w:val="22"/>
                <w:szCs w:val="22"/>
                <w:lang w:val="es-MX"/>
              </w:rPr>
            </w:pPr>
          </w:p>
          <w:p w14:paraId="57F626B7" w14:textId="77777777" w:rsidR="00CC715B" w:rsidRPr="009D74A3" w:rsidRDefault="00CC715B" w:rsidP="009D74A3">
            <w:pPr>
              <w:pStyle w:val="paragraph"/>
              <w:spacing w:before="0" w:beforeAutospacing="0" w:after="0" w:afterAutospacing="0"/>
              <w:contextualSpacing/>
              <w:jc w:val="center"/>
              <w:textAlignment w:val="baseline"/>
              <w:outlineLvl w:val="2"/>
              <w:rPr>
                <w:rStyle w:val="normaltextrun"/>
                <w:rFonts w:ascii="Times New Roman" w:eastAsiaTheme="majorEastAsia" w:hAnsi="Times New Roman" w:cs="Times New Roman"/>
                <w:b/>
                <w:sz w:val="22"/>
                <w:szCs w:val="22"/>
                <w:lang w:val="es-MX"/>
              </w:rPr>
            </w:pPr>
            <w:r w:rsidRPr="009D74A3">
              <w:rPr>
                <w:rStyle w:val="normaltextrun"/>
                <w:rFonts w:ascii="Times New Roman" w:eastAsiaTheme="majorEastAsia" w:hAnsi="Times New Roman" w:cs="Times New Roman"/>
                <w:b/>
                <w:sz w:val="22"/>
                <w:szCs w:val="22"/>
                <w:lang w:val="es-MX"/>
              </w:rPr>
              <w:t>Gráfico 17.</w:t>
            </w:r>
          </w:p>
          <w:p w14:paraId="193810CD" w14:textId="77777777" w:rsidR="00CC715B" w:rsidRPr="009D74A3" w:rsidRDefault="00CC715B" w:rsidP="009D74A3">
            <w:pPr>
              <w:pStyle w:val="paragraph"/>
              <w:spacing w:before="0" w:beforeAutospacing="0" w:after="0" w:afterAutospacing="0"/>
              <w:contextualSpacing/>
              <w:jc w:val="center"/>
              <w:textAlignment w:val="baseline"/>
              <w:outlineLvl w:val="2"/>
              <w:rPr>
                <w:sz w:val="18"/>
                <w:szCs w:val="18"/>
              </w:rPr>
            </w:pPr>
            <w:r w:rsidRPr="009D74A3">
              <w:rPr>
                <w:rStyle w:val="normaltextrun"/>
                <w:rFonts w:ascii="Times New Roman" w:eastAsiaTheme="majorEastAsia" w:hAnsi="Times New Roman" w:cs="Times New Roman"/>
                <w:b/>
                <w:bCs/>
                <w:sz w:val="22"/>
                <w:szCs w:val="22"/>
                <w:lang w:val="es-MX"/>
              </w:rPr>
              <w:t>Ingresos totales de la Administración Central</w:t>
            </w:r>
          </w:p>
          <w:p w14:paraId="16E9458B" w14:textId="77777777" w:rsidR="00CC715B" w:rsidRPr="009D74A3" w:rsidRDefault="00CC715B" w:rsidP="009D74A3">
            <w:pPr>
              <w:pStyle w:val="paragraph"/>
              <w:spacing w:before="0" w:beforeAutospacing="0" w:after="0" w:afterAutospacing="0"/>
              <w:contextualSpacing/>
              <w:jc w:val="center"/>
              <w:textAlignment w:val="baseline"/>
              <w:outlineLvl w:val="2"/>
              <w:rPr>
                <w:bCs/>
                <w:i/>
                <w:iCs/>
                <w:sz w:val="18"/>
                <w:szCs w:val="18"/>
              </w:rPr>
            </w:pPr>
            <w:r w:rsidRPr="009D74A3">
              <w:rPr>
                <w:rStyle w:val="normaltextrun"/>
                <w:rFonts w:ascii="Times New Roman" w:eastAsiaTheme="majorEastAsia" w:hAnsi="Times New Roman" w:cs="Times New Roman"/>
                <w:bCs/>
                <w:i/>
                <w:iCs/>
                <w:sz w:val="22"/>
                <w:szCs w:val="22"/>
              </w:rPr>
              <w:t>Billones de pesos de 2024 y porcentaje</w:t>
            </w:r>
          </w:p>
          <w:p w14:paraId="0E1D9A66" w14:textId="77777777" w:rsidR="00CC715B" w:rsidRPr="009D74A3" w:rsidRDefault="00CC715B" w:rsidP="009D74A3">
            <w:pPr>
              <w:pStyle w:val="paragraph"/>
              <w:spacing w:before="0" w:beforeAutospacing="0" w:after="0" w:afterAutospacing="0"/>
              <w:contextualSpacing/>
              <w:jc w:val="center"/>
              <w:textAlignment w:val="baseline"/>
              <w:outlineLvl w:val="2"/>
              <w:rPr>
                <w:sz w:val="18"/>
                <w:szCs w:val="18"/>
              </w:rPr>
            </w:pPr>
            <w:r w:rsidRPr="009D74A3">
              <w:rPr>
                <w:rStyle w:val="wacimagecontainer"/>
                <w:rFonts w:eastAsiaTheme="majorEastAsia"/>
                <w:noProof/>
                <w:sz w:val="18"/>
                <w:szCs w:val="18"/>
              </w:rPr>
              <w:drawing>
                <wp:inline distT="0" distB="0" distL="0" distR="0" wp14:anchorId="315ACC21" wp14:editId="0355E07D">
                  <wp:extent cx="5398313" cy="2280920"/>
                  <wp:effectExtent l="0" t="0" r="0" b="5080"/>
                  <wp:docPr id="351136826" name="Imagen 23" descr="Gráfico 1, Elemento de gráf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áfico 1, Elemento de gráfico"/>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25527" cy="2292419"/>
                          </a:xfrm>
                          <a:prstGeom prst="rect">
                            <a:avLst/>
                          </a:prstGeom>
                          <a:noFill/>
                          <a:ln>
                            <a:noFill/>
                          </a:ln>
                        </pic:spPr>
                      </pic:pic>
                    </a:graphicData>
                  </a:graphic>
                </wp:inline>
              </w:drawing>
            </w:r>
          </w:p>
          <w:p w14:paraId="20B8F7AD" w14:textId="77777777" w:rsidR="00CC715B" w:rsidRPr="009D74A3" w:rsidRDefault="00CC715B" w:rsidP="009D74A3">
            <w:pPr>
              <w:pStyle w:val="paragraph"/>
              <w:spacing w:before="0" w:beforeAutospacing="0" w:after="0" w:afterAutospacing="0"/>
              <w:ind w:firstLine="634"/>
              <w:contextualSpacing/>
              <w:jc w:val="both"/>
              <w:textAlignment w:val="baseline"/>
              <w:outlineLvl w:val="2"/>
              <w:rPr>
                <w:rStyle w:val="eop"/>
                <w:rFonts w:eastAsiaTheme="majorEastAsia"/>
                <w:sz w:val="20"/>
                <w:szCs w:val="20"/>
              </w:rPr>
            </w:pPr>
            <w:r w:rsidRPr="009D74A3">
              <w:rPr>
                <w:rStyle w:val="normaltextrun"/>
                <w:rFonts w:ascii="Times New Roman" w:eastAsiaTheme="majorEastAsia" w:hAnsi="Times New Roman" w:cs="Times New Roman"/>
                <w:b/>
                <w:bCs/>
                <w:sz w:val="20"/>
                <w:szCs w:val="20"/>
                <w:lang w:val="es-MX"/>
              </w:rPr>
              <w:t>Fuente:</w:t>
            </w:r>
            <w:r w:rsidRPr="009D74A3">
              <w:rPr>
                <w:rStyle w:val="normaltextrun"/>
                <w:rFonts w:ascii="Times New Roman" w:eastAsiaTheme="majorEastAsia" w:hAnsi="Times New Roman" w:cs="Times New Roman"/>
                <w:sz w:val="20"/>
                <w:szCs w:val="20"/>
                <w:lang w:val="es-MX"/>
              </w:rPr>
              <w:t xml:space="preserve"> Secretaría Distrital de Hacienda</w:t>
            </w:r>
            <w:r w:rsidRPr="009D74A3">
              <w:rPr>
                <w:rStyle w:val="eop"/>
                <w:rFonts w:eastAsiaTheme="majorEastAsia"/>
                <w:sz w:val="20"/>
                <w:szCs w:val="20"/>
              </w:rPr>
              <w:t> </w:t>
            </w:r>
          </w:p>
          <w:p w14:paraId="7302594C" w14:textId="77777777" w:rsidR="00CC715B" w:rsidRPr="009D74A3" w:rsidRDefault="00CC715B" w:rsidP="009D74A3">
            <w:pPr>
              <w:pStyle w:val="paragraph"/>
              <w:spacing w:before="0" w:beforeAutospacing="0" w:after="0" w:afterAutospacing="0"/>
              <w:ind w:firstLine="634"/>
              <w:contextualSpacing/>
              <w:jc w:val="both"/>
              <w:textAlignment w:val="baseline"/>
              <w:outlineLvl w:val="2"/>
              <w:rPr>
                <w:rStyle w:val="eop"/>
                <w:rFonts w:eastAsiaTheme="majorEastAsia"/>
                <w:sz w:val="20"/>
                <w:szCs w:val="20"/>
              </w:rPr>
            </w:pPr>
          </w:p>
          <w:p w14:paraId="3C28B451" w14:textId="77777777" w:rsidR="00CC715B" w:rsidRPr="009D74A3" w:rsidRDefault="00CC715B" w:rsidP="009D74A3">
            <w:pPr>
              <w:pStyle w:val="paragraph"/>
              <w:spacing w:before="0" w:beforeAutospacing="0" w:after="0" w:afterAutospacing="0"/>
              <w:contextualSpacing/>
              <w:jc w:val="both"/>
              <w:textAlignment w:val="baseline"/>
              <w:outlineLvl w:val="2"/>
              <w:rPr>
                <w:rStyle w:val="normaltextrun"/>
                <w:rFonts w:ascii="Times New Roman" w:eastAsiaTheme="majorEastAsia" w:hAnsi="Times New Roman" w:cs="Times New Roman"/>
                <w:lang w:val="es-MX"/>
              </w:rPr>
            </w:pPr>
            <w:r w:rsidRPr="009D74A3">
              <w:rPr>
                <w:rStyle w:val="normaltextrun"/>
                <w:rFonts w:ascii="Times New Roman" w:eastAsiaTheme="majorEastAsia" w:hAnsi="Times New Roman" w:cs="Times New Roman"/>
                <w:lang w:val="es-MX"/>
              </w:rPr>
              <w:t>Por su parte, los ingresos corrientes de Bogotá presentaron un crecimiento real promedio anual de 3%, entre 2015 y 2024. En este periodo, el recaudo creció de forma constante en términos reales, excepto en 2020 y 2022, años en los que estos recursos presentaron una disminución, principalmente en 2020 como consecuencia de los efectos negativos de la pandemia (</w:t>
            </w:r>
            <w:r w:rsidRPr="009D74A3">
              <w:rPr>
                <w:rStyle w:val="normaltextrun"/>
                <w:rFonts w:ascii="Times New Roman" w:eastAsiaTheme="majorEastAsia" w:hAnsi="Times New Roman" w:cs="Times New Roman"/>
                <w:b/>
                <w:bCs/>
                <w:lang w:val="es-MX"/>
              </w:rPr>
              <w:t>Gráfico 18</w:t>
            </w:r>
            <w:r w:rsidRPr="009D74A3">
              <w:rPr>
                <w:rStyle w:val="normaltextrun"/>
                <w:rFonts w:ascii="Times New Roman" w:eastAsiaTheme="majorEastAsia" w:hAnsi="Times New Roman" w:cs="Times New Roman"/>
                <w:lang w:val="es-MX"/>
              </w:rPr>
              <w:t>).</w:t>
            </w:r>
          </w:p>
          <w:p w14:paraId="175293E1" w14:textId="64309FE4" w:rsidR="00961E7E" w:rsidRPr="009D74A3" w:rsidRDefault="00CC715B" w:rsidP="009D74A3">
            <w:pPr>
              <w:pStyle w:val="paragraph"/>
              <w:spacing w:before="0" w:beforeAutospacing="0" w:after="0" w:afterAutospacing="0"/>
              <w:contextualSpacing/>
              <w:jc w:val="both"/>
              <w:textAlignment w:val="baseline"/>
              <w:outlineLvl w:val="2"/>
              <w:rPr>
                <w:rStyle w:val="normaltextrun"/>
                <w:rFonts w:ascii="Times New Roman" w:eastAsiaTheme="majorEastAsia" w:hAnsi="Times New Roman" w:cs="Times New Roman"/>
                <w:lang w:val="es-MX"/>
              </w:rPr>
            </w:pPr>
            <w:r w:rsidRPr="009D74A3">
              <w:rPr>
                <w:rStyle w:val="normaltextrun"/>
                <w:rFonts w:ascii="Times New Roman" w:eastAsiaTheme="majorEastAsia" w:hAnsi="Times New Roman" w:cs="Times New Roman"/>
                <w:lang w:val="es-MX"/>
              </w:rPr>
              <w:t xml:space="preserve"> </w:t>
            </w:r>
          </w:p>
          <w:p w14:paraId="6E53AE55" w14:textId="77777777" w:rsidR="00CC715B" w:rsidRPr="009D74A3" w:rsidRDefault="00CC715B" w:rsidP="009D74A3">
            <w:pPr>
              <w:pStyle w:val="paragraph"/>
              <w:spacing w:before="0" w:beforeAutospacing="0" w:after="0" w:afterAutospacing="0"/>
              <w:contextualSpacing/>
              <w:jc w:val="center"/>
              <w:textAlignment w:val="baseline"/>
              <w:outlineLvl w:val="2"/>
              <w:rPr>
                <w:rStyle w:val="normaltextrun"/>
                <w:rFonts w:ascii="Times New Roman" w:eastAsiaTheme="majorEastAsia" w:hAnsi="Times New Roman" w:cs="Times New Roman"/>
                <w:b/>
                <w:sz w:val="22"/>
                <w:szCs w:val="22"/>
                <w:lang w:val="es-MX"/>
              </w:rPr>
            </w:pPr>
            <w:r w:rsidRPr="009D74A3">
              <w:rPr>
                <w:rStyle w:val="eop"/>
                <w:rFonts w:eastAsiaTheme="majorEastAsia"/>
                <w:sz w:val="22"/>
                <w:szCs w:val="22"/>
              </w:rPr>
              <w:t> </w:t>
            </w:r>
            <w:r w:rsidRPr="009D74A3">
              <w:rPr>
                <w:rStyle w:val="normaltextrun"/>
                <w:rFonts w:ascii="Times New Roman" w:eastAsiaTheme="majorEastAsia" w:hAnsi="Times New Roman" w:cs="Times New Roman"/>
                <w:b/>
                <w:sz w:val="22"/>
                <w:szCs w:val="22"/>
                <w:lang w:val="es-MX"/>
              </w:rPr>
              <w:t>Gráfico 18.</w:t>
            </w:r>
          </w:p>
          <w:p w14:paraId="1B53E79F" w14:textId="77777777" w:rsidR="00CC715B" w:rsidRPr="009D74A3" w:rsidRDefault="00CC715B" w:rsidP="009D74A3">
            <w:pPr>
              <w:pStyle w:val="paragraph"/>
              <w:spacing w:before="0" w:beforeAutospacing="0" w:after="0" w:afterAutospacing="0"/>
              <w:contextualSpacing/>
              <w:jc w:val="center"/>
              <w:textAlignment w:val="baseline"/>
              <w:outlineLvl w:val="2"/>
              <w:rPr>
                <w:sz w:val="18"/>
                <w:szCs w:val="18"/>
              </w:rPr>
            </w:pPr>
            <w:r w:rsidRPr="009D74A3">
              <w:rPr>
                <w:rStyle w:val="normaltextrun"/>
                <w:rFonts w:ascii="Times New Roman" w:eastAsiaTheme="majorEastAsia" w:hAnsi="Times New Roman" w:cs="Times New Roman"/>
                <w:b/>
                <w:bCs/>
                <w:sz w:val="22"/>
                <w:szCs w:val="22"/>
                <w:lang w:val="es-MX"/>
              </w:rPr>
              <w:t xml:space="preserve"> Ingresos corrientes de la Administración Central </w:t>
            </w:r>
          </w:p>
          <w:p w14:paraId="7CE9723C" w14:textId="77777777" w:rsidR="00CC715B" w:rsidRPr="009D74A3" w:rsidRDefault="00CC715B" w:rsidP="009D74A3">
            <w:pPr>
              <w:pStyle w:val="paragraph"/>
              <w:spacing w:before="0" w:beforeAutospacing="0" w:after="0" w:afterAutospacing="0"/>
              <w:contextualSpacing/>
              <w:jc w:val="center"/>
              <w:textAlignment w:val="baseline"/>
              <w:outlineLvl w:val="2"/>
              <w:rPr>
                <w:bCs/>
                <w:i/>
                <w:iCs/>
                <w:sz w:val="18"/>
                <w:szCs w:val="18"/>
              </w:rPr>
            </w:pPr>
            <w:r w:rsidRPr="009D74A3">
              <w:rPr>
                <w:rStyle w:val="normaltextrun"/>
                <w:rFonts w:ascii="Times New Roman" w:eastAsiaTheme="majorEastAsia" w:hAnsi="Times New Roman" w:cs="Times New Roman"/>
                <w:bCs/>
                <w:i/>
                <w:iCs/>
                <w:sz w:val="22"/>
                <w:szCs w:val="22"/>
              </w:rPr>
              <w:t>Billones de pesos de 2024 y porcentaje</w:t>
            </w:r>
          </w:p>
          <w:p w14:paraId="22D05FD6" w14:textId="77777777" w:rsidR="00CC715B" w:rsidRPr="009D74A3" w:rsidRDefault="00CC715B" w:rsidP="009D74A3">
            <w:pPr>
              <w:pStyle w:val="paragraph"/>
              <w:spacing w:before="0" w:beforeAutospacing="0" w:after="0" w:afterAutospacing="0"/>
              <w:contextualSpacing/>
              <w:jc w:val="center"/>
              <w:textAlignment w:val="baseline"/>
              <w:outlineLvl w:val="2"/>
              <w:rPr>
                <w:sz w:val="18"/>
                <w:szCs w:val="18"/>
              </w:rPr>
            </w:pPr>
            <w:r w:rsidRPr="009D74A3">
              <w:rPr>
                <w:rStyle w:val="wacimagecontainer"/>
                <w:rFonts w:eastAsiaTheme="majorEastAsia"/>
                <w:noProof/>
                <w:sz w:val="18"/>
                <w:szCs w:val="18"/>
              </w:rPr>
              <w:drawing>
                <wp:inline distT="0" distB="0" distL="0" distR="0" wp14:anchorId="1091CE5D" wp14:editId="44A68D0B">
                  <wp:extent cx="5400675" cy="1924050"/>
                  <wp:effectExtent l="0" t="0" r="9525" b="0"/>
                  <wp:docPr id="1889043383" name="Imagen 24" descr="Gráfico 1, Elemento de gráf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áfico 1, Elemento de gráfico"/>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00675" cy="1924050"/>
                          </a:xfrm>
                          <a:prstGeom prst="rect">
                            <a:avLst/>
                          </a:prstGeom>
                          <a:noFill/>
                          <a:ln>
                            <a:noFill/>
                          </a:ln>
                        </pic:spPr>
                      </pic:pic>
                    </a:graphicData>
                  </a:graphic>
                </wp:inline>
              </w:drawing>
            </w:r>
          </w:p>
          <w:p w14:paraId="2EF947EB" w14:textId="204BAD35" w:rsidR="00CC715B" w:rsidRPr="009D74A3" w:rsidRDefault="00CC715B" w:rsidP="009D74A3">
            <w:pPr>
              <w:pStyle w:val="paragraph"/>
              <w:spacing w:before="0" w:beforeAutospacing="0" w:after="0" w:afterAutospacing="0"/>
              <w:ind w:left="918"/>
              <w:contextualSpacing/>
              <w:jc w:val="both"/>
              <w:textAlignment w:val="baseline"/>
              <w:outlineLvl w:val="2"/>
              <w:rPr>
                <w:sz w:val="16"/>
                <w:szCs w:val="16"/>
              </w:rPr>
            </w:pPr>
            <w:r w:rsidRPr="009D74A3">
              <w:rPr>
                <w:rStyle w:val="normaltextrun"/>
                <w:rFonts w:ascii="Times New Roman" w:eastAsiaTheme="majorEastAsia" w:hAnsi="Times New Roman" w:cs="Times New Roman"/>
                <w:b/>
                <w:bCs/>
                <w:sz w:val="20"/>
                <w:szCs w:val="20"/>
                <w:lang w:val="es-MX"/>
              </w:rPr>
              <w:t>Fuente:</w:t>
            </w:r>
            <w:r w:rsidRPr="009D74A3">
              <w:rPr>
                <w:rStyle w:val="normaltextrun"/>
                <w:rFonts w:ascii="Times New Roman" w:eastAsiaTheme="majorEastAsia" w:hAnsi="Times New Roman" w:cs="Times New Roman"/>
                <w:sz w:val="20"/>
                <w:szCs w:val="20"/>
                <w:lang w:val="es-MX"/>
              </w:rPr>
              <w:t xml:space="preserve"> Secretaría Distrital de Hacienda</w:t>
            </w:r>
            <w:r w:rsidR="002477E3">
              <w:rPr>
                <w:rStyle w:val="normaltextrun"/>
                <w:rFonts w:ascii="Times New Roman" w:eastAsiaTheme="majorEastAsia" w:hAnsi="Times New Roman" w:cs="Times New Roman"/>
                <w:sz w:val="20"/>
                <w:szCs w:val="20"/>
                <w:lang w:val="es-MX"/>
              </w:rPr>
              <w:t>.</w:t>
            </w:r>
            <w:r w:rsidRPr="009D74A3">
              <w:rPr>
                <w:rStyle w:val="eop"/>
                <w:rFonts w:eastAsiaTheme="majorEastAsia"/>
                <w:sz w:val="20"/>
                <w:szCs w:val="20"/>
              </w:rPr>
              <w:t> </w:t>
            </w:r>
          </w:p>
          <w:p w14:paraId="2C48DE89" w14:textId="77777777" w:rsidR="00CC715B" w:rsidRPr="009D74A3" w:rsidRDefault="00CC715B" w:rsidP="009D74A3">
            <w:pPr>
              <w:pStyle w:val="paragraph"/>
              <w:spacing w:before="0" w:beforeAutospacing="0" w:after="0" w:afterAutospacing="0"/>
              <w:contextualSpacing/>
              <w:jc w:val="both"/>
              <w:textAlignment w:val="baseline"/>
              <w:outlineLvl w:val="2"/>
              <w:rPr>
                <w:rStyle w:val="normaltextrun"/>
                <w:rFonts w:ascii="Times New Roman" w:eastAsiaTheme="majorEastAsia" w:hAnsi="Times New Roman" w:cs="Times New Roman"/>
                <w:lang w:val="es-MX"/>
              </w:rPr>
            </w:pPr>
          </w:p>
          <w:p w14:paraId="028DF149" w14:textId="77777777" w:rsidR="00CC715B" w:rsidRPr="009D74A3" w:rsidRDefault="00CC715B" w:rsidP="009D74A3">
            <w:pPr>
              <w:pStyle w:val="paragraph"/>
              <w:spacing w:before="0" w:beforeAutospacing="0" w:after="0" w:afterAutospacing="0"/>
              <w:contextualSpacing/>
              <w:jc w:val="both"/>
              <w:textAlignment w:val="baseline"/>
              <w:outlineLvl w:val="2"/>
            </w:pPr>
            <w:r w:rsidRPr="009D74A3">
              <w:rPr>
                <w:rStyle w:val="normaltextrun"/>
                <w:rFonts w:ascii="Times New Roman" w:eastAsiaTheme="majorEastAsia" w:hAnsi="Times New Roman" w:cs="Times New Roman"/>
                <w:lang w:val="es-MX"/>
              </w:rPr>
              <w:t>Dentro de los ingresos corrientes, los ingresos tributarios son los de mayor aporte, con una participación promedio de 67,6% entre 2015 y 2024. Lo que evidencia la importancia de los impuestos distritales dentro de las finanzas del Distrito.</w:t>
            </w:r>
          </w:p>
          <w:p w14:paraId="1A6E23E3" w14:textId="77777777" w:rsidR="00CC715B" w:rsidRPr="009D74A3" w:rsidRDefault="00CC715B" w:rsidP="009D74A3">
            <w:pPr>
              <w:pStyle w:val="paragraph"/>
              <w:spacing w:before="0" w:beforeAutospacing="0" w:after="0" w:afterAutospacing="0"/>
              <w:contextualSpacing/>
              <w:jc w:val="both"/>
              <w:textAlignment w:val="baseline"/>
              <w:outlineLvl w:val="2"/>
            </w:pPr>
            <w:r w:rsidRPr="009D74A3">
              <w:rPr>
                <w:rStyle w:val="eop"/>
                <w:rFonts w:eastAsiaTheme="majorEastAsia"/>
              </w:rPr>
              <w:t> </w:t>
            </w:r>
          </w:p>
          <w:p w14:paraId="0E636EF2" w14:textId="59392F18" w:rsidR="00CC715B" w:rsidRPr="009D74A3" w:rsidRDefault="00CC715B" w:rsidP="009D74A3">
            <w:pPr>
              <w:pStyle w:val="paragraph"/>
              <w:spacing w:before="0" w:beforeAutospacing="0" w:after="0" w:afterAutospacing="0"/>
              <w:contextualSpacing/>
              <w:jc w:val="both"/>
              <w:textAlignment w:val="baseline"/>
              <w:outlineLvl w:val="2"/>
              <w:rPr>
                <w:rStyle w:val="normaltextrun"/>
                <w:rFonts w:ascii="Times New Roman" w:eastAsiaTheme="majorEastAsia" w:hAnsi="Times New Roman" w:cs="Times New Roman"/>
              </w:rPr>
            </w:pPr>
            <w:r w:rsidRPr="009D74A3">
              <w:rPr>
                <w:rStyle w:val="normaltextrun"/>
                <w:rFonts w:ascii="Times New Roman" w:eastAsiaTheme="majorEastAsia" w:hAnsi="Times New Roman" w:cs="Times New Roman"/>
              </w:rPr>
              <w:t xml:space="preserve">En los últimos 10 años, los ingresos tributarios han mostrado variaciones reales positivas, a excepción de los años 2020 y 2024; la dinámica de 2020 es explicada por los efectos de la disminución de la actividad económica y del consumo ocasionados por la pandemia de Covid-19, que derivó en la disminución del recaudo de diferentes impuestos como consecuencia de la contracción de las distintas bases gravables; asimismo, las medidas adoptadas por el gobierno distrital para ayudar a los contribuyentes y promover la reactivación económica. En el caso de 2024, la meta de recaudo se cumplió en un 98%, explicada por la buena dinámica del recaudo oportuno y </w:t>
            </w:r>
            <w:r w:rsidR="006148FF">
              <w:rPr>
                <w:rStyle w:val="normaltextrun"/>
                <w:rFonts w:ascii="Times New Roman" w:eastAsiaTheme="majorEastAsia" w:hAnsi="Times New Roman" w:cs="Times New Roman"/>
              </w:rPr>
              <w:t xml:space="preserve">por </w:t>
            </w:r>
            <w:r w:rsidRPr="009D74A3">
              <w:rPr>
                <w:rStyle w:val="normaltextrun"/>
                <w:rFonts w:ascii="Times New Roman" w:eastAsiaTheme="majorEastAsia" w:hAnsi="Times New Roman" w:cs="Times New Roman"/>
              </w:rPr>
              <w:t>la recuperación de cartera tributaria en la ciudad. No obstante, se registró una caída anual real de los ingresos, explicada principalmente por el ICA, que en 2023 registró un mayor recaudo frente a lo esperado (</w:t>
            </w:r>
            <w:r w:rsidRPr="009D74A3">
              <w:rPr>
                <w:rStyle w:val="normaltextrun"/>
                <w:rFonts w:ascii="Times New Roman" w:eastAsiaTheme="majorEastAsia" w:hAnsi="Times New Roman" w:cs="Times New Roman"/>
                <w:b/>
                <w:bCs/>
              </w:rPr>
              <w:t>Gráfico 19</w:t>
            </w:r>
            <w:r w:rsidRPr="009D74A3">
              <w:rPr>
                <w:rStyle w:val="normaltextrun"/>
                <w:rFonts w:ascii="Times New Roman" w:eastAsiaTheme="majorEastAsia" w:hAnsi="Times New Roman" w:cs="Times New Roman"/>
              </w:rPr>
              <w:t>).</w:t>
            </w:r>
          </w:p>
          <w:p w14:paraId="17A3FC3A" w14:textId="77777777" w:rsidR="00CC715B" w:rsidRPr="009D74A3" w:rsidRDefault="00CC715B" w:rsidP="009D74A3">
            <w:pPr>
              <w:pStyle w:val="paragraph"/>
              <w:spacing w:before="0" w:beforeAutospacing="0" w:after="0" w:afterAutospacing="0"/>
              <w:contextualSpacing/>
              <w:jc w:val="both"/>
              <w:textAlignment w:val="baseline"/>
              <w:outlineLvl w:val="2"/>
              <w:rPr>
                <w:sz w:val="18"/>
                <w:szCs w:val="18"/>
              </w:rPr>
            </w:pPr>
          </w:p>
          <w:p w14:paraId="09100D66" w14:textId="77777777" w:rsidR="00CC715B" w:rsidRPr="009D74A3" w:rsidRDefault="00CC715B" w:rsidP="009D74A3">
            <w:pPr>
              <w:pStyle w:val="paragraph"/>
              <w:spacing w:before="0" w:beforeAutospacing="0" w:after="0" w:afterAutospacing="0"/>
              <w:contextualSpacing/>
              <w:jc w:val="center"/>
              <w:textAlignment w:val="baseline"/>
              <w:outlineLvl w:val="2"/>
              <w:rPr>
                <w:rStyle w:val="normaltextrun"/>
                <w:rFonts w:ascii="Times New Roman" w:eastAsiaTheme="majorEastAsia" w:hAnsi="Times New Roman" w:cs="Times New Roman"/>
                <w:b/>
                <w:sz w:val="22"/>
                <w:szCs w:val="22"/>
              </w:rPr>
            </w:pPr>
            <w:r w:rsidRPr="009D74A3">
              <w:rPr>
                <w:rStyle w:val="normaltextrun"/>
                <w:rFonts w:ascii="Times New Roman" w:eastAsiaTheme="majorEastAsia" w:hAnsi="Times New Roman" w:cs="Times New Roman"/>
                <w:b/>
                <w:sz w:val="22"/>
                <w:szCs w:val="22"/>
              </w:rPr>
              <w:t>Gráfico 19.</w:t>
            </w:r>
          </w:p>
          <w:p w14:paraId="47DEAABE" w14:textId="77777777" w:rsidR="00CC715B" w:rsidRPr="009D74A3" w:rsidRDefault="00CC715B" w:rsidP="009D74A3">
            <w:pPr>
              <w:pStyle w:val="paragraph"/>
              <w:spacing w:before="0" w:beforeAutospacing="0" w:after="0" w:afterAutospacing="0"/>
              <w:contextualSpacing/>
              <w:jc w:val="center"/>
              <w:textAlignment w:val="baseline"/>
              <w:outlineLvl w:val="2"/>
              <w:rPr>
                <w:sz w:val="18"/>
                <w:szCs w:val="18"/>
              </w:rPr>
            </w:pPr>
            <w:r w:rsidRPr="009D74A3">
              <w:rPr>
                <w:rStyle w:val="normaltextrun"/>
                <w:rFonts w:ascii="Times New Roman" w:eastAsiaTheme="majorEastAsia" w:hAnsi="Times New Roman" w:cs="Times New Roman"/>
                <w:b/>
                <w:sz w:val="22"/>
                <w:szCs w:val="22"/>
              </w:rPr>
              <w:t xml:space="preserve"> Ingresos tributarios de la Administración Central </w:t>
            </w:r>
          </w:p>
          <w:p w14:paraId="444906B3" w14:textId="77777777" w:rsidR="00CC715B" w:rsidRPr="009D74A3" w:rsidRDefault="00CC715B" w:rsidP="009D74A3">
            <w:pPr>
              <w:pStyle w:val="paragraph"/>
              <w:spacing w:before="0" w:beforeAutospacing="0" w:after="0" w:afterAutospacing="0"/>
              <w:contextualSpacing/>
              <w:jc w:val="center"/>
              <w:textAlignment w:val="baseline"/>
              <w:outlineLvl w:val="2"/>
              <w:rPr>
                <w:bCs/>
                <w:i/>
                <w:iCs/>
                <w:sz w:val="18"/>
                <w:szCs w:val="18"/>
              </w:rPr>
            </w:pPr>
            <w:r w:rsidRPr="009D74A3">
              <w:rPr>
                <w:rStyle w:val="normaltextrun"/>
                <w:rFonts w:ascii="Times New Roman" w:eastAsiaTheme="majorEastAsia" w:hAnsi="Times New Roman" w:cs="Times New Roman"/>
                <w:bCs/>
                <w:i/>
                <w:iCs/>
                <w:sz w:val="22"/>
                <w:szCs w:val="22"/>
              </w:rPr>
              <w:t>Billones de pesos de 2024 y porcentaje</w:t>
            </w:r>
          </w:p>
          <w:p w14:paraId="4092EC66" w14:textId="77777777" w:rsidR="00CC715B" w:rsidRPr="009D74A3" w:rsidRDefault="00CC715B" w:rsidP="009D74A3">
            <w:pPr>
              <w:pStyle w:val="paragraph"/>
              <w:spacing w:before="0" w:beforeAutospacing="0" w:after="0" w:afterAutospacing="0"/>
              <w:contextualSpacing/>
              <w:jc w:val="center"/>
              <w:textAlignment w:val="baseline"/>
              <w:outlineLvl w:val="2"/>
              <w:rPr>
                <w:sz w:val="18"/>
                <w:szCs w:val="18"/>
              </w:rPr>
            </w:pPr>
            <w:r w:rsidRPr="009D74A3">
              <w:rPr>
                <w:rStyle w:val="wacimagecontainer"/>
                <w:rFonts w:eastAsiaTheme="majorEastAsia"/>
                <w:noProof/>
                <w:sz w:val="18"/>
                <w:szCs w:val="18"/>
              </w:rPr>
              <w:drawing>
                <wp:inline distT="0" distB="0" distL="0" distR="0" wp14:anchorId="447DAEDF" wp14:editId="24AA6C9E">
                  <wp:extent cx="5400675" cy="2247900"/>
                  <wp:effectExtent l="0" t="0" r="9525" b="0"/>
                  <wp:docPr id="1867539945" name="Imagen 25" descr="Gráfico 1, Elemento de gráf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ráfico 1, Elemento de gráfico"/>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675" cy="2247900"/>
                          </a:xfrm>
                          <a:prstGeom prst="rect">
                            <a:avLst/>
                          </a:prstGeom>
                          <a:noFill/>
                          <a:ln>
                            <a:noFill/>
                          </a:ln>
                        </pic:spPr>
                      </pic:pic>
                    </a:graphicData>
                  </a:graphic>
                </wp:inline>
              </w:drawing>
            </w:r>
          </w:p>
          <w:p w14:paraId="5F83EA0E" w14:textId="77777777" w:rsidR="00CC715B" w:rsidRPr="009D74A3" w:rsidRDefault="00CC715B" w:rsidP="009D74A3">
            <w:pPr>
              <w:pStyle w:val="paragraph"/>
              <w:spacing w:before="0" w:beforeAutospacing="0" w:after="0" w:afterAutospacing="0"/>
              <w:ind w:firstLine="918"/>
              <w:contextualSpacing/>
              <w:jc w:val="both"/>
              <w:textAlignment w:val="baseline"/>
              <w:outlineLvl w:val="2"/>
              <w:rPr>
                <w:rStyle w:val="eop"/>
                <w:rFonts w:eastAsiaTheme="majorEastAsia"/>
              </w:rPr>
            </w:pPr>
            <w:r w:rsidRPr="009D74A3">
              <w:rPr>
                <w:rStyle w:val="normaltextrun"/>
                <w:rFonts w:ascii="Times New Roman" w:eastAsiaTheme="majorEastAsia" w:hAnsi="Times New Roman" w:cs="Times New Roman"/>
                <w:b/>
                <w:bCs/>
                <w:sz w:val="20"/>
                <w:szCs w:val="20"/>
                <w:lang w:val="es-MX"/>
              </w:rPr>
              <w:t>Fuente:</w:t>
            </w:r>
            <w:r w:rsidRPr="009D74A3">
              <w:rPr>
                <w:rStyle w:val="normaltextrun"/>
                <w:rFonts w:ascii="Times New Roman" w:eastAsiaTheme="majorEastAsia" w:hAnsi="Times New Roman" w:cs="Times New Roman"/>
                <w:sz w:val="20"/>
                <w:szCs w:val="20"/>
                <w:lang w:val="es-MX"/>
              </w:rPr>
              <w:t xml:space="preserve"> Secretaría Distrital de Hacienda.</w:t>
            </w:r>
          </w:p>
          <w:p w14:paraId="62B71598" w14:textId="77777777" w:rsidR="00CC715B" w:rsidRPr="009D74A3" w:rsidRDefault="00CC715B" w:rsidP="009D74A3">
            <w:pPr>
              <w:pStyle w:val="paragraph"/>
              <w:spacing w:before="0" w:beforeAutospacing="0" w:after="0" w:afterAutospacing="0"/>
              <w:ind w:firstLine="918"/>
              <w:contextualSpacing/>
              <w:jc w:val="both"/>
              <w:textAlignment w:val="baseline"/>
              <w:outlineLvl w:val="2"/>
              <w:rPr>
                <w:rStyle w:val="eop"/>
                <w:rFonts w:eastAsiaTheme="majorEastAsia"/>
                <w:sz w:val="20"/>
                <w:szCs w:val="20"/>
              </w:rPr>
            </w:pPr>
          </w:p>
          <w:p w14:paraId="24C44163" w14:textId="4BC9D096" w:rsidR="00CC715B" w:rsidRPr="009D74A3" w:rsidRDefault="00B46DA3" w:rsidP="009D74A3">
            <w:pPr>
              <w:pStyle w:val="paragraph"/>
              <w:spacing w:before="0" w:beforeAutospacing="0" w:after="0" w:afterAutospacing="0"/>
              <w:contextualSpacing/>
              <w:jc w:val="both"/>
              <w:textAlignment w:val="baseline"/>
              <w:outlineLvl w:val="2"/>
            </w:pPr>
            <w:r w:rsidRPr="00B46DA3">
              <w:t xml:space="preserve">Tal como se estableció previamente, la Administración Distrital ha implementado </w:t>
            </w:r>
            <w:r w:rsidR="0087325C" w:rsidRPr="009D74A3">
              <w:t>como una de sus principales estrategias</w:t>
            </w:r>
            <w:r w:rsidRPr="00B46DA3">
              <w:t xml:space="preserve"> para el incremento de sus ingresos la recuperación de la cartera tributaria y no tributaria. El análisis de la cartera tributaria revela un crecimiento real del 77,8% entre 2019 y 2023, equivalente a $5,8 billones constantes de 2024. Durante 2024, la cartera tributaria del Distrito se situó en $12,2 billones constantes, registrando una disminución real del 8,1% ($1,1 billones), lo cual representa la primera reducción anual observada en el quinquenio analizado. Estos resultados evidencian los esfuerzos sistemáticos de la Administración Distrital en la gestión de cartera como instrumento de optimización de ingresos</w:t>
            </w:r>
            <w:r w:rsidRPr="009D74A3">
              <w:t xml:space="preserve"> </w:t>
            </w:r>
            <w:r w:rsidR="00CC715B" w:rsidRPr="009D74A3">
              <w:t>(</w:t>
            </w:r>
            <w:r w:rsidR="00CC715B" w:rsidRPr="009D74A3">
              <w:rPr>
                <w:b/>
              </w:rPr>
              <w:t xml:space="preserve">Gráfico </w:t>
            </w:r>
            <w:r w:rsidR="00CC715B" w:rsidRPr="009D74A3">
              <w:rPr>
                <w:b/>
                <w:bCs/>
              </w:rPr>
              <w:t>20</w:t>
            </w:r>
            <w:r w:rsidR="00CC715B" w:rsidRPr="009D74A3">
              <w:t>).</w:t>
            </w:r>
          </w:p>
          <w:p w14:paraId="180D2C4A" w14:textId="77777777" w:rsidR="00CC715B" w:rsidRDefault="00CC715B" w:rsidP="009D74A3">
            <w:pPr>
              <w:pStyle w:val="paragraph"/>
              <w:spacing w:before="0" w:beforeAutospacing="0" w:after="0" w:afterAutospacing="0"/>
              <w:contextualSpacing/>
              <w:jc w:val="center"/>
              <w:textAlignment w:val="baseline"/>
              <w:outlineLvl w:val="2"/>
              <w:rPr>
                <w:rStyle w:val="normaltextrun"/>
                <w:rFonts w:ascii="Times New Roman" w:eastAsiaTheme="majorEastAsia" w:hAnsi="Times New Roman" w:cs="Times New Roman"/>
                <w:b/>
                <w:sz w:val="22"/>
                <w:szCs w:val="22"/>
              </w:rPr>
            </w:pPr>
          </w:p>
          <w:p w14:paraId="361D33C7" w14:textId="77777777" w:rsidR="00BD3830" w:rsidRDefault="00BD3830" w:rsidP="009D74A3">
            <w:pPr>
              <w:pStyle w:val="paragraph"/>
              <w:spacing w:before="0" w:beforeAutospacing="0" w:after="0" w:afterAutospacing="0"/>
              <w:contextualSpacing/>
              <w:jc w:val="center"/>
              <w:textAlignment w:val="baseline"/>
              <w:outlineLvl w:val="2"/>
              <w:rPr>
                <w:rStyle w:val="normaltextrun"/>
                <w:rFonts w:ascii="Times New Roman" w:eastAsiaTheme="majorEastAsia" w:hAnsi="Times New Roman" w:cs="Times New Roman"/>
                <w:b/>
                <w:sz w:val="22"/>
                <w:szCs w:val="22"/>
              </w:rPr>
            </w:pPr>
          </w:p>
          <w:p w14:paraId="482D12FD" w14:textId="77777777" w:rsidR="00BD3830" w:rsidRDefault="00BD3830" w:rsidP="00DB5604">
            <w:pPr>
              <w:pStyle w:val="paragraph"/>
              <w:spacing w:before="0" w:beforeAutospacing="0" w:after="0" w:afterAutospacing="0"/>
              <w:contextualSpacing/>
              <w:textAlignment w:val="baseline"/>
              <w:outlineLvl w:val="2"/>
              <w:rPr>
                <w:rStyle w:val="normaltextrun"/>
                <w:rFonts w:ascii="Times New Roman" w:eastAsiaTheme="majorEastAsia" w:hAnsi="Times New Roman" w:cs="Times New Roman"/>
                <w:b/>
                <w:sz w:val="22"/>
                <w:szCs w:val="22"/>
              </w:rPr>
            </w:pPr>
          </w:p>
          <w:p w14:paraId="24796EAA" w14:textId="77777777" w:rsidR="00BD3830" w:rsidRPr="009D74A3" w:rsidRDefault="00BD3830" w:rsidP="009D74A3">
            <w:pPr>
              <w:pStyle w:val="paragraph"/>
              <w:spacing w:before="0" w:beforeAutospacing="0" w:after="0" w:afterAutospacing="0"/>
              <w:contextualSpacing/>
              <w:jc w:val="center"/>
              <w:textAlignment w:val="baseline"/>
              <w:outlineLvl w:val="2"/>
              <w:rPr>
                <w:rStyle w:val="normaltextrun"/>
                <w:rFonts w:ascii="Times New Roman" w:eastAsiaTheme="majorEastAsia" w:hAnsi="Times New Roman" w:cs="Times New Roman"/>
                <w:b/>
                <w:sz w:val="22"/>
                <w:szCs w:val="22"/>
              </w:rPr>
            </w:pPr>
          </w:p>
          <w:p w14:paraId="4C68C4A3" w14:textId="77777777" w:rsidR="00CC715B" w:rsidRPr="009D74A3" w:rsidRDefault="00CC715B" w:rsidP="009D74A3">
            <w:pPr>
              <w:pStyle w:val="paragraph"/>
              <w:spacing w:before="0" w:beforeAutospacing="0" w:after="0" w:afterAutospacing="0"/>
              <w:contextualSpacing/>
              <w:jc w:val="center"/>
              <w:textAlignment w:val="baseline"/>
              <w:outlineLvl w:val="2"/>
              <w:rPr>
                <w:rStyle w:val="normaltextrun"/>
                <w:rFonts w:ascii="Times New Roman" w:eastAsiaTheme="majorEastAsia" w:hAnsi="Times New Roman" w:cs="Times New Roman"/>
                <w:b/>
                <w:sz w:val="22"/>
                <w:szCs w:val="22"/>
              </w:rPr>
            </w:pPr>
            <w:r w:rsidRPr="009D74A3">
              <w:rPr>
                <w:rStyle w:val="normaltextrun"/>
                <w:rFonts w:ascii="Times New Roman" w:eastAsiaTheme="majorEastAsia" w:hAnsi="Times New Roman" w:cs="Times New Roman"/>
                <w:b/>
                <w:sz w:val="22"/>
                <w:szCs w:val="22"/>
              </w:rPr>
              <w:t>Gráfico 20.</w:t>
            </w:r>
          </w:p>
          <w:p w14:paraId="6A4C6C11" w14:textId="77777777" w:rsidR="00CC715B" w:rsidRPr="009D74A3" w:rsidRDefault="00CC715B" w:rsidP="009D74A3">
            <w:pPr>
              <w:pStyle w:val="paragraph"/>
              <w:spacing w:before="0" w:beforeAutospacing="0" w:after="0" w:afterAutospacing="0"/>
              <w:contextualSpacing/>
              <w:jc w:val="center"/>
              <w:textAlignment w:val="baseline"/>
              <w:outlineLvl w:val="2"/>
              <w:rPr>
                <w:sz w:val="18"/>
                <w:szCs w:val="18"/>
              </w:rPr>
            </w:pPr>
            <w:r w:rsidRPr="009D74A3">
              <w:rPr>
                <w:rStyle w:val="normaltextrun"/>
                <w:rFonts w:ascii="Times New Roman" w:eastAsiaTheme="majorEastAsia" w:hAnsi="Times New Roman" w:cs="Times New Roman"/>
                <w:b/>
                <w:sz w:val="22"/>
                <w:szCs w:val="22"/>
              </w:rPr>
              <w:t xml:space="preserve"> Cartera tributaria del Distrito</w:t>
            </w:r>
          </w:p>
          <w:p w14:paraId="10DAB3A0" w14:textId="77777777" w:rsidR="00CC715B" w:rsidRPr="009D74A3" w:rsidRDefault="00CC715B" w:rsidP="009D74A3">
            <w:pPr>
              <w:pStyle w:val="paragraph"/>
              <w:spacing w:before="0" w:beforeAutospacing="0" w:after="0" w:afterAutospacing="0"/>
              <w:contextualSpacing/>
              <w:jc w:val="center"/>
              <w:textAlignment w:val="baseline"/>
              <w:outlineLvl w:val="2"/>
              <w:rPr>
                <w:bCs/>
                <w:i/>
                <w:iCs/>
                <w:sz w:val="18"/>
                <w:szCs w:val="18"/>
              </w:rPr>
            </w:pPr>
            <w:r w:rsidRPr="009D74A3">
              <w:rPr>
                <w:rStyle w:val="normaltextrun"/>
                <w:rFonts w:ascii="Times New Roman" w:eastAsiaTheme="majorEastAsia" w:hAnsi="Times New Roman" w:cs="Times New Roman"/>
                <w:bCs/>
                <w:i/>
                <w:iCs/>
                <w:sz w:val="22"/>
                <w:szCs w:val="22"/>
              </w:rPr>
              <w:t>Billones de pesos de 2024 y porcentaje</w:t>
            </w:r>
          </w:p>
          <w:p w14:paraId="3129C6BC" w14:textId="77777777" w:rsidR="00CC715B" w:rsidRPr="009D74A3" w:rsidRDefault="00CC715B" w:rsidP="009D74A3">
            <w:pPr>
              <w:pStyle w:val="paragraph"/>
              <w:spacing w:before="0" w:beforeAutospacing="0" w:after="0" w:afterAutospacing="0"/>
              <w:contextualSpacing/>
              <w:jc w:val="center"/>
              <w:textAlignment w:val="baseline"/>
              <w:outlineLvl w:val="2"/>
              <w:rPr>
                <w:sz w:val="16"/>
                <w:szCs w:val="16"/>
              </w:rPr>
            </w:pPr>
            <w:r w:rsidRPr="009D74A3">
              <w:rPr>
                <w:noProof/>
                <w:sz w:val="16"/>
                <w:szCs w:val="16"/>
              </w:rPr>
              <w:drawing>
                <wp:inline distT="0" distB="0" distL="0" distR="0" wp14:anchorId="3915A771" wp14:editId="22141F74">
                  <wp:extent cx="5578475" cy="1916264"/>
                  <wp:effectExtent l="0" t="0" r="0" b="0"/>
                  <wp:docPr id="91099169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88725" cy="1919785"/>
                          </a:xfrm>
                          <a:prstGeom prst="rect">
                            <a:avLst/>
                          </a:prstGeom>
                          <a:noFill/>
                        </pic:spPr>
                      </pic:pic>
                    </a:graphicData>
                  </a:graphic>
                </wp:inline>
              </w:drawing>
            </w:r>
          </w:p>
          <w:p w14:paraId="2AB9EA52" w14:textId="77777777" w:rsidR="00CC715B" w:rsidRPr="009D74A3" w:rsidRDefault="00CC715B" w:rsidP="009D74A3">
            <w:pPr>
              <w:pStyle w:val="paragraph"/>
              <w:spacing w:before="0" w:beforeAutospacing="0" w:after="0" w:afterAutospacing="0"/>
              <w:ind w:firstLine="918"/>
              <w:contextualSpacing/>
              <w:jc w:val="both"/>
              <w:textAlignment w:val="baseline"/>
              <w:outlineLvl w:val="2"/>
              <w:rPr>
                <w:sz w:val="16"/>
                <w:szCs w:val="16"/>
              </w:rPr>
            </w:pPr>
            <w:r w:rsidRPr="009D74A3">
              <w:rPr>
                <w:rStyle w:val="normaltextrun"/>
                <w:rFonts w:ascii="Times New Roman" w:eastAsiaTheme="majorEastAsia" w:hAnsi="Times New Roman" w:cs="Times New Roman"/>
                <w:b/>
                <w:bCs/>
                <w:sz w:val="20"/>
                <w:szCs w:val="20"/>
                <w:lang w:val="es-MX"/>
              </w:rPr>
              <w:t>Fuente:</w:t>
            </w:r>
            <w:r w:rsidRPr="009D74A3">
              <w:rPr>
                <w:rStyle w:val="normaltextrun"/>
                <w:rFonts w:ascii="Times New Roman" w:eastAsiaTheme="majorEastAsia" w:hAnsi="Times New Roman" w:cs="Times New Roman"/>
                <w:sz w:val="20"/>
                <w:szCs w:val="20"/>
                <w:lang w:val="es-MX"/>
              </w:rPr>
              <w:t xml:space="preserve"> Secretaría Distrital de Hacienda</w:t>
            </w:r>
            <w:r w:rsidRPr="009D74A3">
              <w:rPr>
                <w:rStyle w:val="eop"/>
                <w:rFonts w:eastAsiaTheme="majorEastAsia"/>
                <w:sz w:val="20"/>
                <w:szCs w:val="20"/>
              </w:rPr>
              <w:t> </w:t>
            </w:r>
          </w:p>
          <w:p w14:paraId="395F2554" w14:textId="77777777" w:rsidR="00CC715B" w:rsidRPr="009D74A3" w:rsidRDefault="00CC715B" w:rsidP="009D74A3">
            <w:pPr>
              <w:contextualSpacing/>
              <w:outlineLvl w:val="2"/>
              <w:rPr>
                <w:rFonts w:ascii="Times New Roman" w:hAnsi="Times New Roman" w:cs="Times New Roman"/>
              </w:rPr>
            </w:pPr>
          </w:p>
          <w:p w14:paraId="1227E3AE" w14:textId="3A97AD88" w:rsidR="00CC715B" w:rsidRPr="009D74A3" w:rsidRDefault="00CC715B" w:rsidP="009D74A3">
            <w:pPr>
              <w:pStyle w:val="paragraph"/>
              <w:spacing w:before="0" w:beforeAutospacing="0" w:after="0" w:afterAutospacing="0"/>
              <w:contextualSpacing/>
              <w:jc w:val="both"/>
              <w:textAlignment w:val="baseline"/>
              <w:outlineLvl w:val="2"/>
              <w:rPr>
                <w:rFonts w:eastAsiaTheme="minorHAnsi"/>
                <w:lang w:eastAsia="en-US"/>
              </w:rPr>
            </w:pPr>
            <w:r w:rsidRPr="009D74A3">
              <w:rPr>
                <w:rFonts w:eastAsiaTheme="minorHAnsi"/>
                <w:lang w:eastAsia="en-US"/>
              </w:rPr>
              <w:t xml:space="preserve">La disminución de la cartera en 2024 descrita anteriormente, es explicada </w:t>
            </w:r>
            <w:r w:rsidR="00D948FB">
              <w:rPr>
                <w:rFonts w:eastAsiaTheme="minorHAnsi"/>
                <w:lang w:eastAsia="en-US"/>
              </w:rPr>
              <w:t>en buena medida por el incremento en el recaudo. E</w:t>
            </w:r>
            <w:r w:rsidR="0044203F">
              <w:rPr>
                <w:rFonts w:eastAsiaTheme="minorHAnsi"/>
                <w:lang w:eastAsia="en-US"/>
              </w:rPr>
              <w:t xml:space="preserve">n el año </w:t>
            </w:r>
            <w:r w:rsidRPr="009D74A3">
              <w:rPr>
                <w:rFonts w:eastAsiaTheme="minorHAnsi"/>
                <w:lang w:eastAsia="en-US"/>
              </w:rPr>
              <w:t xml:space="preserve">2024 se </w:t>
            </w:r>
            <w:r w:rsidR="007A6F69">
              <w:rPr>
                <w:rFonts w:eastAsiaTheme="minorHAnsi"/>
                <w:lang w:eastAsia="en-US"/>
              </w:rPr>
              <w:t>recaudaron</w:t>
            </w:r>
            <w:r w:rsidRPr="009D74A3">
              <w:rPr>
                <w:rFonts w:eastAsiaTheme="minorHAnsi"/>
                <w:lang w:eastAsia="en-US"/>
              </w:rPr>
              <w:t xml:space="preserve"> $1,5 billones, </w:t>
            </w:r>
            <w:r w:rsidR="00D948FB">
              <w:rPr>
                <w:rFonts w:eastAsiaTheme="minorHAnsi"/>
                <w:lang w:eastAsia="en-US"/>
              </w:rPr>
              <w:t xml:space="preserve">lo que significa </w:t>
            </w:r>
            <w:r w:rsidRPr="009D74A3">
              <w:rPr>
                <w:rFonts w:eastAsiaTheme="minorHAnsi"/>
                <w:lang w:eastAsia="en-US"/>
              </w:rPr>
              <w:t>un crecimiento real del 39,1% frente a la recuperada el año anterior ($1,1 billones), y la más alta que se ha observado hasta el momento (</w:t>
            </w:r>
            <w:r w:rsidRPr="009D74A3">
              <w:rPr>
                <w:rFonts w:eastAsiaTheme="minorHAnsi"/>
                <w:b/>
                <w:bCs/>
                <w:lang w:eastAsia="en-US"/>
              </w:rPr>
              <w:t>Gráfico 21</w:t>
            </w:r>
            <w:r w:rsidRPr="009D74A3">
              <w:rPr>
                <w:rFonts w:eastAsiaTheme="minorHAnsi"/>
                <w:lang w:eastAsia="en-US"/>
              </w:rPr>
              <w:t xml:space="preserve">). </w:t>
            </w:r>
          </w:p>
          <w:p w14:paraId="1F564DB9" w14:textId="77777777" w:rsidR="00CC715B" w:rsidRPr="009D74A3" w:rsidRDefault="00CC715B" w:rsidP="009D74A3">
            <w:pPr>
              <w:pStyle w:val="paragraph"/>
              <w:spacing w:before="0" w:beforeAutospacing="0" w:after="0" w:afterAutospacing="0"/>
              <w:contextualSpacing/>
              <w:jc w:val="both"/>
              <w:textAlignment w:val="baseline"/>
              <w:outlineLvl w:val="2"/>
              <w:rPr>
                <w:rFonts w:eastAsiaTheme="minorHAnsi"/>
                <w:lang w:eastAsia="en-US"/>
              </w:rPr>
            </w:pPr>
          </w:p>
          <w:p w14:paraId="4CF07EEF" w14:textId="77777777" w:rsidR="00CC715B" w:rsidRPr="009D74A3" w:rsidRDefault="00CC715B" w:rsidP="009D74A3">
            <w:pPr>
              <w:pStyle w:val="paragraph"/>
              <w:spacing w:before="0" w:beforeAutospacing="0" w:after="0" w:afterAutospacing="0"/>
              <w:contextualSpacing/>
              <w:jc w:val="center"/>
              <w:textAlignment w:val="baseline"/>
              <w:outlineLvl w:val="2"/>
              <w:rPr>
                <w:rStyle w:val="normaltextrun"/>
                <w:rFonts w:ascii="Times New Roman" w:eastAsiaTheme="majorEastAsia" w:hAnsi="Times New Roman" w:cs="Times New Roman"/>
                <w:b/>
                <w:sz w:val="22"/>
                <w:szCs w:val="22"/>
              </w:rPr>
            </w:pPr>
            <w:r w:rsidRPr="009D74A3">
              <w:rPr>
                <w:rStyle w:val="normaltextrun"/>
                <w:rFonts w:ascii="Times New Roman" w:eastAsiaTheme="majorEastAsia" w:hAnsi="Times New Roman" w:cs="Times New Roman"/>
                <w:b/>
                <w:sz w:val="22"/>
                <w:szCs w:val="22"/>
              </w:rPr>
              <w:t>Gráfico 21.</w:t>
            </w:r>
          </w:p>
          <w:p w14:paraId="414270AA" w14:textId="77777777" w:rsidR="00CC715B" w:rsidRPr="009D74A3" w:rsidRDefault="00CC715B" w:rsidP="009D74A3">
            <w:pPr>
              <w:pStyle w:val="paragraph"/>
              <w:spacing w:before="0" w:beforeAutospacing="0" w:after="0" w:afterAutospacing="0"/>
              <w:contextualSpacing/>
              <w:jc w:val="center"/>
              <w:textAlignment w:val="baseline"/>
              <w:outlineLvl w:val="2"/>
              <w:rPr>
                <w:sz w:val="18"/>
                <w:szCs w:val="18"/>
              </w:rPr>
            </w:pPr>
            <w:r w:rsidRPr="009D74A3">
              <w:rPr>
                <w:rStyle w:val="normaltextrun"/>
                <w:rFonts w:ascii="Times New Roman" w:eastAsiaTheme="majorEastAsia" w:hAnsi="Times New Roman" w:cs="Times New Roman"/>
                <w:b/>
                <w:sz w:val="22"/>
                <w:szCs w:val="22"/>
              </w:rPr>
              <w:t xml:space="preserve"> Recuperación de la cartera tributaria del Distrito</w:t>
            </w:r>
          </w:p>
          <w:p w14:paraId="2CE8FB6E" w14:textId="77777777" w:rsidR="00CC715B" w:rsidRPr="009D74A3" w:rsidRDefault="00CC715B" w:rsidP="009D74A3">
            <w:pPr>
              <w:pStyle w:val="paragraph"/>
              <w:spacing w:before="0" w:beforeAutospacing="0" w:after="0" w:afterAutospacing="0"/>
              <w:contextualSpacing/>
              <w:jc w:val="center"/>
              <w:textAlignment w:val="baseline"/>
              <w:outlineLvl w:val="2"/>
              <w:rPr>
                <w:bCs/>
                <w:i/>
                <w:iCs/>
                <w:sz w:val="18"/>
                <w:szCs w:val="18"/>
              </w:rPr>
            </w:pPr>
            <w:r w:rsidRPr="009D74A3">
              <w:rPr>
                <w:rStyle w:val="normaltextrun"/>
                <w:rFonts w:ascii="Times New Roman" w:eastAsiaTheme="majorEastAsia" w:hAnsi="Times New Roman" w:cs="Times New Roman"/>
                <w:bCs/>
                <w:i/>
                <w:iCs/>
                <w:sz w:val="22"/>
                <w:szCs w:val="22"/>
              </w:rPr>
              <w:t>Miles de millones de pesos de 2024 y porcentaje</w:t>
            </w:r>
          </w:p>
          <w:p w14:paraId="0102845B" w14:textId="77777777" w:rsidR="00CC715B" w:rsidRPr="009D74A3" w:rsidRDefault="00CC715B" w:rsidP="009D74A3">
            <w:pPr>
              <w:pStyle w:val="paragraph"/>
              <w:spacing w:before="0" w:beforeAutospacing="0" w:after="0" w:afterAutospacing="0"/>
              <w:contextualSpacing/>
              <w:jc w:val="center"/>
              <w:textAlignment w:val="baseline"/>
              <w:outlineLvl w:val="2"/>
              <w:rPr>
                <w:sz w:val="16"/>
                <w:szCs w:val="16"/>
              </w:rPr>
            </w:pPr>
            <w:r w:rsidRPr="009D74A3">
              <w:rPr>
                <w:noProof/>
                <w:sz w:val="16"/>
                <w:szCs w:val="16"/>
              </w:rPr>
              <w:drawing>
                <wp:inline distT="0" distB="0" distL="0" distR="0" wp14:anchorId="44866B55" wp14:editId="73D07890">
                  <wp:extent cx="5578475" cy="2362200"/>
                  <wp:effectExtent l="0" t="0" r="0" b="0"/>
                  <wp:docPr id="712593540"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578475" cy="2362200"/>
                          </a:xfrm>
                          <a:prstGeom prst="rect">
                            <a:avLst/>
                          </a:prstGeom>
                          <a:noFill/>
                        </pic:spPr>
                      </pic:pic>
                    </a:graphicData>
                  </a:graphic>
                </wp:inline>
              </w:drawing>
            </w:r>
          </w:p>
          <w:p w14:paraId="589C3EEB" w14:textId="1FC0CB9A" w:rsidR="00CC715B" w:rsidRPr="009D74A3" w:rsidRDefault="00CC715B" w:rsidP="009D74A3">
            <w:pPr>
              <w:pStyle w:val="paragraph"/>
              <w:spacing w:before="0" w:beforeAutospacing="0" w:after="0" w:afterAutospacing="0"/>
              <w:ind w:firstLine="776"/>
              <w:contextualSpacing/>
              <w:jc w:val="both"/>
              <w:textAlignment w:val="baseline"/>
              <w:outlineLvl w:val="2"/>
              <w:rPr>
                <w:rStyle w:val="eop"/>
                <w:rFonts w:eastAsiaTheme="majorEastAsia"/>
                <w:sz w:val="20"/>
                <w:szCs w:val="20"/>
              </w:rPr>
            </w:pPr>
            <w:r w:rsidRPr="009D74A3">
              <w:rPr>
                <w:rStyle w:val="normaltextrun"/>
                <w:rFonts w:ascii="Times New Roman" w:eastAsiaTheme="majorEastAsia" w:hAnsi="Times New Roman" w:cs="Times New Roman"/>
                <w:b/>
                <w:bCs/>
                <w:sz w:val="20"/>
                <w:szCs w:val="20"/>
                <w:lang w:val="es-MX"/>
              </w:rPr>
              <w:t>Fuente:</w:t>
            </w:r>
            <w:r w:rsidRPr="009D74A3">
              <w:rPr>
                <w:rStyle w:val="normaltextrun"/>
                <w:rFonts w:ascii="Times New Roman" w:eastAsiaTheme="majorEastAsia" w:hAnsi="Times New Roman" w:cs="Times New Roman"/>
                <w:sz w:val="20"/>
                <w:szCs w:val="20"/>
                <w:lang w:val="es-MX"/>
              </w:rPr>
              <w:t xml:space="preserve"> Secretaría Distrital de Hacienda</w:t>
            </w:r>
            <w:r w:rsidRPr="009D74A3">
              <w:rPr>
                <w:rStyle w:val="eop"/>
                <w:rFonts w:eastAsiaTheme="majorEastAsia"/>
                <w:sz w:val="20"/>
                <w:szCs w:val="20"/>
              </w:rPr>
              <w:t> </w:t>
            </w:r>
          </w:p>
          <w:p w14:paraId="424F8782" w14:textId="77777777" w:rsidR="005B4D07" w:rsidRPr="009D74A3" w:rsidRDefault="005B4D07" w:rsidP="009D74A3">
            <w:pPr>
              <w:pStyle w:val="paragraph"/>
              <w:spacing w:before="0" w:beforeAutospacing="0" w:after="0" w:afterAutospacing="0"/>
              <w:ind w:firstLine="776"/>
              <w:contextualSpacing/>
              <w:jc w:val="both"/>
              <w:textAlignment w:val="baseline"/>
              <w:outlineLvl w:val="2"/>
              <w:rPr>
                <w:sz w:val="16"/>
                <w:szCs w:val="16"/>
              </w:rPr>
            </w:pPr>
          </w:p>
          <w:p w14:paraId="502725DA" w14:textId="77777777" w:rsidR="00CC715B" w:rsidRPr="009D74A3" w:rsidRDefault="00CC715B">
            <w:pPr>
              <w:pStyle w:val="Ttulo2"/>
              <w:numPr>
                <w:ilvl w:val="1"/>
                <w:numId w:val="6"/>
              </w:numPr>
              <w:spacing w:before="0"/>
              <w:contextualSpacing/>
              <w:outlineLvl w:val="1"/>
              <w:rPr>
                <w:rFonts w:ascii="Times New Roman" w:hAnsi="Times New Roman" w:cs="Times New Roman"/>
                <w:b/>
                <w:sz w:val="24"/>
                <w:szCs w:val="24"/>
              </w:rPr>
            </w:pPr>
            <w:r w:rsidRPr="009D74A3">
              <w:rPr>
                <w:rFonts w:ascii="Times New Roman" w:hAnsi="Times New Roman" w:cs="Times New Roman"/>
                <w:b/>
                <w:sz w:val="24"/>
                <w:szCs w:val="24"/>
              </w:rPr>
              <w:t>Presión fiscal</w:t>
            </w:r>
          </w:p>
          <w:p w14:paraId="08E3F524" w14:textId="77777777" w:rsidR="00CC715B" w:rsidRPr="009D74A3" w:rsidRDefault="00CC715B" w:rsidP="009D74A3">
            <w:pPr>
              <w:outlineLvl w:val="2"/>
              <w:rPr>
                <w:rFonts w:ascii="Times New Roman" w:hAnsi="Times New Roman" w:cs="Times New Roman"/>
              </w:rPr>
            </w:pPr>
          </w:p>
          <w:p w14:paraId="2C400A7F" w14:textId="77777777" w:rsidR="00CC715B" w:rsidRPr="009D74A3" w:rsidRDefault="00CC715B" w:rsidP="009D74A3">
            <w:pPr>
              <w:contextualSpacing/>
              <w:jc w:val="both"/>
              <w:outlineLvl w:val="2"/>
              <w:rPr>
                <w:rFonts w:ascii="Times New Roman" w:hAnsi="Times New Roman" w:cs="Times New Roman"/>
                <w:sz w:val="24"/>
                <w:szCs w:val="24"/>
              </w:rPr>
            </w:pPr>
            <w:r w:rsidRPr="009D74A3">
              <w:rPr>
                <w:rFonts w:ascii="Times New Roman" w:hAnsi="Times New Roman" w:cs="Times New Roman"/>
                <w:sz w:val="24"/>
                <w:szCs w:val="24"/>
              </w:rPr>
              <w:t xml:space="preserve">Dada la naturaleza descentralizada del país y la asignación de diferentes funciones a los niveles subnacionales de gobierno, acorde con las potestades en el recaudo de ingresos, los ciudadanos de cada jurisdicción deben contribuir fiscalmente con la financiación a todos los niveles de gobierno. En este sentido, la carga tributaria está generada por diferentes niveles de la administración. </w:t>
            </w:r>
          </w:p>
          <w:p w14:paraId="2FDF6841" w14:textId="77777777" w:rsidR="00CC715B" w:rsidRPr="009D74A3" w:rsidRDefault="00CC715B" w:rsidP="009D74A3">
            <w:pPr>
              <w:contextualSpacing/>
              <w:jc w:val="both"/>
              <w:outlineLvl w:val="2"/>
              <w:rPr>
                <w:rFonts w:ascii="Times New Roman" w:hAnsi="Times New Roman" w:cs="Times New Roman"/>
                <w:sz w:val="24"/>
                <w:szCs w:val="24"/>
              </w:rPr>
            </w:pPr>
          </w:p>
          <w:p w14:paraId="28AF4F58" w14:textId="6DF88E5C" w:rsidR="00CC715B" w:rsidRPr="00740130" w:rsidRDefault="00CC715B" w:rsidP="009D74A3">
            <w:pPr>
              <w:contextualSpacing/>
              <w:jc w:val="both"/>
              <w:outlineLvl w:val="2"/>
              <w:rPr>
                <w:rFonts w:ascii="Times New Roman" w:hAnsi="Times New Roman" w:cs="Times New Roman"/>
                <w:vanish/>
                <w:sz w:val="24"/>
                <w:szCs w:val="24"/>
                <w:specVanish/>
              </w:rPr>
            </w:pPr>
            <w:r w:rsidRPr="009D74A3">
              <w:rPr>
                <w:rFonts w:ascii="Times New Roman" w:hAnsi="Times New Roman" w:cs="Times New Roman"/>
                <w:sz w:val="24"/>
                <w:szCs w:val="24"/>
              </w:rPr>
              <w:t>Un indicador utilizado para analizar este aspecto de las relaciones fiscales intergubernamentales es la presión tributaria. Este indicador se define como la relación entre los ingresos tributarios y el Producto Interno Bruto (</w:t>
            </w:r>
            <w:r w:rsidRPr="007F3701">
              <w:rPr>
                <w:rFonts w:ascii="Times New Roman" w:hAnsi="Times New Roman" w:cs="Times New Roman"/>
                <w:sz w:val="24"/>
                <w:szCs w:val="24"/>
              </w:rPr>
              <w:t>PIB)</w:t>
            </w:r>
            <w:r w:rsidR="00B52BD5" w:rsidRPr="007F3701">
              <w:rPr>
                <w:rFonts w:ascii="Times New Roman" w:hAnsi="Times New Roman" w:cs="Times New Roman"/>
                <w:sz w:val="24"/>
                <w:szCs w:val="24"/>
              </w:rPr>
              <w:t>,</w:t>
            </w:r>
            <w:r w:rsidR="00CE675B" w:rsidRPr="00740130">
              <w:rPr>
                <w:rFonts w:ascii="Times New Roman" w:hAnsi="Times New Roman" w:cs="Times New Roman"/>
                <w:sz w:val="24"/>
                <w:szCs w:val="24"/>
              </w:rPr>
              <w:t xml:space="preserve"> la cual depende de factores económicos y estructurales, al igual que influye la capacidad de la administración tributaria, y la cultura tributaria (la predisposición de las personas a pagar impuestos). Igualmente, dicha proporción también refleja las opciones políticas acerca del papel que desempeña el gobierno y su tamaño, y su capacidad de inversión en diferentes sectores como educación, salud, infraestructura, entre otros</w:t>
            </w:r>
            <w:r w:rsidR="00D16D2F" w:rsidRPr="00740130">
              <w:rPr>
                <w:rStyle w:val="Refdenotaalpie"/>
                <w:rFonts w:ascii="Times New Roman" w:hAnsi="Times New Roman" w:cs="Times New Roman"/>
                <w:sz w:val="24"/>
                <w:szCs w:val="24"/>
              </w:rPr>
              <w:footnoteReference w:id="16"/>
            </w:r>
            <w:r w:rsidRPr="007F3701">
              <w:rPr>
                <w:rFonts w:ascii="Times New Roman" w:hAnsi="Times New Roman" w:cs="Times New Roman"/>
                <w:sz w:val="24"/>
                <w:szCs w:val="24"/>
              </w:rPr>
              <w:t>.</w:t>
            </w:r>
            <w:r w:rsidRPr="009D74A3">
              <w:rPr>
                <w:rFonts w:ascii="Times New Roman" w:hAnsi="Times New Roman" w:cs="Times New Roman"/>
                <w:sz w:val="24"/>
                <w:szCs w:val="24"/>
              </w:rPr>
              <w:t xml:space="preserve"> Tomando en cuenta lo anterior, es posible estimar dicho indicador tributario dependiendo el nivel de gobierno que lo recaude. El cálculo del indicador se obtiene como la relación de los ingresos tributarios con el valor agregado de cada ciudad.  </w:t>
            </w:r>
          </w:p>
          <w:p w14:paraId="6883B29E" w14:textId="183317A4" w:rsidR="00CC715B" w:rsidRPr="00740130" w:rsidRDefault="00F65BEC" w:rsidP="009D74A3">
            <w:pPr>
              <w:contextualSpacing/>
              <w:jc w:val="both"/>
              <w:outlineLvl w:val="2"/>
              <w:rPr>
                <w:rFonts w:ascii="Times New Roman" w:hAnsi="Times New Roman" w:cs="Times New Roman"/>
                <w:vanish/>
                <w:sz w:val="24"/>
                <w:szCs w:val="24"/>
                <w:specVanish/>
              </w:rPr>
            </w:pPr>
            <w:r>
              <w:rPr>
                <w:rFonts w:ascii="Times New Roman" w:hAnsi="Times New Roman" w:cs="Times New Roman"/>
                <w:sz w:val="24"/>
                <w:szCs w:val="24"/>
              </w:rPr>
              <w:t xml:space="preserve"> </w:t>
            </w:r>
          </w:p>
          <w:p w14:paraId="1F683476" w14:textId="7B1EB1DC" w:rsidR="00CC715B" w:rsidRPr="00740130" w:rsidRDefault="00F65BEC" w:rsidP="009D74A3">
            <w:pPr>
              <w:contextualSpacing/>
              <w:jc w:val="both"/>
              <w:outlineLvl w:val="2"/>
              <w:rPr>
                <w:rFonts w:ascii="Times New Roman" w:hAnsi="Times New Roman" w:cs="Times New Roman"/>
                <w:vanish/>
                <w:sz w:val="24"/>
                <w:szCs w:val="24"/>
                <w:specVanish/>
              </w:rPr>
            </w:pPr>
            <w:r>
              <w:rPr>
                <w:rFonts w:ascii="Times New Roman" w:hAnsi="Times New Roman" w:cs="Times New Roman"/>
                <w:sz w:val="24"/>
                <w:szCs w:val="24"/>
              </w:rPr>
              <w:t xml:space="preserve"> </w:t>
            </w:r>
            <w:r w:rsidR="00CC715B" w:rsidRPr="009D74A3">
              <w:rPr>
                <w:rFonts w:ascii="Times New Roman" w:hAnsi="Times New Roman" w:cs="Times New Roman"/>
                <w:sz w:val="24"/>
                <w:szCs w:val="24"/>
              </w:rPr>
              <w:t>De las 32 ciudades capitales del país, Puerto Carreño es la ciudad que mayor presión tributaria local presentó en 2024, seguida de Santa Marta, Barranquilla A.M. y Tunja. Mientras que las ciudades que presentaron menor presión fiscal fueron: Riohacha, Mocoa, Mitú y Arauca. De las 6 principales ciudades, Barranquilla A.M. fue la que mayor presión tributaria presentó en 2024 (3,9%), seguida de Cartagena (3,7%), Bogotá (3,6%), Cali A.M. (3,3%), Medellín A.M. (2,9%) y Bucaramanga A.M. (2,7%) (</w:t>
            </w:r>
            <w:r w:rsidR="00CC715B" w:rsidRPr="009D74A3">
              <w:rPr>
                <w:rFonts w:ascii="Times New Roman" w:hAnsi="Times New Roman" w:cs="Times New Roman"/>
                <w:b/>
                <w:bCs/>
                <w:sz w:val="24"/>
                <w:szCs w:val="24"/>
              </w:rPr>
              <w:t>Gráfico 22</w:t>
            </w:r>
            <w:r w:rsidR="00CC715B" w:rsidRPr="009D74A3">
              <w:rPr>
                <w:rFonts w:ascii="Times New Roman" w:hAnsi="Times New Roman" w:cs="Times New Roman"/>
                <w:sz w:val="24"/>
                <w:szCs w:val="24"/>
              </w:rPr>
              <w:t xml:space="preserve">). </w:t>
            </w:r>
          </w:p>
          <w:p w14:paraId="7BB15D45" w14:textId="639A4978" w:rsidR="00CC715B" w:rsidRPr="009D74A3" w:rsidRDefault="00F65BEC" w:rsidP="009D74A3">
            <w:pPr>
              <w:contextualSpacing/>
              <w:jc w:val="both"/>
              <w:outlineLvl w:val="2"/>
              <w:rPr>
                <w:rFonts w:ascii="Times New Roman" w:hAnsi="Times New Roman" w:cs="Times New Roman"/>
              </w:rPr>
            </w:pPr>
            <w:r>
              <w:rPr>
                <w:rFonts w:ascii="Times New Roman" w:hAnsi="Times New Roman" w:cs="Times New Roman"/>
              </w:rPr>
              <w:t xml:space="preserve"> </w:t>
            </w:r>
          </w:p>
          <w:p w14:paraId="5E540811" w14:textId="77777777" w:rsidR="00CC715B" w:rsidRPr="009D74A3" w:rsidRDefault="00CC715B" w:rsidP="009D74A3">
            <w:pPr>
              <w:contextualSpacing/>
              <w:jc w:val="center"/>
              <w:outlineLvl w:val="2"/>
              <w:rPr>
                <w:rFonts w:ascii="Times New Roman" w:hAnsi="Times New Roman" w:cs="Times New Roman"/>
                <w:b/>
              </w:rPr>
            </w:pPr>
            <w:r w:rsidRPr="009D74A3">
              <w:rPr>
                <w:rFonts w:ascii="Times New Roman" w:hAnsi="Times New Roman" w:cs="Times New Roman"/>
                <w:b/>
              </w:rPr>
              <w:t>Gráfico 22.</w:t>
            </w:r>
            <w:r w:rsidRPr="009D74A3">
              <w:rPr>
                <w:rFonts w:ascii="Times New Roman" w:hAnsi="Times New Roman" w:cs="Times New Roman"/>
                <w:b/>
              </w:rPr>
              <w:br/>
              <w:t xml:space="preserve"> Presión tributaria local ciudades capitales – 2024</w:t>
            </w:r>
          </w:p>
          <w:p w14:paraId="58C65282" w14:textId="77777777" w:rsidR="00CC715B" w:rsidRPr="009D74A3" w:rsidRDefault="00CC715B" w:rsidP="009D74A3">
            <w:pPr>
              <w:contextualSpacing/>
              <w:jc w:val="center"/>
              <w:outlineLvl w:val="2"/>
              <w:rPr>
                <w:rFonts w:ascii="Times New Roman" w:hAnsi="Times New Roman" w:cs="Times New Roman"/>
                <w:bCs/>
                <w:i/>
                <w:iCs/>
              </w:rPr>
            </w:pPr>
            <w:r w:rsidRPr="009D74A3">
              <w:rPr>
                <w:rFonts w:ascii="Times New Roman" w:hAnsi="Times New Roman" w:cs="Times New Roman"/>
                <w:bCs/>
                <w:i/>
                <w:iCs/>
              </w:rPr>
              <w:t xml:space="preserve">(Ingresos tributarios / Valor agregado) - porcentaje </w:t>
            </w:r>
          </w:p>
          <w:p w14:paraId="4B58395D" w14:textId="77777777" w:rsidR="00CC715B" w:rsidRPr="009D74A3" w:rsidRDefault="00CC715B" w:rsidP="009D74A3">
            <w:pPr>
              <w:contextualSpacing/>
              <w:jc w:val="center"/>
              <w:outlineLvl w:val="2"/>
              <w:rPr>
                <w:rFonts w:ascii="Times New Roman" w:hAnsi="Times New Roman" w:cs="Times New Roman"/>
                <w:sz w:val="24"/>
                <w:szCs w:val="24"/>
              </w:rPr>
            </w:pPr>
            <w:r w:rsidRPr="009D74A3">
              <w:rPr>
                <w:rFonts w:ascii="Times New Roman" w:hAnsi="Times New Roman" w:cs="Times New Roman"/>
                <w:noProof/>
                <w:sz w:val="24"/>
                <w:szCs w:val="24"/>
                <w:lang w:eastAsia="es-CO"/>
              </w:rPr>
              <w:drawing>
                <wp:inline distT="0" distB="0" distL="0" distR="0" wp14:anchorId="1FAE209A" wp14:editId="76258A2F">
                  <wp:extent cx="5578475" cy="2057400"/>
                  <wp:effectExtent l="0" t="0" r="0" b="0"/>
                  <wp:docPr id="301639225"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578475" cy="2057400"/>
                          </a:xfrm>
                          <a:prstGeom prst="rect">
                            <a:avLst/>
                          </a:prstGeom>
                          <a:noFill/>
                        </pic:spPr>
                      </pic:pic>
                    </a:graphicData>
                  </a:graphic>
                </wp:inline>
              </w:drawing>
            </w:r>
          </w:p>
          <w:p w14:paraId="129D9375" w14:textId="77777777" w:rsidR="00CC715B" w:rsidRPr="009D74A3" w:rsidRDefault="00CC715B" w:rsidP="009D74A3">
            <w:pPr>
              <w:ind w:left="776" w:right="792"/>
              <w:contextualSpacing/>
              <w:outlineLvl w:val="2"/>
              <w:rPr>
                <w:rFonts w:ascii="Times New Roman" w:hAnsi="Times New Roman" w:cs="Times New Roman"/>
                <w:sz w:val="20"/>
                <w:szCs w:val="20"/>
              </w:rPr>
            </w:pPr>
            <w:r w:rsidRPr="009D74A3">
              <w:rPr>
                <w:rFonts w:ascii="Times New Roman" w:hAnsi="Times New Roman" w:cs="Times New Roman"/>
                <w:b/>
                <w:bCs/>
                <w:sz w:val="20"/>
                <w:szCs w:val="20"/>
              </w:rPr>
              <w:t>Fuente:</w:t>
            </w:r>
            <w:r w:rsidRPr="009D74A3">
              <w:rPr>
                <w:rFonts w:ascii="Times New Roman" w:hAnsi="Times New Roman" w:cs="Times New Roman"/>
                <w:sz w:val="20"/>
                <w:szCs w:val="20"/>
              </w:rPr>
              <w:t xml:space="preserve"> Informe de Competitividad de Ciudades (2024) del Consejo Privado de Competitividad y la Universidad del Rosario.  </w:t>
            </w:r>
          </w:p>
          <w:p w14:paraId="422EADD8" w14:textId="77777777" w:rsidR="00CC715B" w:rsidRPr="009D74A3" w:rsidRDefault="00CC715B" w:rsidP="009D74A3">
            <w:pPr>
              <w:contextualSpacing/>
              <w:jc w:val="both"/>
              <w:outlineLvl w:val="2"/>
              <w:rPr>
                <w:rFonts w:ascii="Times New Roman" w:hAnsi="Times New Roman" w:cs="Times New Roman"/>
                <w:sz w:val="24"/>
                <w:szCs w:val="24"/>
              </w:rPr>
            </w:pPr>
          </w:p>
          <w:p w14:paraId="30177A06" w14:textId="55E67136" w:rsidR="00CC715B" w:rsidRPr="009D74A3" w:rsidRDefault="2A22DF9C" w:rsidP="64C65A3E">
            <w:pPr>
              <w:contextualSpacing/>
              <w:jc w:val="both"/>
              <w:outlineLvl w:val="2"/>
              <w:rPr>
                <w:rFonts w:ascii="Times New Roman" w:hAnsi="Times New Roman" w:cs="Times New Roman"/>
                <w:sz w:val="24"/>
                <w:szCs w:val="24"/>
              </w:rPr>
            </w:pPr>
            <w:r w:rsidRPr="7FE8D135">
              <w:rPr>
                <w:rFonts w:ascii="Times New Roman" w:hAnsi="Times New Roman" w:cs="Times New Roman"/>
                <w:sz w:val="24"/>
                <w:szCs w:val="24"/>
              </w:rPr>
              <w:t>E</w:t>
            </w:r>
            <w:r w:rsidR="692F7236" w:rsidRPr="7FE8D135">
              <w:rPr>
                <w:rFonts w:ascii="Times New Roman" w:hAnsi="Times New Roman" w:cs="Times New Roman"/>
                <w:sz w:val="24"/>
                <w:szCs w:val="24"/>
              </w:rPr>
              <w:t>s</w:t>
            </w:r>
            <w:r w:rsidR="692F7236" w:rsidRPr="6FBC225F">
              <w:rPr>
                <w:rFonts w:ascii="Times New Roman" w:hAnsi="Times New Roman" w:cs="Times New Roman"/>
                <w:sz w:val="24"/>
                <w:szCs w:val="24"/>
              </w:rPr>
              <w:t xml:space="preserve"> importante tener en </w:t>
            </w:r>
            <w:r w:rsidR="692F7236" w:rsidRPr="51CAF43B">
              <w:rPr>
                <w:rFonts w:ascii="Times New Roman" w:hAnsi="Times New Roman" w:cs="Times New Roman"/>
                <w:sz w:val="24"/>
                <w:szCs w:val="24"/>
              </w:rPr>
              <w:t xml:space="preserve">cuenta </w:t>
            </w:r>
            <w:r w:rsidR="692F7236" w:rsidRPr="35BEDFBE">
              <w:rPr>
                <w:rFonts w:ascii="Times New Roman" w:hAnsi="Times New Roman" w:cs="Times New Roman"/>
                <w:sz w:val="24"/>
                <w:szCs w:val="24"/>
              </w:rPr>
              <w:t xml:space="preserve">que la presión tributaria </w:t>
            </w:r>
            <w:r w:rsidR="00D948FB">
              <w:rPr>
                <w:rFonts w:ascii="Times New Roman" w:hAnsi="Times New Roman" w:cs="Times New Roman"/>
                <w:sz w:val="24"/>
                <w:szCs w:val="24"/>
              </w:rPr>
              <w:t xml:space="preserve">de Bogotá </w:t>
            </w:r>
            <w:r w:rsidR="692F7236" w:rsidRPr="7EE1B739">
              <w:rPr>
                <w:rFonts w:ascii="Times New Roman" w:hAnsi="Times New Roman" w:cs="Times New Roman"/>
                <w:sz w:val="24"/>
                <w:szCs w:val="24"/>
              </w:rPr>
              <w:t>ha disminuido entre 2019 y 2024</w:t>
            </w:r>
            <w:r w:rsidR="00D948FB">
              <w:rPr>
                <w:rFonts w:ascii="Times New Roman" w:hAnsi="Times New Roman" w:cs="Times New Roman"/>
                <w:sz w:val="24"/>
                <w:szCs w:val="24"/>
              </w:rPr>
              <w:t>, periodo en el que pasó de</w:t>
            </w:r>
            <w:r w:rsidR="692F7236" w:rsidRPr="5A0474AB">
              <w:rPr>
                <w:rFonts w:ascii="Times New Roman" w:hAnsi="Times New Roman" w:cs="Times New Roman"/>
                <w:sz w:val="24"/>
                <w:szCs w:val="24"/>
              </w:rPr>
              <w:t xml:space="preserve"> </w:t>
            </w:r>
            <w:r w:rsidR="692F7236" w:rsidRPr="071FD5CC">
              <w:rPr>
                <w:rFonts w:ascii="Times New Roman" w:hAnsi="Times New Roman" w:cs="Times New Roman"/>
                <w:sz w:val="24"/>
                <w:szCs w:val="24"/>
              </w:rPr>
              <w:t>3,8</w:t>
            </w:r>
            <w:r w:rsidR="005841D1">
              <w:rPr>
                <w:rFonts w:ascii="Times New Roman" w:hAnsi="Times New Roman" w:cs="Times New Roman"/>
                <w:sz w:val="24"/>
                <w:szCs w:val="24"/>
              </w:rPr>
              <w:t>%</w:t>
            </w:r>
            <w:r w:rsidR="692F7236" w:rsidRPr="071FD5CC">
              <w:rPr>
                <w:rFonts w:ascii="Times New Roman" w:hAnsi="Times New Roman" w:cs="Times New Roman"/>
                <w:sz w:val="24"/>
                <w:szCs w:val="24"/>
              </w:rPr>
              <w:t xml:space="preserve"> </w:t>
            </w:r>
            <w:r w:rsidR="00D948FB">
              <w:rPr>
                <w:rFonts w:ascii="Times New Roman" w:hAnsi="Times New Roman" w:cs="Times New Roman"/>
                <w:sz w:val="24"/>
                <w:szCs w:val="24"/>
              </w:rPr>
              <w:t>a</w:t>
            </w:r>
            <w:r w:rsidR="692F7236" w:rsidRPr="071FD5CC">
              <w:rPr>
                <w:rFonts w:ascii="Times New Roman" w:hAnsi="Times New Roman" w:cs="Times New Roman"/>
                <w:sz w:val="24"/>
                <w:szCs w:val="24"/>
              </w:rPr>
              <w:t xml:space="preserve"> </w:t>
            </w:r>
            <w:r w:rsidR="692F7236" w:rsidRPr="53B25D2F">
              <w:rPr>
                <w:rFonts w:ascii="Times New Roman" w:hAnsi="Times New Roman" w:cs="Times New Roman"/>
                <w:sz w:val="24"/>
                <w:szCs w:val="24"/>
              </w:rPr>
              <w:t>3,6</w:t>
            </w:r>
            <w:r w:rsidR="00A60BD6">
              <w:rPr>
                <w:rFonts w:ascii="Times New Roman" w:hAnsi="Times New Roman" w:cs="Times New Roman"/>
                <w:sz w:val="24"/>
                <w:szCs w:val="24"/>
              </w:rPr>
              <w:t>%</w:t>
            </w:r>
            <w:r w:rsidR="692F7236" w:rsidRPr="53B25D2F">
              <w:rPr>
                <w:rFonts w:ascii="Times New Roman" w:hAnsi="Times New Roman" w:cs="Times New Roman"/>
                <w:sz w:val="24"/>
                <w:szCs w:val="24"/>
              </w:rPr>
              <w:t xml:space="preserve"> por cuenta de</w:t>
            </w:r>
            <w:r w:rsidR="07D25B01" w:rsidRPr="53B25D2F">
              <w:rPr>
                <w:rFonts w:ascii="Times New Roman" w:hAnsi="Times New Roman" w:cs="Times New Roman"/>
                <w:sz w:val="24"/>
                <w:szCs w:val="24"/>
              </w:rPr>
              <w:t xml:space="preserve"> un crecimiento económico mayor que el del recaudo local.</w:t>
            </w:r>
            <w:r w:rsidR="692F7236" w:rsidRPr="53B25D2F">
              <w:rPr>
                <w:rFonts w:ascii="Times New Roman" w:hAnsi="Times New Roman" w:cs="Times New Roman"/>
                <w:sz w:val="24"/>
                <w:szCs w:val="24"/>
              </w:rPr>
              <w:t xml:space="preserve"> </w:t>
            </w:r>
            <w:r w:rsidR="67E0C98A" w:rsidRPr="7FBA4774">
              <w:rPr>
                <w:rFonts w:ascii="Times New Roman" w:hAnsi="Times New Roman" w:cs="Times New Roman"/>
                <w:sz w:val="24"/>
                <w:szCs w:val="24"/>
              </w:rPr>
              <w:t>Adicionalmente</w:t>
            </w:r>
            <w:r w:rsidR="07D25B01" w:rsidRPr="7FBA4774">
              <w:rPr>
                <w:rFonts w:ascii="Times New Roman" w:hAnsi="Times New Roman" w:cs="Times New Roman"/>
                <w:sz w:val="24"/>
                <w:szCs w:val="24"/>
              </w:rPr>
              <w:t>,</w:t>
            </w:r>
            <w:r w:rsidR="00CC715B" w:rsidRPr="5E1F15C6">
              <w:rPr>
                <w:rFonts w:ascii="Times New Roman" w:hAnsi="Times New Roman" w:cs="Times New Roman"/>
                <w:sz w:val="24"/>
                <w:szCs w:val="24"/>
              </w:rPr>
              <w:t xml:space="preserve"> </w:t>
            </w:r>
            <w:r w:rsidR="655F39BB" w:rsidRPr="5E1F15C6">
              <w:rPr>
                <w:rFonts w:ascii="Times New Roman" w:hAnsi="Times New Roman" w:cs="Times New Roman"/>
                <w:sz w:val="24"/>
                <w:szCs w:val="24"/>
              </w:rPr>
              <w:t xml:space="preserve">el PIB per cápita en Bogotá es el más alto del país </w:t>
            </w:r>
            <w:r w:rsidR="655F39BB" w:rsidRPr="00D948FB">
              <w:rPr>
                <w:rFonts w:ascii="Times New Roman" w:hAnsi="Times New Roman" w:cs="Times New Roman"/>
                <w:sz w:val="24"/>
                <w:szCs w:val="24"/>
              </w:rPr>
              <w:t>($54,2</w:t>
            </w:r>
            <w:r w:rsidR="655F39BB" w:rsidRPr="5DB6295F">
              <w:rPr>
                <w:rFonts w:ascii="Times New Roman" w:hAnsi="Times New Roman" w:cs="Times New Roman"/>
                <w:sz w:val="24"/>
                <w:szCs w:val="24"/>
              </w:rPr>
              <w:t xml:space="preserve"> millones en 2024)</w:t>
            </w:r>
            <w:r w:rsidR="655F39BB" w:rsidRPr="25BBE919">
              <w:rPr>
                <w:rFonts w:ascii="Times New Roman" w:hAnsi="Times New Roman" w:cs="Times New Roman"/>
                <w:sz w:val="24"/>
                <w:szCs w:val="24"/>
              </w:rPr>
              <w:t xml:space="preserve"> </w:t>
            </w:r>
            <w:r w:rsidR="5B6FEECA" w:rsidRPr="6804109A">
              <w:rPr>
                <w:rFonts w:ascii="Times New Roman" w:hAnsi="Times New Roman" w:cs="Times New Roman"/>
                <w:sz w:val="24"/>
                <w:szCs w:val="24"/>
              </w:rPr>
              <w:t xml:space="preserve">y el que más rápido ha </w:t>
            </w:r>
            <w:r w:rsidR="5B6FEECA" w:rsidRPr="053E2AB2">
              <w:rPr>
                <w:rFonts w:ascii="Times New Roman" w:hAnsi="Times New Roman" w:cs="Times New Roman"/>
                <w:sz w:val="24"/>
                <w:szCs w:val="24"/>
              </w:rPr>
              <w:t>crecido en los últimos años</w:t>
            </w:r>
            <w:r w:rsidR="60A9697E" w:rsidRPr="106334C1">
              <w:rPr>
                <w:rFonts w:ascii="Times New Roman" w:hAnsi="Times New Roman" w:cs="Times New Roman"/>
                <w:sz w:val="24"/>
                <w:szCs w:val="24"/>
              </w:rPr>
              <w:t xml:space="preserve">. </w:t>
            </w:r>
          </w:p>
          <w:p w14:paraId="54300A3E" w14:textId="77777777" w:rsidR="009E6FC3" w:rsidRPr="009D74A3" w:rsidRDefault="009E6FC3" w:rsidP="009D74A3">
            <w:pPr>
              <w:contextualSpacing/>
              <w:jc w:val="both"/>
              <w:outlineLvl w:val="2"/>
              <w:rPr>
                <w:rFonts w:ascii="Times New Roman" w:hAnsi="Times New Roman" w:cs="Times New Roman"/>
                <w:sz w:val="18"/>
                <w:szCs w:val="18"/>
              </w:rPr>
            </w:pPr>
          </w:p>
          <w:p w14:paraId="1D864788" w14:textId="496163A9" w:rsidR="00A94DF0" w:rsidRPr="009D74A3" w:rsidRDefault="00A94DF0">
            <w:pPr>
              <w:pStyle w:val="Ttulo1"/>
              <w:numPr>
                <w:ilvl w:val="0"/>
                <w:numId w:val="6"/>
              </w:numPr>
              <w:spacing w:before="0" w:after="0"/>
              <w:contextualSpacing/>
              <w:outlineLvl w:val="0"/>
              <w:rPr>
                <w:rFonts w:ascii="Times New Roman" w:hAnsi="Times New Roman" w:cs="Times New Roman"/>
                <w:b/>
                <w:bCs/>
                <w:color w:val="auto"/>
                <w:sz w:val="24"/>
                <w:szCs w:val="24"/>
              </w:rPr>
            </w:pPr>
            <w:r w:rsidRPr="009D74A3">
              <w:rPr>
                <w:rFonts w:ascii="Times New Roman" w:hAnsi="Times New Roman" w:cs="Times New Roman"/>
                <w:b/>
                <w:bCs/>
                <w:color w:val="auto"/>
                <w:sz w:val="24"/>
                <w:szCs w:val="24"/>
              </w:rPr>
              <w:t xml:space="preserve">Diagnóstico </w:t>
            </w:r>
            <w:r w:rsidR="009D74A3" w:rsidRPr="009D74A3">
              <w:rPr>
                <w:rFonts w:ascii="Times New Roman" w:hAnsi="Times New Roman" w:cs="Times New Roman"/>
                <w:b/>
                <w:bCs/>
                <w:color w:val="auto"/>
                <w:sz w:val="24"/>
                <w:szCs w:val="24"/>
              </w:rPr>
              <w:t>de la estructura tributaria de Bogotá</w:t>
            </w:r>
          </w:p>
          <w:p w14:paraId="5A45041F" w14:textId="77777777" w:rsidR="009D74A3" w:rsidRPr="009D74A3" w:rsidRDefault="009D74A3" w:rsidP="009D74A3">
            <w:pPr>
              <w:pStyle w:val="paragraph"/>
              <w:spacing w:before="0" w:beforeAutospacing="0" w:after="0" w:afterAutospacing="0"/>
              <w:textAlignment w:val="baseline"/>
              <w:outlineLvl w:val="2"/>
              <w:rPr>
                <w:sz w:val="32"/>
                <w:szCs w:val="32"/>
              </w:rPr>
            </w:pPr>
            <w:r w:rsidRPr="009D74A3">
              <w:rPr>
                <w:rStyle w:val="eop"/>
                <w:color w:val="D13438"/>
                <w:sz w:val="22"/>
                <w:szCs w:val="22"/>
              </w:rPr>
              <w:t> </w:t>
            </w:r>
          </w:p>
          <w:p w14:paraId="24BBFAF8" w14:textId="2A2AA2C6"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Entre 2015 y 2024, los ingresos tributarios de la Administración Central mostraron un crecimiento anual promedio real de 2,3%. El impuesto de vehículos automotores fue el que mejor dinamismo presentó entre 2015 y 2024, registrando un crecimiento real promedio anual de 3,9%, seguido del impuesto de industria y comercio – ICA – (3,1%)</w:t>
            </w:r>
            <w:r w:rsidR="000339FC">
              <w:rPr>
                <w:rStyle w:val="normaltextrun"/>
                <w:rFonts w:ascii="Times New Roman" w:hAnsi="Times New Roman" w:cs="Times New Roman"/>
              </w:rPr>
              <w:t>.</w:t>
            </w:r>
            <w:r w:rsidRPr="009D74A3">
              <w:rPr>
                <w:rStyle w:val="normaltextrun"/>
                <w:rFonts w:ascii="Times New Roman" w:hAnsi="Times New Roman" w:cs="Times New Roman"/>
              </w:rPr>
              <w:t xml:space="preserve"> </w:t>
            </w:r>
            <w:r w:rsidR="000339FC">
              <w:rPr>
                <w:rStyle w:val="normaltextrun"/>
                <w:rFonts w:ascii="Times New Roman" w:hAnsi="Times New Roman" w:cs="Times New Roman"/>
              </w:rPr>
              <w:t>P</w:t>
            </w:r>
            <w:r w:rsidRPr="009D74A3">
              <w:rPr>
                <w:rStyle w:val="normaltextrun"/>
                <w:rFonts w:ascii="Times New Roman" w:hAnsi="Times New Roman" w:cs="Times New Roman"/>
              </w:rPr>
              <w:t>or su parte, el impuesto de predial unificado</w:t>
            </w:r>
            <w:r w:rsidRPr="009D74A3">
              <w:rPr>
                <w:rStyle w:val="superscript"/>
                <w:sz w:val="19"/>
                <w:szCs w:val="19"/>
                <w:vertAlign w:val="superscript"/>
              </w:rPr>
              <w:t>1</w:t>
            </w:r>
            <w:r w:rsidRPr="009D74A3">
              <w:rPr>
                <w:rStyle w:val="normaltextrun"/>
                <w:rFonts w:ascii="Times New Roman" w:hAnsi="Times New Roman" w:cs="Times New Roman"/>
              </w:rPr>
              <w:t xml:space="preserve"> presenta un crecimiento promedio anual moderado (2,3%). Esto le ha permitido al ICA y al impuesto de vehículos ganar participación en la estructura productiva de 3,3 p.p. y 1,9 p.p. respectivamente, </w:t>
            </w:r>
            <w:r w:rsidR="00D64095">
              <w:rPr>
                <w:rStyle w:val="normaltextrun"/>
                <w:rFonts w:ascii="Times New Roman" w:hAnsi="Times New Roman" w:cs="Times New Roman"/>
              </w:rPr>
              <w:t xml:space="preserve">mientras </w:t>
            </w:r>
            <w:r w:rsidRPr="009D74A3">
              <w:rPr>
                <w:rStyle w:val="normaltextrun"/>
                <w:rFonts w:ascii="Times New Roman" w:hAnsi="Times New Roman" w:cs="Times New Roman"/>
              </w:rPr>
              <w:t>el impuesto predial unificado presentó una disminución en la estructura tributaria de la ciudad de 2,0 p.p</w:t>
            </w:r>
            <w:r w:rsidRPr="6AE92338">
              <w:rPr>
                <w:rStyle w:val="normaltextrun"/>
                <w:rFonts w:ascii="Times New Roman" w:hAnsi="Times New Roman" w:cs="Times New Roman"/>
              </w:rPr>
              <w:t>.</w:t>
            </w:r>
            <w:r w:rsidR="51AB2B86" w:rsidRPr="6AE92338">
              <w:rPr>
                <w:rStyle w:val="normaltextrun"/>
                <w:rFonts w:ascii="Times New Roman" w:hAnsi="Times New Roman" w:cs="Times New Roman"/>
              </w:rPr>
              <w:t>,</w:t>
            </w:r>
            <w:r w:rsidRPr="009D74A3">
              <w:rPr>
                <w:rStyle w:val="normaltextrun"/>
                <w:rFonts w:ascii="Times New Roman" w:hAnsi="Times New Roman" w:cs="Times New Roman"/>
              </w:rPr>
              <w:t xml:space="preserve"> y los otros</w:t>
            </w:r>
            <w:r w:rsidRPr="009D74A3">
              <w:rPr>
                <w:rStyle w:val="superscript"/>
                <w:sz w:val="19"/>
                <w:szCs w:val="19"/>
                <w:vertAlign w:val="superscript"/>
              </w:rPr>
              <w:t>2</w:t>
            </w:r>
            <w:r w:rsidRPr="009D74A3">
              <w:rPr>
                <w:rStyle w:val="normaltextrun"/>
                <w:rFonts w:ascii="Times New Roman" w:hAnsi="Times New Roman" w:cs="Times New Roman"/>
              </w:rPr>
              <w:t xml:space="preserve"> impuestos presentan una disminución de 3,2 p.p.</w:t>
            </w:r>
            <w:r w:rsidRPr="009D74A3">
              <w:rPr>
                <w:rStyle w:val="eop"/>
              </w:rPr>
              <w:t> </w:t>
            </w:r>
          </w:p>
          <w:p w14:paraId="5A97D089"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eop"/>
              </w:rPr>
              <w:t> </w:t>
            </w:r>
          </w:p>
          <w:p w14:paraId="5D8811F0" w14:textId="5907E2F7" w:rsidR="001E7AD9" w:rsidRPr="00961E7E" w:rsidRDefault="009D74A3" w:rsidP="009D74A3">
            <w:pPr>
              <w:pStyle w:val="paragraph"/>
              <w:spacing w:before="0" w:beforeAutospacing="0" w:after="0" w:afterAutospacing="0"/>
              <w:jc w:val="both"/>
              <w:textAlignment w:val="baseline"/>
              <w:outlineLvl w:val="2"/>
              <w:rPr>
                <w:rStyle w:val="eop"/>
                <w:sz w:val="32"/>
                <w:szCs w:val="32"/>
              </w:rPr>
            </w:pPr>
            <w:r w:rsidRPr="009D74A3">
              <w:rPr>
                <w:rStyle w:val="normaltextrun"/>
                <w:rFonts w:ascii="Times New Roman" w:hAnsi="Times New Roman" w:cs="Times New Roman"/>
              </w:rPr>
              <w:t>De acuerdo con lo descrito anteriormente, el impuesto de industria y comercio se ha consolidado como el impuesto de mayor recaudo en el Distrito Capital. Para el 2024, el ICA representó el 49,0% del total de ingresos tributarios de Bogotá, seguido en su orden por el impuesto predial unificado (31,7%), y el impuesto sobre vehículos automotores (8,7%), los cuales en conjunto e</w:t>
            </w:r>
            <w:r w:rsidR="00DC2026">
              <w:rPr>
                <w:rStyle w:val="normaltextrun"/>
                <w:rFonts w:ascii="Times New Roman" w:hAnsi="Times New Roman" w:cs="Times New Roman"/>
              </w:rPr>
              <w:t>xplica</w:t>
            </w:r>
            <w:r w:rsidRPr="009D74A3">
              <w:rPr>
                <w:rStyle w:val="normaltextrun"/>
                <w:rFonts w:ascii="Times New Roman" w:hAnsi="Times New Roman" w:cs="Times New Roman"/>
              </w:rPr>
              <w:t>n aproximadamente el 90% del recaudo de la ciudad. Adicionalmente, al sumar los impuestos de la sobretasa a la gasolina (3,2%), el impuesto al consumo de cervezas, sifones, refajos y mezclas (3,0%) y el impuesto al consumo de cigarrillos y tabaco (1,8%); estos impuestos representaron el 97,4% del total del recaudo tributario en la ciudad en 2024 (</w:t>
            </w:r>
            <w:r w:rsidRPr="001E7AD9">
              <w:rPr>
                <w:rStyle w:val="normaltextrun"/>
                <w:rFonts w:ascii="Times New Roman" w:hAnsi="Times New Roman" w:cs="Times New Roman"/>
                <w:b/>
                <w:bCs/>
              </w:rPr>
              <w:t>Gráfico 23</w:t>
            </w:r>
            <w:r w:rsidRPr="009D74A3">
              <w:rPr>
                <w:rStyle w:val="normaltextrun"/>
                <w:rFonts w:ascii="Times New Roman" w:hAnsi="Times New Roman" w:cs="Times New Roman"/>
              </w:rPr>
              <w:t>).  </w:t>
            </w:r>
            <w:r w:rsidRPr="009D74A3">
              <w:rPr>
                <w:rStyle w:val="eop"/>
              </w:rPr>
              <w:t> </w:t>
            </w:r>
          </w:p>
          <w:p w14:paraId="57BE9903" w14:textId="77777777" w:rsidR="001E7AD9" w:rsidRDefault="001E7AD9" w:rsidP="009D74A3">
            <w:pPr>
              <w:pStyle w:val="paragraph"/>
              <w:spacing w:before="0" w:beforeAutospacing="0" w:after="0" w:afterAutospacing="0"/>
              <w:jc w:val="center"/>
              <w:textAlignment w:val="baseline"/>
              <w:outlineLvl w:val="2"/>
              <w:rPr>
                <w:rStyle w:val="eop"/>
                <w:b/>
                <w:bCs/>
              </w:rPr>
            </w:pPr>
          </w:p>
          <w:p w14:paraId="52390A3B" w14:textId="03651F5D" w:rsidR="009D74A3" w:rsidRPr="009D74A3" w:rsidRDefault="009D74A3" w:rsidP="009D74A3">
            <w:pPr>
              <w:pStyle w:val="paragraph"/>
              <w:spacing w:before="0" w:beforeAutospacing="0" w:after="0" w:afterAutospacing="0"/>
              <w:jc w:val="center"/>
              <w:textAlignment w:val="baseline"/>
              <w:outlineLvl w:val="2"/>
              <w:rPr>
                <w:b/>
                <w:bCs/>
                <w:sz w:val="32"/>
                <w:szCs w:val="32"/>
              </w:rPr>
            </w:pPr>
            <w:r w:rsidRPr="009D74A3">
              <w:rPr>
                <w:rStyle w:val="eop"/>
                <w:b/>
                <w:bCs/>
              </w:rPr>
              <w:t>Gráfico 23</w:t>
            </w:r>
          </w:p>
          <w:p w14:paraId="714A6447" w14:textId="77777777" w:rsidR="009D74A3" w:rsidRPr="009D74A3" w:rsidRDefault="009D74A3" w:rsidP="009D74A3">
            <w:pPr>
              <w:pStyle w:val="paragraph"/>
              <w:spacing w:before="0" w:beforeAutospacing="0" w:after="0" w:afterAutospacing="0"/>
              <w:jc w:val="center"/>
              <w:textAlignment w:val="baseline"/>
              <w:outlineLvl w:val="2"/>
              <w:rPr>
                <w:sz w:val="32"/>
                <w:szCs w:val="32"/>
              </w:rPr>
            </w:pPr>
            <w:r w:rsidRPr="009D74A3">
              <w:rPr>
                <w:rStyle w:val="normaltextrun"/>
                <w:rFonts w:ascii="Times New Roman" w:hAnsi="Times New Roman" w:cs="Times New Roman"/>
                <w:b/>
                <w:bCs/>
              </w:rPr>
              <w:t>Ingresos tributarios de la Administración Central</w:t>
            </w:r>
            <w:r w:rsidRPr="009D74A3">
              <w:rPr>
                <w:rStyle w:val="eop"/>
              </w:rPr>
              <w:t> </w:t>
            </w:r>
          </w:p>
          <w:p w14:paraId="4DF5F8BE" w14:textId="77777777" w:rsidR="009D74A3" w:rsidRPr="009D74A3" w:rsidRDefault="009D74A3" w:rsidP="009D74A3">
            <w:pPr>
              <w:pStyle w:val="paragraph"/>
              <w:spacing w:before="0" w:beforeAutospacing="0" w:after="0" w:afterAutospacing="0"/>
              <w:jc w:val="center"/>
              <w:textAlignment w:val="baseline"/>
              <w:outlineLvl w:val="2"/>
              <w:rPr>
                <w:sz w:val="32"/>
                <w:szCs w:val="32"/>
              </w:rPr>
            </w:pPr>
            <w:r w:rsidRPr="009D74A3">
              <w:rPr>
                <w:rStyle w:val="normaltextrun"/>
                <w:rFonts w:ascii="Times New Roman" w:hAnsi="Times New Roman" w:cs="Times New Roman"/>
                <w:i/>
                <w:iCs/>
              </w:rPr>
              <w:t>Porcentaje</w:t>
            </w:r>
            <w:r w:rsidRPr="009D74A3">
              <w:rPr>
                <w:rStyle w:val="eop"/>
              </w:rPr>
              <w:t> </w:t>
            </w:r>
          </w:p>
          <w:p w14:paraId="70548216" w14:textId="68C9A19F" w:rsidR="009D74A3" w:rsidRPr="009D74A3" w:rsidRDefault="009D74A3" w:rsidP="009D74A3">
            <w:pPr>
              <w:pStyle w:val="paragraph"/>
              <w:spacing w:before="0" w:beforeAutospacing="0" w:after="0" w:afterAutospacing="0"/>
              <w:jc w:val="center"/>
              <w:textAlignment w:val="baseline"/>
              <w:outlineLvl w:val="2"/>
              <w:rPr>
                <w:sz w:val="32"/>
                <w:szCs w:val="32"/>
              </w:rPr>
            </w:pPr>
            <w:r w:rsidRPr="009D74A3">
              <w:rPr>
                <w:rFonts w:eastAsiaTheme="minorHAnsi"/>
                <w:noProof/>
                <w:sz w:val="22"/>
                <w:szCs w:val="22"/>
              </w:rPr>
              <w:drawing>
                <wp:inline distT="0" distB="0" distL="0" distR="0" wp14:anchorId="032A6316" wp14:editId="1A34706C">
                  <wp:extent cx="6266728" cy="2297927"/>
                  <wp:effectExtent l="0" t="0" r="1270" b="7620"/>
                  <wp:docPr id="153675550"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87039" cy="2305375"/>
                          </a:xfrm>
                          <a:prstGeom prst="rect">
                            <a:avLst/>
                          </a:prstGeom>
                          <a:noFill/>
                          <a:ln>
                            <a:noFill/>
                          </a:ln>
                        </pic:spPr>
                      </pic:pic>
                    </a:graphicData>
                  </a:graphic>
                </wp:inline>
              </w:drawing>
            </w:r>
          </w:p>
          <w:p w14:paraId="750F89DD" w14:textId="28603DA9" w:rsidR="009D74A3" w:rsidRPr="009D74A3" w:rsidRDefault="009D74A3" w:rsidP="009D74A3">
            <w:pPr>
              <w:pStyle w:val="paragraph"/>
              <w:spacing w:before="0" w:beforeAutospacing="0" w:after="0" w:afterAutospacing="0"/>
              <w:ind w:left="630" w:right="705"/>
              <w:jc w:val="both"/>
              <w:textAlignment w:val="baseline"/>
              <w:outlineLvl w:val="2"/>
              <w:rPr>
                <w:sz w:val="32"/>
                <w:szCs w:val="32"/>
              </w:rPr>
            </w:pPr>
            <w:r w:rsidRPr="009D74A3">
              <w:rPr>
                <w:rStyle w:val="normaltextrun"/>
                <w:rFonts w:ascii="Times New Roman" w:hAnsi="Times New Roman" w:cs="Times New Roman"/>
                <w:b/>
                <w:bCs/>
                <w:sz w:val="20"/>
                <w:szCs w:val="20"/>
              </w:rPr>
              <w:t xml:space="preserve">Nota: </w:t>
            </w:r>
            <w:r w:rsidR="00D64095" w:rsidRPr="00740130">
              <w:rPr>
                <w:rStyle w:val="normaltextrun"/>
                <w:rFonts w:ascii="Times New Roman" w:hAnsi="Times New Roman" w:cs="Times New Roman"/>
                <w:sz w:val="20"/>
                <w:szCs w:val="20"/>
              </w:rPr>
              <w:t>En</w:t>
            </w:r>
            <w:r w:rsidR="00D64095">
              <w:rPr>
                <w:rStyle w:val="normaltextrun"/>
                <w:rFonts w:ascii="Times New Roman" w:hAnsi="Times New Roman" w:cs="Times New Roman"/>
                <w:b/>
                <w:bCs/>
                <w:sz w:val="20"/>
                <w:szCs w:val="20"/>
              </w:rPr>
              <w:t xml:space="preserve"> </w:t>
            </w:r>
            <w:r w:rsidR="00D64095">
              <w:rPr>
                <w:rStyle w:val="normaltextrun"/>
                <w:rFonts w:ascii="Times New Roman" w:hAnsi="Times New Roman" w:cs="Times New Roman"/>
                <w:sz w:val="20"/>
                <w:szCs w:val="20"/>
              </w:rPr>
              <w:t xml:space="preserve">otros impuestos se incluyen: </w:t>
            </w:r>
            <w:r w:rsidRPr="009D74A3">
              <w:rPr>
                <w:rStyle w:val="normaltextrun"/>
                <w:rFonts w:ascii="Times New Roman" w:hAnsi="Times New Roman" w:cs="Times New Roman"/>
                <w:sz w:val="20"/>
                <w:szCs w:val="20"/>
              </w:rPr>
              <w:t>Impuesto de delineación; Impuesto unificado de fondo de pobres, azar y espectáculos públicos; Impuesto de espectáculos públicos nacional con destino al deporte; Estampilla para el bienestar del adulto mayor; Estampilla Universidad Distrital Francisco José de Caldas, Estampilla procultura y Estampilla Cincuenta años de labor de la Universidad Pedagógica Nacional.</w:t>
            </w:r>
            <w:r w:rsidRPr="009D74A3">
              <w:rPr>
                <w:rStyle w:val="eop"/>
                <w:sz w:val="20"/>
                <w:szCs w:val="20"/>
              </w:rPr>
              <w:t> </w:t>
            </w:r>
          </w:p>
          <w:p w14:paraId="7028D77F" w14:textId="77777777" w:rsidR="009D74A3" w:rsidRPr="009D74A3" w:rsidRDefault="009D74A3" w:rsidP="009D74A3">
            <w:pPr>
              <w:pStyle w:val="paragraph"/>
              <w:spacing w:before="0" w:beforeAutospacing="0" w:after="0" w:afterAutospacing="0"/>
              <w:ind w:left="630" w:right="705"/>
              <w:jc w:val="both"/>
              <w:textAlignment w:val="baseline"/>
              <w:outlineLvl w:val="2"/>
              <w:rPr>
                <w:sz w:val="32"/>
                <w:szCs w:val="32"/>
              </w:rPr>
            </w:pPr>
            <w:r w:rsidRPr="009D74A3">
              <w:rPr>
                <w:rStyle w:val="normaltextrun"/>
                <w:rFonts w:ascii="Times New Roman" w:hAnsi="Times New Roman" w:cs="Times New Roman"/>
                <w:b/>
                <w:bCs/>
                <w:sz w:val="20"/>
                <w:szCs w:val="20"/>
                <w:lang w:val="es-MX"/>
              </w:rPr>
              <w:t>Fuente:</w:t>
            </w:r>
            <w:r w:rsidRPr="009D74A3">
              <w:rPr>
                <w:rStyle w:val="normaltextrun"/>
                <w:rFonts w:ascii="Times New Roman" w:hAnsi="Times New Roman" w:cs="Times New Roman"/>
                <w:sz w:val="20"/>
                <w:szCs w:val="20"/>
                <w:lang w:val="es-MX"/>
              </w:rPr>
              <w:t xml:space="preserve"> Secretaría Distrital de Hacienda</w:t>
            </w:r>
            <w:r w:rsidRPr="009D74A3">
              <w:rPr>
                <w:rStyle w:val="normaltextrun"/>
                <w:rFonts w:ascii="Times New Roman" w:hAnsi="Times New Roman" w:cs="Times New Roman"/>
                <w:sz w:val="20"/>
                <w:szCs w:val="20"/>
              </w:rPr>
              <w:t> </w:t>
            </w:r>
            <w:r w:rsidRPr="009D74A3">
              <w:rPr>
                <w:rStyle w:val="eop"/>
                <w:sz w:val="20"/>
                <w:szCs w:val="20"/>
              </w:rPr>
              <w:t> </w:t>
            </w:r>
          </w:p>
          <w:p w14:paraId="55262475" w14:textId="57FFBD1F" w:rsidR="009D74A3" w:rsidRDefault="009D74A3" w:rsidP="009D74A3">
            <w:pPr>
              <w:pStyle w:val="paragraph"/>
              <w:spacing w:before="0" w:beforeAutospacing="0" w:after="0" w:afterAutospacing="0"/>
              <w:textAlignment w:val="baseline"/>
              <w:outlineLvl w:val="2"/>
              <w:rPr>
                <w:rStyle w:val="eop"/>
                <w:sz w:val="22"/>
                <w:szCs w:val="22"/>
              </w:rPr>
            </w:pPr>
            <w:r w:rsidRPr="009D74A3">
              <w:rPr>
                <w:rStyle w:val="eop"/>
                <w:sz w:val="22"/>
                <w:szCs w:val="22"/>
              </w:rPr>
              <w:t>  </w:t>
            </w:r>
          </w:p>
          <w:p w14:paraId="33517E5D" w14:textId="35978426" w:rsidR="009D74A3" w:rsidRPr="009D74A3" w:rsidRDefault="009D74A3">
            <w:pPr>
              <w:pStyle w:val="paragraph"/>
              <w:numPr>
                <w:ilvl w:val="1"/>
                <w:numId w:val="6"/>
              </w:numPr>
              <w:spacing w:before="0" w:beforeAutospacing="0" w:after="0" w:afterAutospacing="0"/>
              <w:textAlignment w:val="baseline"/>
              <w:outlineLvl w:val="2"/>
            </w:pPr>
            <w:r w:rsidRPr="009D74A3">
              <w:rPr>
                <w:rStyle w:val="normaltextrun"/>
                <w:rFonts w:ascii="Times New Roman" w:hAnsi="Times New Roman" w:cs="Times New Roman"/>
                <w:b/>
                <w:bCs/>
              </w:rPr>
              <w:t>Impuesto de Industria y Comercio (ICA)</w:t>
            </w:r>
            <w:r w:rsidRPr="009D74A3">
              <w:rPr>
                <w:rStyle w:val="eop"/>
              </w:rPr>
              <w:t> </w:t>
            </w:r>
          </w:p>
          <w:p w14:paraId="3D3D1B77" w14:textId="10B56785" w:rsidR="009D74A3" w:rsidRPr="009D74A3" w:rsidRDefault="009D74A3" w:rsidP="009D74A3">
            <w:pPr>
              <w:pStyle w:val="paragraph"/>
              <w:spacing w:before="0" w:beforeAutospacing="0" w:after="0" w:afterAutospacing="0"/>
              <w:ind w:left="570" w:hanging="570"/>
              <w:textAlignment w:val="baseline"/>
              <w:outlineLvl w:val="2"/>
              <w:rPr>
                <w:sz w:val="32"/>
                <w:szCs w:val="32"/>
              </w:rPr>
            </w:pPr>
            <w:r w:rsidRPr="009D74A3">
              <w:rPr>
                <w:rStyle w:val="eop"/>
              </w:rPr>
              <w:t> </w:t>
            </w:r>
            <w:r w:rsidRPr="009D74A3">
              <w:rPr>
                <w:rStyle w:val="eop"/>
                <w:sz w:val="22"/>
                <w:szCs w:val="22"/>
              </w:rPr>
              <w:t> </w:t>
            </w:r>
          </w:p>
          <w:p w14:paraId="6C53675D" w14:textId="50966311"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lang w:val="es-MX"/>
              </w:rPr>
              <w:t xml:space="preserve">Entre los años 2012 y 2024 el crecimiento real acumulado del recaudo del ICA fue de 43% </w:t>
            </w:r>
            <w:r w:rsidRPr="009D74A3">
              <w:t>(Gráfico 2</w:t>
            </w:r>
            <w:r w:rsidRPr="009D74A3">
              <w:rPr>
                <w:rFonts w:eastAsiaTheme="minorEastAsia"/>
              </w:rPr>
              <w:t>4</w:t>
            </w:r>
            <w:r w:rsidRPr="009D74A3">
              <w:t xml:space="preserve">), </w:t>
            </w:r>
            <w:r w:rsidRPr="009D74A3">
              <w:rPr>
                <w:rStyle w:val="normaltextrun"/>
                <w:rFonts w:ascii="Times New Roman" w:hAnsi="Times New Roman" w:cs="Times New Roman"/>
                <w:lang w:val="es-MX"/>
              </w:rPr>
              <w:t xml:space="preserve">es decir, un crecimiento promedio anual de 3,6%, levemente superior al crecimiento de la economía de la ciudad en este mismo periodo (3,3%). En 2024, el ICA tuvo alrededor de </w:t>
            </w:r>
            <w:r w:rsidR="009732F3" w:rsidRPr="009D74A3">
              <w:rPr>
                <w:rStyle w:val="normaltextrun"/>
                <w:rFonts w:ascii="Times New Roman" w:hAnsi="Times New Roman" w:cs="Times New Roman"/>
                <w:lang w:val="es-MX"/>
              </w:rPr>
              <w:t>1</w:t>
            </w:r>
            <w:r w:rsidR="009732F3">
              <w:rPr>
                <w:rStyle w:val="normaltextrun"/>
                <w:rFonts w:ascii="Times New Roman" w:hAnsi="Times New Roman" w:cs="Times New Roman"/>
                <w:lang w:val="es-MX"/>
              </w:rPr>
              <w:t>85</w:t>
            </w:r>
            <w:r w:rsidR="009732F3" w:rsidRPr="009D74A3">
              <w:rPr>
                <w:rStyle w:val="normaltextrun"/>
                <w:rFonts w:ascii="Times New Roman" w:hAnsi="Times New Roman" w:cs="Times New Roman"/>
                <w:lang w:val="es-MX"/>
              </w:rPr>
              <w:t xml:space="preserve"> </w:t>
            </w:r>
            <w:r w:rsidRPr="009D74A3">
              <w:rPr>
                <w:rStyle w:val="normaltextrun"/>
                <w:rFonts w:ascii="Times New Roman" w:hAnsi="Times New Roman" w:cs="Times New Roman"/>
                <w:lang w:val="es-MX"/>
              </w:rPr>
              <w:t>mil contribuyentes, que pagaron $6,9 billones</w:t>
            </w:r>
            <w:r w:rsidR="002A37E0">
              <w:rPr>
                <w:rStyle w:val="normaltextrun"/>
                <w:rFonts w:ascii="Times New Roman" w:hAnsi="Times New Roman" w:cs="Times New Roman"/>
                <w:lang w:val="es-MX"/>
              </w:rPr>
              <w:t xml:space="preserve"> (</w:t>
            </w:r>
            <w:r w:rsidR="002A37E0" w:rsidRPr="002A37E0">
              <w:rPr>
                <w:rStyle w:val="normaltextrun"/>
                <w:rFonts w:ascii="Times New Roman" w:hAnsi="Times New Roman" w:cs="Times New Roman"/>
                <w:b/>
                <w:bCs/>
                <w:lang w:val="es-MX"/>
              </w:rPr>
              <w:t>Gráfico 24</w:t>
            </w:r>
            <w:r w:rsidR="002A37E0">
              <w:rPr>
                <w:rStyle w:val="normaltextrun"/>
                <w:rFonts w:ascii="Times New Roman" w:hAnsi="Times New Roman" w:cs="Times New Roman"/>
                <w:lang w:val="es-MX"/>
              </w:rPr>
              <w:t>)</w:t>
            </w:r>
            <w:r w:rsidRPr="009D74A3">
              <w:rPr>
                <w:rStyle w:val="normaltextrun"/>
                <w:rFonts w:ascii="Times New Roman" w:hAnsi="Times New Roman" w:cs="Times New Roman"/>
                <w:lang w:val="es-MX"/>
              </w:rPr>
              <w:t>. Este comportamiento responde, principalmente, a la dinámica del crecimiento económico de la ciudad, especialmente por el mayor aporte del sector servicios, dada su mayor participación en la estructura productiva de Bogotá, y a los cambios aplicados en las tarifas de algunas actividades establecidas en el Acuerdo</w:t>
            </w:r>
            <w:r w:rsidR="00253937">
              <w:rPr>
                <w:rStyle w:val="normaltextrun"/>
                <w:rFonts w:ascii="Times New Roman" w:hAnsi="Times New Roman" w:cs="Times New Roman"/>
                <w:lang w:val="es-MX"/>
              </w:rPr>
              <w:t xml:space="preserve"> </w:t>
            </w:r>
            <w:r w:rsidR="00253937">
              <w:rPr>
                <w:rStyle w:val="normaltextrun"/>
                <w:lang w:val="es-MX"/>
              </w:rPr>
              <w:t>Distrital</w:t>
            </w:r>
            <w:r w:rsidRPr="009D74A3">
              <w:rPr>
                <w:rStyle w:val="normaltextrun"/>
                <w:rFonts w:ascii="Times New Roman" w:hAnsi="Times New Roman" w:cs="Times New Roman"/>
                <w:lang w:val="es-MX"/>
              </w:rPr>
              <w:t xml:space="preserve"> 780 de 2020.</w:t>
            </w:r>
            <w:r w:rsidRPr="009D74A3">
              <w:rPr>
                <w:rStyle w:val="eop"/>
              </w:rPr>
              <w:t> </w:t>
            </w:r>
          </w:p>
          <w:p w14:paraId="5D99E028" w14:textId="77777777" w:rsidR="001E7AD9" w:rsidRDefault="001E7AD9" w:rsidP="009D74A3">
            <w:pPr>
              <w:jc w:val="center"/>
              <w:outlineLvl w:val="2"/>
              <w:rPr>
                <w:rFonts w:ascii="Times New Roman" w:hAnsi="Times New Roman" w:cs="Times New Roman"/>
                <w:b/>
                <w:bCs/>
              </w:rPr>
            </w:pPr>
          </w:p>
          <w:p w14:paraId="26CF5224" w14:textId="77777777" w:rsidR="00E3620B" w:rsidRDefault="00E3620B" w:rsidP="009D74A3">
            <w:pPr>
              <w:jc w:val="center"/>
              <w:outlineLvl w:val="2"/>
              <w:rPr>
                <w:rFonts w:ascii="Times New Roman" w:hAnsi="Times New Roman" w:cs="Times New Roman"/>
                <w:b/>
                <w:bCs/>
              </w:rPr>
            </w:pPr>
          </w:p>
          <w:p w14:paraId="1552B7AE" w14:textId="77777777" w:rsidR="00E3620B" w:rsidRDefault="00E3620B" w:rsidP="009D74A3">
            <w:pPr>
              <w:jc w:val="center"/>
              <w:outlineLvl w:val="2"/>
              <w:rPr>
                <w:rFonts w:ascii="Times New Roman" w:hAnsi="Times New Roman" w:cs="Times New Roman"/>
                <w:b/>
                <w:bCs/>
              </w:rPr>
            </w:pPr>
          </w:p>
          <w:p w14:paraId="36F0A9CC" w14:textId="77777777" w:rsidR="006D3398" w:rsidRDefault="006D3398" w:rsidP="009D74A3">
            <w:pPr>
              <w:jc w:val="center"/>
              <w:outlineLvl w:val="2"/>
              <w:rPr>
                <w:rFonts w:ascii="Times New Roman" w:hAnsi="Times New Roman" w:cs="Times New Roman"/>
                <w:b/>
                <w:bCs/>
              </w:rPr>
            </w:pPr>
          </w:p>
          <w:p w14:paraId="182BDD0A" w14:textId="77777777" w:rsidR="00E3620B" w:rsidRDefault="00E3620B" w:rsidP="009D74A3">
            <w:pPr>
              <w:jc w:val="center"/>
              <w:outlineLvl w:val="2"/>
              <w:rPr>
                <w:rFonts w:ascii="Times New Roman" w:hAnsi="Times New Roman" w:cs="Times New Roman"/>
                <w:b/>
                <w:bCs/>
              </w:rPr>
            </w:pPr>
          </w:p>
          <w:p w14:paraId="4DC5006B" w14:textId="77777777" w:rsidR="00E3620B" w:rsidRDefault="00E3620B" w:rsidP="009D74A3">
            <w:pPr>
              <w:jc w:val="center"/>
              <w:outlineLvl w:val="2"/>
              <w:rPr>
                <w:rFonts w:ascii="Times New Roman" w:hAnsi="Times New Roman" w:cs="Times New Roman"/>
                <w:b/>
                <w:bCs/>
              </w:rPr>
            </w:pPr>
          </w:p>
          <w:p w14:paraId="4ECBE9CF" w14:textId="77777777" w:rsidR="00E3620B" w:rsidRDefault="00E3620B" w:rsidP="009D74A3">
            <w:pPr>
              <w:jc w:val="center"/>
              <w:outlineLvl w:val="2"/>
              <w:rPr>
                <w:rFonts w:ascii="Times New Roman" w:hAnsi="Times New Roman" w:cs="Times New Roman"/>
                <w:b/>
                <w:bCs/>
              </w:rPr>
            </w:pPr>
          </w:p>
          <w:p w14:paraId="61C49CF9" w14:textId="77777777" w:rsidR="00E3620B" w:rsidRDefault="00E3620B" w:rsidP="009D74A3">
            <w:pPr>
              <w:jc w:val="center"/>
              <w:outlineLvl w:val="2"/>
              <w:rPr>
                <w:rFonts w:ascii="Times New Roman" w:hAnsi="Times New Roman" w:cs="Times New Roman"/>
                <w:b/>
                <w:bCs/>
              </w:rPr>
            </w:pPr>
          </w:p>
          <w:p w14:paraId="6CFD2376" w14:textId="1D8EE81A" w:rsidR="009D74A3" w:rsidRPr="009D74A3" w:rsidRDefault="009D74A3" w:rsidP="009D74A3">
            <w:pPr>
              <w:jc w:val="center"/>
              <w:outlineLvl w:val="2"/>
              <w:rPr>
                <w:rFonts w:ascii="Times New Roman" w:hAnsi="Times New Roman" w:cs="Times New Roman"/>
                <w:b/>
                <w:bCs/>
              </w:rPr>
            </w:pPr>
            <w:r w:rsidRPr="009D74A3">
              <w:rPr>
                <w:rFonts w:ascii="Times New Roman" w:hAnsi="Times New Roman" w:cs="Times New Roman"/>
                <w:b/>
                <w:bCs/>
              </w:rPr>
              <w:t>Gráfico 24</w:t>
            </w:r>
          </w:p>
          <w:p w14:paraId="46466924" w14:textId="77777777" w:rsidR="009D74A3" w:rsidRPr="009D74A3" w:rsidRDefault="009D74A3" w:rsidP="009D74A3">
            <w:pPr>
              <w:pStyle w:val="paragraph"/>
              <w:spacing w:before="0" w:beforeAutospacing="0" w:after="0" w:afterAutospacing="0"/>
              <w:jc w:val="center"/>
              <w:textAlignment w:val="baseline"/>
              <w:outlineLvl w:val="2"/>
              <w:rPr>
                <w:sz w:val="32"/>
                <w:szCs w:val="32"/>
              </w:rPr>
            </w:pPr>
            <w:r w:rsidRPr="009D74A3">
              <w:rPr>
                <w:rStyle w:val="normaltextrun"/>
                <w:rFonts w:ascii="Times New Roman" w:hAnsi="Times New Roman" w:cs="Times New Roman"/>
                <w:b/>
                <w:bCs/>
                <w:lang w:val="es-MX"/>
              </w:rPr>
              <w:t> Recaudo del impuesto de industria y comercio</w:t>
            </w:r>
            <w:r w:rsidRPr="009D74A3">
              <w:rPr>
                <w:rStyle w:val="eop"/>
              </w:rPr>
              <w:t> </w:t>
            </w:r>
          </w:p>
          <w:p w14:paraId="163C6CE9" w14:textId="77777777" w:rsidR="009D74A3" w:rsidRPr="009D74A3" w:rsidRDefault="009D74A3" w:rsidP="009D74A3">
            <w:pPr>
              <w:pStyle w:val="paragraph"/>
              <w:spacing w:before="0" w:beforeAutospacing="0" w:after="0" w:afterAutospacing="0"/>
              <w:jc w:val="center"/>
              <w:textAlignment w:val="baseline"/>
              <w:outlineLvl w:val="2"/>
              <w:rPr>
                <w:sz w:val="32"/>
                <w:szCs w:val="32"/>
              </w:rPr>
            </w:pPr>
            <w:r w:rsidRPr="009D74A3">
              <w:rPr>
                <w:rStyle w:val="normaltextrun"/>
                <w:rFonts w:ascii="Times New Roman" w:hAnsi="Times New Roman" w:cs="Times New Roman"/>
                <w:i/>
                <w:iCs/>
                <w:lang w:val="es-MX"/>
              </w:rPr>
              <w:t>Billones de pesos constantes de 2024</w:t>
            </w:r>
            <w:r w:rsidRPr="009D74A3">
              <w:rPr>
                <w:rStyle w:val="eop"/>
              </w:rPr>
              <w:t> </w:t>
            </w:r>
          </w:p>
          <w:p w14:paraId="272AF087" w14:textId="090732F8" w:rsidR="009D74A3" w:rsidRPr="009D74A3" w:rsidRDefault="009D74A3" w:rsidP="009D74A3">
            <w:pPr>
              <w:pStyle w:val="paragraph"/>
              <w:spacing w:before="0" w:beforeAutospacing="0" w:after="0" w:afterAutospacing="0"/>
              <w:jc w:val="center"/>
              <w:textAlignment w:val="baseline"/>
              <w:outlineLvl w:val="2"/>
              <w:rPr>
                <w:sz w:val="32"/>
                <w:szCs w:val="32"/>
              </w:rPr>
            </w:pPr>
            <w:r w:rsidRPr="009D74A3">
              <w:rPr>
                <w:rFonts w:eastAsiaTheme="minorHAnsi"/>
                <w:noProof/>
                <w:sz w:val="22"/>
                <w:szCs w:val="22"/>
              </w:rPr>
              <w:drawing>
                <wp:inline distT="0" distB="0" distL="0" distR="0" wp14:anchorId="0C27FAF8" wp14:editId="69D367A4">
                  <wp:extent cx="6398768" cy="2091193"/>
                  <wp:effectExtent l="0" t="0" r="2540" b="4445"/>
                  <wp:docPr id="1122489889"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443437" cy="2105791"/>
                          </a:xfrm>
                          <a:prstGeom prst="rect">
                            <a:avLst/>
                          </a:prstGeom>
                          <a:noFill/>
                          <a:ln>
                            <a:noFill/>
                          </a:ln>
                        </pic:spPr>
                      </pic:pic>
                    </a:graphicData>
                  </a:graphic>
                </wp:inline>
              </w:drawing>
            </w:r>
          </w:p>
          <w:p w14:paraId="355A2244" w14:textId="77777777" w:rsidR="009D74A3" w:rsidRPr="009D74A3" w:rsidRDefault="009D74A3" w:rsidP="009D74A3">
            <w:pPr>
              <w:pStyle w:val="paragraph"/>
              <w:spacing w:before="0" w:beforeAutospacing="0" w:after="0" w:afterAutospacing="0"/>
              <w:ind w:left="270" w:firstLine="630"/>
              <w:jc w:val="both"/>
              <w:textAlignment w:val="baseline"/>
              <w:outlineLvl w:val="2"/>
              <w:rPr>
                <w:sz w:val="32"/>
                <w:szCs w:val="32"/>
              </w:rPr>
            </w:pPr>
            <w:r w:rsidRPr="009D74A3">
              <w:rPr>
                <w:rStyle w:val="normaltextrun"/>
                <w:rFonts w:ascii="Times New Roman" w:hAnsi="Times New Roman" w:cs="Times New Roman"/>
                <w:b/>
                <w:bCs/>
                <w:sz w:val="20"/>
                <w:szCs w:val="20"/>
                <w:lang w:val="es-MX"/>
              </w:rPr>
              <w:t>Fuente:</w:t>
            </w:r>
            <w:r w:rsidRPr="009D74A3">
              <w:rPr>
                <w:rStyle w:val="normaltextrun"/>
                <w:rFonts w:ascii="Times New Roman" w:hAnsi="Times New Roman" w:cs="Times New Roman"/>
                <w:sz w:val="20"/>
                <w:szCs w:val="20"/>
                <w:lang w:val="es-MX"/>
              </w:rPr>
              <w:t xml:space="preserve"> Secretaría Distrital de Hacienda.</w:t>
            </w:r>
            <w:r w:rsidRPr="009D74A3">
              <w:rPr>
                <w:rStyle w:val="eop"/>
                <w:sz w:val="20"/>
                <w:szCs w:val="20"/>
              </w:rPr>
              <w:t> </w:t>
            </w:r>
          </w:p>
          <w:p w14:paraId="5DE15F85"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eop"/>
              </w:rPr>
              <w:t> </w:t>
            </w:r>
          </w:p>
          <w:p w14:paraId="2A1A62D6" w14:textId="15E5A6CC"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lang w:val="es-MX"/>
              </w:rPr>
              <w:t xml:space="preserve">Así mismo, el comportamiento del ICA está influenciado por el ciclo económico de la ciudad. Periodos relativamente estables en la economía se acompañan de estabilidad en el crecimiento del recaudo del ICA, mientras que periodos de mayor variabilidad como el choque de la pandemia y posterior a la emergencia sanitaria, generan mayores volatilidades en el recaudo </w:t>
            </w:r>
            <w:r w:rsidRPr="009D74A3">
              <w:t>(</w:t>
            </w:r>
            <w:r w:rsidRPr="002A37E0">
              <w:rPr>
                <w:b/>
                <w:bCs/>
              </w:rPr>
              <w:t>Gráfico 25</w:t>
            </w:r>
            <w:r w:rsidRPr="009D74A3">
              <w:t>).</w:t>
            </w:r>
            <w:r w:rsidRPr="009D74A3">
              <w:rPr>
                <w:rStyle w:val="normaltextrun"/>
                <w:rFonts w:ascii="Times New Roman" w:hAnsi="Times New Roman" w:cs="Times New Roman"/>
                <w:lang w:val="es-MX"/>
              </w:rPr>
              <w:t> </w:t>
            </w:r>
            <w:r w:rsidRPr="009D74A3">
              <w:rPr>
                <w:rStyle w:val="eop"/>
              </w:rPr>
              <w:t> </w:t>
            </w:r>
          </w:p>
          <w:p w14:paraId="01708B27" w14:textId="77777777" w:rsidR="00961E7E" w:rsidRDefault="00961E7E" w:rsidP="00961E7E">
            <w:pPr>
              <w:pStyle w:val="paragraph"/>
              <w:spacing w:before="0" w:beforeAutospacing="0" w:after="0" w:afterAutospacing="0"/>
              <w:textAlignment w:val="baseline"/>
              <w:outlineLvl w:val="2"/>
            </w:pPr>
          </w:p>
          <w:p w14:paraId="15EB8571" w14:textId="77777777" w:rsidR="009D74A3" w:rsidRPr="002A37E0" w:rsidRDefault="009D74A3" w:rsidP="009D74A3">
            <w:pPr>
              <w:pStyle w:val="paragraph"/>
              <w:spacing w:before="0" w:beforeAutospacing="0" w:after="0" w:afterAutospacing="0"/>
              <w:jc w:val="center"/>
              <w:textAlignment w:val="baseline"/>
              <w:outlineLvl w:val="2"/>
              <w:rPr>
                <w:b/>
                <w:bCs/>
              </w:rPr>
            </w:pPr>
            <w:r w:rsidRPr="002A37E0">
              <w:rPr>
                <w:b/>
                <w:bCs/>
              </w:rPr>
              <w:t>Gráfico 25</w:t>
            </w:r>
          </w:p>
          <w:p w14:paraId="1792F375" w14:textId="6BFE4D61" w:rsidR="009D74A3" w:rsidRPr="009D74A3" w:rsidRDefault="009D74A3" w:rsidP="009D74A3">
            <w:pPr>
              <w:pStyle w:val="paragraph"/>
              <w:spacing w:before="0" w:beforeAutospacing="0" w:after="0" w:afterAutospacing="0"/>
              <w:jc w:val="center"/>
              <w:textAlignment w:val="baseline"/>
              <w:outlineLvl w:val="2"/>
              <w:rPr>
                <w:sz w:val="32"/>
                <w:szCs w:val="32"/>
              </w:rPr>
            </w:pPr>
            <w:r w:rsidRPr="009D74A3">
              <w:rPr>
                <w:rStyle w:val="normaltextrun"/>
                <w:rFonts w:ascii="Times New Roman" w:hAnsi="Times New Roman" w:cs="Times New Roman"/>
                <w:b/>
                <w:bCs/>
                <w:lang w:val="es-ES"/>
              </w:rPr>
              <w:t>Crecimiento real del ICA y del PIB Bogotá</w:t>
            </w:r>
            <w:r w:rsidRPr="009D74A3">
              <w:rPr>
                <w:rStyle w:val="eop"/>
              </w:rPr>
              <w:t> </w:t>
            </w:r>
          </w:p>
          <w:p w14:paraId="7B929AF4" w14:textId="77777777" w:rsidR="009D74A3" w:rsidRPr="009D74A3" w:rsidRDefault="009D74A3" w:rsidP="009D74A3">
            <w:pPr>
              <w:pStyle w:val="paragraph"/>
              <w:spacing w:before="0" w:beforeAutospacing="0" w:after="0" w:afterAutospacing="0"/>
              <w:jc w:val="center"/>
              <w:textAlignment w:val="baseline"/>
              <w:outlineLvl w:val="2"/>
              <w:rPr>
                <w:sz w:val="32"/>
                <w:szCs w:val="32"/>
              </w:rPr>
            </w:pPr>
            <w:r w:rsidRPr="009D74A3">
              <w:rPr>
                <w:rStyle w:val="normaltextrun"/>
                <w:rFonts w:ascii="Times New Roman" w:hAnsi="Times New Roman" w:cs="Times New Roman"/>
                <w:i/>
                <w:iCs/>
                <w:lang w:val="es-ES"/>
              </w:rPr>
              <w:t>Variación anual real (%)</w:t>
            </w:r>
            <w:r w:rsidRPr="009D74A3">
              <w:rPr>
                <w:rStyle w:val="eop"/>
              </w:rPr>
              <w:t> </w:t>
            </w:r>
          </w:p>
          <w:p w14:paraId="424F7F79" w14:textId="791B8905" w:rsidR="009D74A3" w:rsidRPr="009D74A3" w:rsidRDefault="009D74A3" w:rsidP="009D74A3">
            <w:pPr>
              <w:pStyle w:val="paragraph"/>
              <w:spacing w:before="0" w:beforeAutospacing="0" w:after="0" w:afterAutospacing="0"/>
              <w:jc w:val="center"/>
              <w:textAlignment w:val="baseline"/>
              <w:outlineLvl w:val="2"/>
              <w:rPr>
                <w:sz w:val="32"/>
                <w:szCs w:val="32"/>
              </w:rPr>
            </w:pPr>
            <w:r w:rsidRPr="009D74A3">
              <w:rPr>
                <w:rFonts w:eastAsiaTheme="minorHAnsi"/>
                <w:noProof/>
                <w:sz w:val="22"/>
                <w:szCs w:val="22"/>
              </w:rPr>
              <w:drawing>
                <wp:inline distT="0" distB="0" distL="0" distR="0" wp14:anchorId="74D3A381" wp14:editId="38A047C0">
                  <wp:extent cx="6400010" cy="1850065"/>
                  <wp:effectExtent l="0" t="0" r="1270" b="4445"/>
                  <wp:docPr id="762160258"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504967" cy="1880405"/>
                          </a:xfrm>
                          <a:prstGeom prst="rect">
                            <a:avLst/>
                          </a:prstGeom>
                          <a:noFill/>
                          <a:ln>
                            <a:noFill/>
                          </a:ln>
                        </pic:spPr>
                      </pic:pic>
                    </a:graphicData>
                  </a:graphic>
                </wp:inline>
              </w:drawing>
            </w:r>
          </w:p>
          <w:p w14:paraId="7EDA101B" w14:textId="77777777" w:rsidR="009D74A3" w:rsidRPr="009D74A3" w:rsidRDefault="009D74A3" w:rsidP="009D74A3">
            <w:pPr>
              <w:pStyle w:val="paragraph"/>
              <w:spacing w:before="0" w:beforeAutospacing="0" w:after="0" w:afterAutospacing="0"/>
              <w:ind w:left="705" w:firstLine="495"/>
              <w:textAlignment w:val="baseline"/>
              <w:outlineLvl w:val="2"/>
              <w:rPr>
                <w:sz w:val="32"/>
                <w:szCs w:val="32"/>
              </w:rPr>
            </w:pPr>
            <w:r w:rsidRPr="009D74A3">
              <w:rPr>
                <w:rStyle w:val="normaltextrun"/>
                <w:rFonts w:ascii="Times New Roman" w:hAnsi="Times New Roman" w:cs="Times New Roman"/>
                <w:b/>
                <w:bCs/>
                <w:sz w:val="20"/>
                <w:szCs w:val="20"/>
                <w:lang w:val="es-MX"/>
              </w:rPr>
              <w:t>Fuente:</w:t>
            </w:r>
            <w:r w:rsidRPr="009D74A3">
              <w:rPr>
                <w:rStyle w:val="normaltextrun"/>
                <w:rFonts w:ascii="Times New Roman" w:hAnsi="Times New Roman" w:cs="Times New Roman"/>
                <w:sz w:val="20"/>
                <w:szCs w:val="20"/>
                <w:lang w:val="es-MX"/>
              </w:rPr>
              <w:t xml:space="preserve"> DANE, PIB trimestral de Bogotá D.C.; y Secretaría Distrital de Hacienda.</w:t>
            </w:r>
            <w:r w:rsidRPr="009D74A3">
              <w:rPr>
                <w:rStyle w:val="eop"/>
                <w:sz w:val="20"/>
                <w:szCs w:val="20"/>
              </w:rPr>
              <w:t> </w:t>
            </w:r>
          </w:p>
          <w:p w14:paraId="0EA8E322"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eop"/>
              </w:rPr>
              <w:t> </w:t>
            </w:r>
          </w:p>
          <w:p w14:paraId="001E44A1" w14:textId="34636256" w:rsidR="009D74A3" w:rsidRPr="009D74A3" w:rsidRDefault="009D74A3" w:rsidP="009D74A3">
            <w:pPr>
              <w:pStyle w:val="paragraph"/>
              <w:spacing w:before="0" w:beforeAutospacing="0" w:after="0" w:afterAutospacing="0"/>
              <w:jc w:val="both"/>
              <w:textAlignment w:val="baseline"/>
              <w:outlineLvl w:val="2"/>
            </w:pPr>
            <w:r w:rsidRPr="009D74A3">
              <w:rPr>
                <w:rStyle w:val="normaltextrun"/>
                <w:rFonts w:ascii="Times New Roman" w:hAnsi="Times New Roman" w:cs="Times New Roman"/>
                <w:lang w:val="es-MX"/>
              </w:rPr>
              <w:t>Los ingresos anuales por cuenta del ICA han aumentado en los últimos años, luego de una trayectoria levemente descendente que se observó hasta el año 2020. La disminución de la participación del ICA en los ingresos totales hasta el año 2020 se explica por un mayor recaudo del impuesto predial unificado (IPU) y la dinámica de otras fuentes como las Transferencias Nacionales. Por su parte, el ICA represent</w:t>
            </w:r>
            <w:r w:rsidR="001A4CD3">
              <w:rPr>
                <w:rStyle w:val="normaltextrun"/>
                <w:rFonts w:ascii="Times New Roman" w:hAnsi="Times New Roman" w:cs="Times New Roman"/>
                <w:lang w:val="es-MX"/>
              </w:rPr>
              <w:t>ó</w:t>
            </w:r>
            <w:r w:rsidRPr="009D74A3">
              <w:rPr>
                <w:rStyle w:val="normaltextrun"/>
                <w:rFonts w:ascii="Times New Roman" w:hAnsi="Times New Roman" w:cs="Times New Roman"/>
                <w:lang w:val="es-MX"/>
              </w:rPr>
              <w:t xml:space="preserve"> cerca del 23% en 2024 como proporción de los ingresos totales de la Administración Central </w:t>
            </w:r>
            <w:r w:rsidRPr="009D74A3">
              <w:t>(</w:t>
            </w:r>
            <w:r w:rsidRPr="002A37E0">
              <w:rPr>
                <w:b/>
                <w:bCs/>
              </w:rPr>
              <w:t>Gráfico 26</w:t>
            </w:r>
            <w:r w:rsidRPr="009D74A3">
              <w:t>). </w:t>
            </w:r>
          </w:p>
          <w:p w14:paraId="68616892" w14:textId="77777777" w:rsidR="00961E7E" w:rsidRDefault="00961E7E" w:rsidP="009D74A3">
            <w:pPr>
              <w:jc w:val="center"/>
              <w:outlineLvl w:val="2"/>
              <w:rPr>
                <w:rFonts w:ascii="Times New Roman" w:hAnsi="Times New Roman" w:cs="Times New Roman"/>
                <w:b/>
                <w:bCs/>
                <w:sz w:val="24"/>
                <w:szCs w:val="24"/>
              </w:rPr>
            </w:pPr>
          </w:p>
          <w:p w14:paraId="5AAE57D4" w14:textId="77777777" w:rsidR="00E22475" w:rsidRDefault="00E22475" w:rsidP="009D74A3">
            <w:pPr>
              <w:jc w:val="center"/>
              <w:outlineLvl w:val="2"/>
              <w:rPr>
                <w:rFonts w:ascii="Times New Roman" w:hAnsi="Times New Roman" w:cs="Times New Roman"/>
                <w:b/>
                <w:bCs/>
                <w:sz w:val="24"/>
                <w:szCs w:val="24"/>
              </w:rPr>
            </w:pPr>
          </w:p>
          <w:p w14:paraId="4E67CB5A" w14:textId="77777777" w:rsidR="00E22475" w:rsidRDefault="00E22475" w:rsidP="009D74A3">
            <w:pPr>
              <w:jc w:val="center"/>
              <w:outlineLvl w:val="2"/>
              <w:rPr>
                <w:rFonts w:ascii="Times New Roman" w:hAnsi="Times New Roman" w:cs="Times New Roman"/>
                <w:b/>
                <w:bCs/>
                <w:sz w:val="24"/>
                <w:szCs w:val="24"/>
              </w:rPr>
            </w:pPr>
          </w:p>
          <w:p w14:paraId="68C596DC" w14:textId="77777777" w:rsidR="00E22475" w:rsidRDefault="00E22475" w:rsidP="009D74A3">
            <w:pPr>
              <w:jc w:val="center"/>
              <w:outlineLvl w:val="2"/>
              <w:rPr>
                <w:rFonts w:ascii="Times New Roman" w:hAnsi="Times New Roman" w:cs="Times New Roman"/>
                <w:b/>
                <w:bCs/>
                <w:sz w:val="24"/>
                <w:szCs w:val="24"/>
              </w:rPr>
            </w:pPr>
          </w:p>
          <w:p w14:paraId="1BB376B5" w14:textId="77ED5EF9" w:rsidR="009D74A3" w:rsidRPr="002A37E0" w:rsidRDefault="009D74A3" w:rsidP="009D74A3">
            <w:pPr>
              <w:jc w:val="center"/>
              <w:outlineLvl w:val="2"/>
              <w:rPr>
                <w:rFonts w:ascii="Times New Roman" w:hAnsi="Times New Roman" w:cs="Times New Roman"/>
                <w:b/>
                <w:bCs/>
                <w:sz w:val="24"/>
                <w:szCs w:val="24"/>
              </w:rPr>
            </w:pPr>
            <w:r w:rsidRPr="002A37E0">
              <w:rPr>
                <w:rFonts w:ascii="Times New Roman" w:hAnsi="Times New Roman" w:cs="Times New Roman"/>
                <w:b/>
                <w:bCs/>
                <w:sz w:val="24"/>
                <w:szCs w:val="24"/>
              </w:rPr>
              <w:t>Gráfico 26</w:t>
            </w:r>
          </w:p>
          <w:p w14:paraId="4EDDBCFE" w14:textId="77777777" w:rsidR="009D74A3" w:rsidRPr="009D74A3" w:rsidRDefault="009D74A3" w:rsidP="009D74A3">
            <w:pPr>
              <w:pStyle w:val="paragraph"/>
              <w:spacing w:before="0" w:beforeAutospacing="0" w:after="0" w:afterAutospacing="0"/>
              <w:ind w:left="-435"/>
              <w:jc w:val="center"/>
              <w:textAlignment w:val="baseline"/>
              <w:outlineLvl w:val="2"/>
              <w:rPr>
                <w:sz w:val="32"/>
                <w:szCs w:val="32"/>
              </w:rPr>
            </w:pPr>
            <w:r w:rsidRPr="009D74A3">
              <w:rPr>
                <w:rStyle w:val="normaltextrun"/>
                <w:rFonts w:ascii="Times New Roman" w:hAnsi="Times New Roman" w:cs="Times New Roman"/>
                <w:b/>
                <w:bCs/>
                <w:color w:val="000000"/>
                <w:lang w:val="es-MX"/>
              </w:rPr>
              <w:t> Participación del ICA en los ingresos tributarios y totales de Bogotá</w:t>
            </w:r>
            <w:r w:rsidRPr="009D74A3">
              <w:rPr>
                <w:rStyle w:val="eop"/>
                <w:color w:val="000000"/>
              </w:rPr>
              <w:t> </w:t>
            </w:r>
          </w:p>
          <w:p w14:paraId="2BA841CE" w14:textId="77777777" w:rsidR="009D74A3" w:rsidRPr="009D74A3" w:rsidRDefault="009D74A3" w:rsidP="009D74A3">
            <w:pPr>
              <w:pStyle w:val="paragraph"/>
              <w:spacing w:before="0" w:beforeAutospacing="0" w:after="0" w:afterAutospacing="0"/>
              <w:ind w:left="-435"/>
              <w:jc w:val="center"/>
              <w:textAlignment w:val="baseline"/>
              <w:outlineLvl w:val="2"/>
              <w:rPr>
                <w:sz w:val="32"/>
                <w:szCs w:val="32"/>
              </w:rPr>
            </w:pPr>
            <w:r w:rsidRPr="009D74A3">
              <w:rPr>
                <w:rStyle w:val="normaltextrun"/>
                <w:rFonts w:ascii="Times New Roman" w:hAnsi="Times New Roman" w:cs="Times New Roman"/>
                <w:i/>
                <w:iCs/>
                <w:color w:val="000000"/>
                <w:lang w:val="es-MX"/>
              </w:rPr>
              <w:t>Porcentaje</w:t>
            </w:r>
            <w:r w:rsidRPr="009D74A3">
              <w:rPr>
                <w:rStyle w:val="eop"/>
                <w:color w:val="000000"/>
              </w:rPr>
              <w:t> </w:t>
            </w:r>
          </w:p>
          <w:p w14:paraId="70F13408" w14:textId="77777777" w:rsidR="009D74A3" w:rsidRPr="009D74A3" w:rsidRDefault="009D74A3" w:rsidP="009D74A3">
            <w:pPr>
              <w:pStyle w:val="paragraph"/>
              <w:spacing w:before="0" w:beforeAutospacing="0" w:after="0" w:afterAutospacing="0"/>
              <w:textAlignment w:val="baseline"/>
              <w:outlineLvl w:val="2"/>
              <w:rPr>
                <w:sz w:val="32"/>
                <w:szCs w:val="32"/>
              </w:rPr>
            </w:pPr>
            <w:r w:rsidRPr="009D74A3">
              <w:rPr>
                <w:rStyle w:val="eop"/>
                <w:sz w:val="4"/>
                <w:szCs w:val="4"/>
              </w:rPr>
              <w:t> </w:t>
            </w:r>
          </w:p>
          <w:p w14:paraId="7065F996" w14:textId="09962D0D" w:rsidR="009D74A3" w:rsidRPr="009D74A3" w:rsidRDefault="009D74A3" w:rsidP="009D74A3">
            <w:pPr>
              <w:pStyle w:val="paragraph"/>
              <w:spacing w:before="0" w:beforeAutospacing="0" w:after="0" w:afterAutospacing="0"/>
              <w:jc w:val="center"/>
              <w:textAlignment w:val="baseline"/>
              <w:outlineLvl w:val="2"/>
              <w:rPr>
                <w:sz w:val="32"/>
                <w:szCs w:val="32"/>
              </w:rPr>
            </w:pPr>
            <w:r w:rsidRPr="009D74A3">
              <w:rPr>
                <w:rFonts w:eastAsiaTheme="minorHAnsi"/>
                <w:noProof/>
                <w:sz w:val="22"/>
                <w:szCs w:val="22"/>
              </w:rPr>
              <w:drawing>
                <wp:inline distT="0" distB="0" distL="0" distR="0" wp14:anchorId="76349186" wp14:editId="529E484C">
                  <wp:extent cx="6398411" cy="2122998"/>
                  <wp:effectExtent l="0" t="0" r="2540" b="0"/>
                  <wp:docPr id="1107169114"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457156" cy="2142490"/>
                          </a:xfrm>
                          <a:prstGeom prst="rect">
                            <a:avLst/>
                          </a:prstGeom>
                          <a:noFill/>
                          <a:ln>
                            <a:noFill/>
                          </a:ln>
                        </pic:spPr>
                      </pic:pic>
                    </a:graphicData>
                  </a:graphic>
                </wp:inline>
              </w:drawing>
            </w:r>
          </w:p>
          <w:p w14:paraId="1324D1E0" w14:textId="77777777" w:rsidR="009D74A3" w:rsidRPr="009D74A3" w:rsidRDefault="009D74A3" w:rsidP="009D74A3">
            <w:pPr>
              <w:pStyle w:val="paragraph"/>
              <w:spacing w:before="0" w:beforeAutospacing="0" w:after="0" w:afterAutospacing="0"/>
              <w:ind w:left="270" w:firstLine="345"/>
              <w:jc w:val="both"/>
              <w:textAlignment w:val="baseline"/>
              <w:outlineLvl w:val="2"/>
              <w:rPr>
                <w:sz w:val="32"/>
                <w:szCs w:val="32"/>
              </w:rPr>
            </w:pPr>
            <w:r w:rsidRPr="009D74A3">
              <w:rPr>
                <w:rStyle w:val="normaltextrun"/>
                <w:rFonts w:ascii="Times New Roman" w:hAnsi="Times New Roman" w:cs="Times New Roman"/>
                <w:sz w:val="20"/>
                <w:szCs w:val="20"/>
                <w:lang w:val="es-MX"/>
              </w:rPr>
              <w:t>Fuente: Secretaría Distrital de Hacienda.</w:t>
            </w:r>
            <w:r w:rsidRPr="009D74A3">
              <w:rPr>
                <w:rStyle w:val="eop"/>
                <w:sz w:val="20"/>
                <w:szCs w:val="20"/>
              </w:rPr>
              <w:t> </w:t>
            </w:r>
          </w:p>
          <w:p w14:paraId="069444E3" w14:textId="77777777" w:rsidR="009D74A3" w:rsidRDefault="009D74A3" w:rsidP="009D74A3">
            <w:pPr>
              <w:pStyle w:val="paragraph"/>
              <w:spacing w:before="0" w:beforeAutospacing="0" w:after="0" w:afterAutospacing="0"/>
              <w:textAlignment w:val="baseline"/>
              <w:outlineLvl w:val="2"/>
              <w:rPr>
                <w:rStyle w:val="eop"/>
                <w:sz w:val="22"/>
                <w:szCs w:val="22"/>
              </w:rPr>
            </w:pPr>
            <w:r w:rsidRPr="009D74A3">
              <w:rPr>
                <w:rStyle w:val="eop"/>
                <w:sz w:val="22"/>
                <w:szCs w:val="22"/>
              </w:rPr>
              <w:t> </w:t>
            </w:r>
          </w:p>
          <w:p w14:paraId="01236906" w14:textId="0045B08F" w:rsidR="009D74A3" w:rsidRPr="009D74A3" w:rsidRDefault="009D74A3">
            <w:pPr>
              <w:pStyle w:val="paragraph"/>
              <w:numPr>
                <w:ilvl w:val="2"/>
                <w:numId w:val="6"/>
              </w:numPr>
              <w:spacing w:before="0" w:beforeAutospacing="0" w:after="0" w:afterAutospacing="0"/>
              <w:textAlignment w:val="baseline"/>
              <w:outlineLvl w:val="2"/>
              <w:rPr>
                <w:color w:val="2E74B5"/>
              </w:rPr>
            </w:pPr>
            <w:r w:rsidRPr="009D74A3">
              <w:rPr>
                <w:rStyle w:val="normaltextrun"/>
                <w:rFonts w:ascii="Times New Roman" w:hAnsi="Times New Roman" w:cs="Times New Roman"/>
                <w:b/>
                <w:bCs/>
              </w:rPr>
              <w:t>Caracterización de los contribuyentes</w:t>
            </w:r>
            <w:r w:rsidRPr="009D74A3">
              <w:rPr>
                <w:rStyle w:val="eop"/>
              </w:rPr>
              <w:t> </w:t>
            </w:r>
          </w:p>
          <w:p w14:paraId="4680B344" w14:textId="77777777" w:rsidR="009D74A3" w:rsidRPr="009D74A3" w:rsidRDefault="009D74A3" w:rsidP="009D74A3">
            <w:pPr>
              <w:pStyle w:val="paragraph"/>
              <w:spacing w:before="0" w:beforeAutospacing="0" w:after="0" w:afterAutospacing="0"/>
              <w:textAlignment w:val="baseline"/>
              <w:outlineLvl w:val="2"/>
              <w:rPr>
                <w:sz w:val="32"/>
                <w:szCs w:val="32"/>
              </w:rPr>
            </w:pPr>
            <w:r w:rsidRPr="009D74A3">
              <w:rPr>
                <w:rStyle w:val="eop"/>
                <w:sz w:val="22"/>
                <w:szCs w:val="22"/>
              </w:rPr>
              <w:t> </w:t>
            </w:r>
          </w:p>
          <w:p w14:paraId="17A6AC0B" w14:textId="413F6B13" w:rsidR="003D722F" w:rsidRPr="009D74A3" w:rsidRDefault="009D74A3" w:rsidP="003D722F">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lang w:val="es-419"/>
              </w:rPr>
              <w:t xml:space="preserve">En 2024, </w:t>
            </w:r>
            <w:r w:rsidR="003D722F" w:rsidRPr="009D74A3">
              <w:rPr>
                <w:rStyle w:val="normaltextrun"/>
                <w:rFonts w:ascii="Times New Roman" w:hAnsi="Times New Roman" w:cs="Times New Roman"/>
                <w:lang w:val="es-419"/>
              </w:rPr>
              <w:t>1</w:t>
            </w:r>
            <w:r w:rsidR="003D722F">
              <w:rPr>
                <w:rStyle w:val="normaltextrun"/>
                <w:rFonts w:ascii="Times New Roman" w:hAnsi="Times New Roman" w:cs="Times New Roman"/>
                <w:lang w:val="es-419"/>
              </w:rPr>
              <w:t>85.149</w:t>
            </w:r>
            <w:r w:rsidRPr="009D74A3">
              <w:rPr>
                <w:rStyle w:val="normaltextrun"/>
                <w:rFonts w:ascii="Times New Roman" w:hAnsi="Times New Roman" w:cs="Times New Roman"/>
                <w:lang w:val="es-419"/>
              </w:rPr>
              <w:t xml:space="preserve"> personas</w:t>
            </w:r>
            <w:r w:rsidR="00D0205F">
              <w:rPr>
                <w:rStyle w:val="normaltextrun"/>
                <w:rFonts w:ascii="Times New Roman" w:hAnsi="Times New Roman" w:cs="Times New Roman"/>
                <w:lang w:val="es-419"/>
              </w:rPr>
              <w:t xml:space="preserve"> </w:t>
            </w:r>
            <w:r w:rsidRPr="009D74A3">
              <w:rPr>
                <w:rStyle w:val="normaltextrun"/>
                <w:rFonts w:ascii="Times New Roman" w:hAnsi="Times New Roman" w:cs="Times New Roman"/>
                <w:lang w:val="es-419"/>
              </w:rPr>
              <w:t>y jurídicas declararon el impuesto de Industria y Comercio (ICA). El 97% son MiPymes (micro, pequeñas o medianas empresas) y el 8</w:t>
            </w:r>
            <w:r w:rsidR="00B76646">
              <w:rPr>
                <w:rStyle w:val="normaltextrun"/>
                <w:rFonts w:ascii="Times New Roman" w:hAnsi="Times New Roman" w:cs="Times New Roman"/>
                <w:lang w:val="es-419"/>
              </w:rPr>
              <w:t>6</w:t>
            </w:r>
            <w:r w:rsidR="00103854">
              <w:rPr>
                <w:rStyle w:val="normaltextrun"/>
                <w:rFonts w:ascii="Times New Roman" w:hAnsi="Times New Roman" w:cs="Times New Roman"/>
                <w:lang w:val="es-419"/>
              </w:rPr>
              <w:t>,4</w:t>
            </w:r>
            <w:r w:rsidRPr="009D74A3">
              <w:rPr>
                <w:rStyle w:val="normaltextrun"/>
                <w:rFonts w:ascii="Times New Roman" w:hAnsi="Times New Roman" w:cs="Times New Roman"/>
                <w:lang w:val="es-419"/>
              </w:rPr>
              <w:t xml:space="preserve">% realizan alguna actividad económica de comercio o </w:t>
            </w:r>
            <w:r w:rsidRPr="009D74A3">
              <w:t>servicios (</w:t>
            </w:r>
            <w:r w:rsidRPr="00AE4E0A">
              <w:rPr>
                <w:b/>
                <w:bCs/>
              </w:rPr>
              <w:t xml:space="preserve">Tabla </w:t>
            </w:r>
            <w:r w:rsidRPr="00AE4E0A">
              <w:rPr>
                <w:rFonts w:eastAsiaTheme="minorEastAsia"/>
                <w:b/>
                <w:bCs/>
              </w:rPr>
              <w:t>5</w:t>
            </w:r>
            <w:r w:rsidRPr="009D74A3">
              <w:t xml:space="preserve">). </w:t>
            </w:r>
            <w:r w:rsidR="003D722F" w:rsidRPr="009D74A3">
              <w:t xml:space="preserve">Adicionalmente, la mayor parte del </w:t>
            </w:r>
            <w:r w:rsidR="003D722F">
              <w:t>ingreso bruto total</w:t>
            </w:r>
            <w:r w:rsidR="003D722F" w:rsidRPr="009D74A3">
              <w:t xml:space="preserve"> se explica por la actividad económica de las grandes empresas, particularmente de las de servicios y actividades financieras (</w:t>
            </w:r>
            <w:r w:rsidR="003D722F" w:rsidRPr="00AE4E0A">
              <w:rPr>
                <w:b/>
                <w:bCs/>
              </w:rPr>
              <w:t xml:space="preserve">Tabla </w:t>
            </w:r>
            <w:r w:rsidR="003D722F" w:rsidRPr="00AE4E0A">
              <w:rPr>
                <w:rFonts w:eastAsiaTheme="minorEastAsia"/>
                <w:b/>
                <w:bCs/>
              </w:rPr>
              <w:t>6</w:t>
            </w:r>
            <w:r w:rsidR="003D722F" w:rsidRPr="009D74A3">
              <w:t>).</w:t>
            </w:r>
            <w:r w:rsidR="003D722F" w:rsidRPr="009D74A3">
              <w:rPr>
                <w:rStyle w:val="normaltextrun"/>
                <w:rFonts w:ascii="Times New Roman" w:hAnsi="Times New Roman" w:cs="Times New Roman"/>
                <w:lang w:val="es-419"/>
              </w:rPr>
              <w:t>  </w:t>
            </w:r>
            <w:r w:rsidR="003D722F" w:rsidRPr="009D74A3">
              <w:rPr>
                <w:rStyle w:val="eop"/>
              </w:rPr>
              <w:t> </w:t>
            </w:r>
          </w:p>
          <w:p w14:paraId="7022F191" w14:textId="77777777" w:rsidR="003D722F" w:rsidRPr="009D74A3" w:rsidRDefault="003D722F" w:rsidP="003D722F">
            <w:pPr>
              <w:pStyle w:val="paragraph"/>
              <w:spacing w:before="0" w:beforeAutospacing="0" w:after="0" w:afterAutospacing="0"/>
              <w:jc w:val="center"/>
              <w:textAlignment w:val="baseline"/>
              <w:outlineLvl w:val="2"/>
              <w:rPr>
                <w:sz w:val="32"/>
                <w:szCs w:val="32"/>
              </w:rPr>
            </w:pPr>
            <w:r w:rsidRPr="00AE4E0A">
              <w:rPr>
                <w:b/>
                <w:bCs/>
              </w:rPr>
              <w:t>Tabla 5.</w:t>
            </w:r>
            <w:r w:rsidRPr="009D74A3">
              <w:br/>
            </w:r>
            <w:r w:rsidRPr="009D74A3">
              <w:rPr>
                <w:rStyle w:val="normaltextrun"/>
                <w:rFonts w:ascii="Times New Roman" w:hAnsi="Times New Roman" w:cs="Times New Roman"/>
                <w:b/>
                <w:bCs/>
                <w:lang w:val="es-419"/>
              </w:rPr>
              <w:t>Distribución de los contribuyentes por actividades y tamaño - 2024</w:t>
            </w:r>
            <w:r w:rsidRPr="009D74A3">
              <w:rPr>
                <w:rStyle w:val="eop"/>
              </w:rPr>
              <w:t> </w:t>
            </w:r>
          </w:p>
          <w:p w14:paraId="079A4423" w14:textId="77777777" w:rsidR="003D722F" w:rsidRPr="009D74A3" w:rsidRDefault="003D722F" w:rsidP="003D722F">
            <w:pPr>
              <w:pStyle w:val="paragraph"/>
              <w:spacing w:before="0" w:beforeAutospacing="0" w:after="0" w:afterAutospacing="0"/>
              <w:jc w:val="center"/>
              <w:textAlignment w:val="baseline"/>
              <w:outlineLvl w:val="2"/>
              <w:rPr>
                <w:sz w:val="32"/>
                <w:szCs w:val="32"/>
              </w:rPr>
            </w:pPr>
            <w:r w:rsidRPr="009D74A3">
              <w:rPr>
                <w:rStyle w:val="normaltextrun"/>
                <w:rFonts w:ascii="Times New Roman" w:hAnsi="Times New Roman" w:cs="Times New Roman"/>
                <w:i/>
                <w:iCs/>
                <w:lang w:val="es-419"/>
              </w:rPr>
              <w:t>Porcentaje</w:t>
            </w:r>
            <w:r w:rsidRPr="009D74A3">
              <w:rPr>
                <w:rStyle w:val="eop"/>
              </w:rPr>
              <w:t> </w:t>
            </w:r>
          </w:p>
          <w:p w14:paraId="44349AF4" w14:textId="77777777" w:rsidR="003D722F" w:rsidRPr="009D74A3" w:rsidRDefault="003D722F" w:rsidP="003D722F">
            <w:pPr>
              <w:pStyle w:val="paragraph"/>
              <w:spacing w:before="0" w:beforeAutospacing="0" w:after="0" w:afterAutospacing="0"/>
              <w:ind w:firstLine="345"/>
              <w:jc w:val="center"/>
              <w:textAlignment w:val="baseline"/>
              <w:outlineLvl w:val="2"/>
              <w:rPr>
                <w:sz w:val="32"/>
                <w:szCs w:val="32"/>
              </w:rPr>
            </w:pPr>
            <w:r w:rsidRPr="00800752">
              <w:rPr>
                <w:rStyle w:val="eop"/>
                <w:noProof/>
                <w:sz w:val="20"/>
                <w:szCs w:val="20"/>
              </w:rPr>
              <w:drawing>
                <wp:inline distT="0" distB="0" distL="0" distR="0" wp14:anchorId="1F722F60" wp14:editId="7A902933">
                  <wp:extent cx="3816350" cy="1257300"/>
                  <wp:effectExtent l="0" t="0" r="0" b="0"/>
                  <wp:docPr id="1837364614"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816350" cy="1257300"/>
                          </a:xfrm>
                          <a:prstGeom prst="rect">
                            <a:avLst/>
                          </a:prstGeom>
                          <a:noFill/>
                          <a:ln>
                            <a:noFill/>
                          </a:ln>
                        </pic:spPr>
                      </pic:pic>
                    </a:graphicData>
                  </a:graphic>
                </wp:inline>
              </w:drawing>
            </w:r>
            <w:r w:rsidRPr="009D74A3">
              <w:rPr>
                <w:rStyle w:val="eop"/>
                <w:sz w:val="20"/>
                <w:szCs w:val="20"/>
              </w:rPr>
              <w:t> </w:t>
            </w:r>
          </w:p>
          <w:p w14:paraId="31294ADF" w14:textId="77777777" w:rsidR="003D722F" w:rsidRPr="009D74A3" w:rsidRDefault="003D722F" w:rsidP="003D722F">
            <w:pPr>
              <w:pStyle w:val="paragraph"/>
              <w:spacing w:before="0" w:beforeAutospacing="0" w:after="0" w:afterAutospacing="0"/>
              <w:ind w:left="2055" w:right="1755"/>
              <w:jc w:val="both"/>
              <w:textAlignment w:val="baseline"/>
              <w:outlineLvl w:val="2"/>
              <w:rPr>
                <w:sz w:val="32"/>
                <w:szCs w:val="32"/>
              </w:rPr>
            </w:pPr>
            <w:r w:rsidRPr="009D74A3">
              <w:rPr>
                <w:rStyle w:val="normaltextrun"/>
                <w:rFonts w:ascii="Times New Roman" w:hAnsi="Times New Roman" w:cs="Times New Roman"/>
                <w:b/>
                <w:bCs/>
                <w:sz w:val="20"/>
                <w:szCs w:val="20"/>
                <w:lang w:val="es-419"/>
              </w:rPr>
              <w:t>Fuente</w:t>
            </w:r>
            <w:r w:rsidRPr="009D74A3">
              <w:rPr>
                <w:rStyle w:val="normaltextrun"/>
                <w:rFonts w:ascii="Times New Roman" w:hAnsi="Times New Roman" w:cs="Times New Roman"/>
                <w:sz w:val="20"/>
                <w:szCs w:val="20"/>
                <w:lang w:val="es-419"/>
              </w:rPr>
              <w:t xml:space="preserve">: Cálculos </w:t>
            </w:r>
            <w:r w:rsidRPr="009D74A3">
              <w:rPr>
                <w:rStyle w:val="normaltextrun"/>
                <w:rFonts w:ascii="Times New Roman" w:hAnsi="Times New Roman" w:cs="Times New Roman"/>
                <w:sz w:val="20"/>
                <w:szCs w:val="20"/>
                <w:lang w:val="es-MX"/>
              </w:rPr>
              <w:t>Secretaría Distrital de Hacienda</w:t>
            </w:r>
            <w:r w:rsidRPr="009D74A3">
              <w:rPr>
                <w:rStyle w:val="normaltextrun"/>
                <w:rFonts w:ascii="Times New Roman" w:hAnsi="Times New Roman" w:cs="Times New Roman"/>
                <w:sz w:val="20"/>
                <w:szCs w:val="20"/>
                <w:lang w:val="es-419"/>
              </w:rPr>
              <w:t xml:space="preserve"> con base en la información del registro mercantil de la CCB.</w:t>
            </w:r>
            <w:r w:rsidRPr="009D74A3">
              <w:rPr>
                <w:rStyle w:val="eop"/>
                <w:sz w:val="20"/>
                <w:szCs w:val="20"/>
              </w:rPr>
              <w:t> </w:t>
            </w:r>
          </w:p>
          <w:p w14:paraId="182A2AC0" w14:textId="77777777" w:rsidR="003D722F" w:rsidRDefault="003D722F" w:rsidP="003D722F">
            <w:pPr>
              <w:pStyle w:val="paragraph"/>
              <w:spacing w:before="0" w:beforeAutospacing="0" w:after="0" w:afterAutospacing="0"/>
              <w:jc w:val="both"/>
              <w:textAlignment w:val="baseline"/>
              <w:outlineLvl w:val="2"/>
              <w:rPr>
                <w:rStyle w:val="eop"/>
                <w:color w:val="000000"/>
              </w:rPr>
            </w:pPr>
            <w:r w:rsidRPr="009D74A3">
              <w:rPr>
                <w:rStyle w:val="eop"/>
                <w:color w:val="000000"/>
              </w:rPr>
              <w:t> </w:t>
            </w:r>
          </w:p>
          <w:p w14:paraId="19A98F76" w14:textId="77777777" w:rsidR="00B76646" w:rsidRDefault="00B76646" w:rsidP="003D722F">
            <w:pPr>
              <w:pStyle w:val="paragraph"/>
              <w:spacing w:before="0" w:beforeAutospacing="0" w:after="0" w:afterAutospacing="0"/>
              <w:jc w:val="both"/>
              <w:textAlignment w:val="baseline"/>
              <w:outlineLvl w:val="2"/>
              <w:rPr>
                <w:rStyle w:val="eop"/>
                <w:color w:val="000000"/>
              </w:rPr>
            </w:pPr>
          </w:p>
          <w:p w14:paraId="47429E7C" w14:textId="77777777" w:rsidR="00B76646" w:rsidRDefault="00B76646" w:rsidP="003D722F">
            <w:pPr>
              <w:pStyle w:val="paragraph"/>
              <w:spacing w:before="0" w:beforeAutospacing="0" w:after="0" w:afterAutospacing="0"/>
              <w:jc w:val="both"/>
              <w:textAlignment w:val="baseline"/>
              <w:outlineLvl w:val="2"/>
              <w:rPr>
                <w:rStyle w:val="eop"/>
                <w:color w:val="000000"/>
              </w:rPr>
            </w:pPr>
          </w:p>
          <w:p w14:paraId="24B6C425" w14:textId="77777777" w:rsidR="003D722F" w:rsidRDefault="003D722F" w:rsidP="003D722F">
            <w:pPr>
              <w:jc w:val="center"/>
              <w:rPr>
                <w:rFonts w:ascii="Times New Roman" w:hAnsi="Times New Roman" w:cs="Times New Roman"/>
                <w:b/>
                <w:bCs/>
              </w:rPr>
            </w:pPr>
          </w:p>
          <w:p w14:paraId="128F825B" w14:textId="77777777" w:rsidR="003D722F" w:rsidRDefault="003D722F" w:rsidP="003D722F">
            <w:pPr>
              <w:jc w:val="center"/>
              <w:rPr>
                <w:rFonts w:ascii="Times New Roman" w:hAnsi="Times New Roman" w:cs="Times New Roman"/>
                <w:b/>
                <w:bCs/>
              </w:rPr>
            </w:pPr>
          </w:p>
          <w:p w14:paraId="26889867" w14:textId="77777777" w:rsidR="003D722F" w:rsidRDefault="003D722F" w:rsidP="003D722F">
            <w:pPr>
              <w:jc w:val="center"/>
              <w:rPr>
                <w:rFonts w:ascii="Times New Roman" w:hAnsi="Times New Roman" w:cs="Times New Roman"/>
                <w:b/>
                <w:bCs/>
              </w:rPr>
            </w:pPr>
          </w:p>
          <w:p w14:paraId="614B7BDC" w14:textId="77777777" w:rsidR="003D722F" w:rsidRDefault="003D722F" w:rsidP="003D722F">
            <w:pPr>
              <w:jc w:val="center"/>
              <w:rPr>
                <w:rFonts w:ascii="Times New Roman" w:hAnsi="Times New Roman" w:cs="Times New Roman"/>
                <w:b/>
                <w:bCs/>
              </w:rPr>
            </w:pPr>
          </w:p>
          <w:p w14:paraId="27DB9BF6" w14:textId="77777777" w:rsidR="003D722F" w:rsidRDefault="003D722F" w:rsidP="003D722F">
            <w:pPr>
              <w:jc w:val="center"/>
              <w:rPr>
                <w:rFonts w:ascii="Times New Roman" w:hAnsi="Times New Roman" w:cs="Times New Roman"/>
                <w:b/>
                <w:bCs/>
              </w:rPr>
            </w:pPr>
          </w:p>
          <w:p w14:paraId="2EFAFB91" w14:textId="77777777" w:rsidR="003D722F" w:rsidRDefault="003D722F" w:rsidP="003D722F">
            <w:pPr>
              <w:jc w:val="center"/>
              <w:rPr>
                <w:rFonts w:ascii="Times New Roman" w:hAnsi="Times New Roman" w:cs="Times New Roman"/>
                <w:b/>
                <w:bCs/>
              </w:rPr>
            </w:pPr>
          </w:p>
          <w:p w14:paraId="6D91C34A" w14:textId="77777777" w:rsidR="003D722F" w:rsidRDefault="003D722F" w:rsidP="003D722F">
            <w:pPr>
              <w:jc w:val="center"/>
              <w:rPr>
                <w:rFonts w:ascii="Times New Roman" w:hAnsi="Times New Roman" w:cs="Times New Roman"/>
                <w:b/>
                <w:bCs/>
              </w:rPr>
            </w:pPr>
          </w:p>
          <w:p w14:paraId="0BFDD104" w14:textId="77777777" w:rsidR="003D722F" w:rsidRPr="009D74A3" w:rsidRDefault="003D722F" w:rsidP="003D722F">
            <w:pPr>
              <w:jc w:val="center"/>
              <w:rPr>
                <w:rFonts w:ascii="Times New Roman" w:hAnsi="Times New Roman" w:cs="Times New Roman"/>
                <w:b/>
                <w:bCs/>
              </w:rPr>
            </w:pPr>
            <w:r w:rsidRPr="009D74A3">
              <w:rPr>
                <w:rFonts w:ascii="Times New Roman" w:hAnsi="Times New Roman" w:cs="Times New Roman"/>
                <w:b/>
                <w:bCs/>
              </w:rPr>
              <w:t>Tabla 6 </w:t>
            </w:r>
            <w:r w:rsidRPr="009D74A3">
              <w:rPr>
                <w:rFonts w:ascii="Times New Roman" w:hAnsi="Times New Roman" w:cs="Times New Roman"/>
                <w:b/>
                <w:bCs/>
              </w:rPr>
              <w:br/>
              <w:t xml:space="preserve">Distribución del </w:t>
            </w:r>
            <w:r>
              <w:rPr>
                <w:rFonts w:ascii="Times New Roman" w:hAnsi="Times New Roman" w:cs="Times New Roman"/>
                <w:b/>
                <w:bCs/>
              </w:rPr>
              <w:t>ingreso bruto</w:t>
            </w:r>
            <w:r w:rsidRPr="009D74A3">
              <w:rPr>
                <w:rFonts w:ascii="Times New Roman" w:hAnsi="Times New Roman" w:cs="Times New Roman"/>
                <w:b/>
                <w:bCs/>
              </w:rPr>
              <w:t xml:space="preserve"> por actividades y tamaño - 2024</w:t>
            </w:r>
          </w:p>
          <w:p w14:paraId="234845EB" w14:textId="77777777" w:rsidR="003D722F" w:rsidRPr="009D74A3" w:rsidRDefault="003D722F" w:rsidP="003D722F">
            <w:pPr>
              <w:jc w:val="center"/>
              <w:rPr>
                <w:rFonts w:ascii="Times New Roman" w:hAnsi="Times New Roman" w:cs="Times New Roman"/>
                <w:b/>
                <w:bCs/>
              </w:rPr>
            </w:pPr>
            <w:r w:rsidRPr="009D74A3">
              <w:rPr>
                <w:rFonts w:ascii="Times New Roman" w:hAnsi="Times New Roman" w:cs="Times New Roman"/>
                <w:b/>
                <w:bCs/>
              </w:rPr>
              <w:t>Porcentaje</w:t>
            </w:r>
          </w:p>
          <w:p w14:paraId="26AF1C71" w14:textId="77777777" w:rsidR="003D722F" w:rsidRPr="009D74A3" w:rsidRDefault="003D722F" w:rsidP="003D722F">
            <w:pPr>
              <w:pStyle w:val="paragraph"/>
              <w:spacing w:before="0" w:beforeAutospacing="0" w:after="0" w:afterAutospacing="0"/>
              <w:ind w:left="210" w:firstLine="135"/>
              <w:jc w:val="center"/>
              <w:textAlignment w:val="baseline"/>
              <w:outlineLvl w:val="2"/>
              <w:rPr>
                <w:sz w:val="32"/>
                <w:szCs w:val="32"/>
              </w:rPr>
            </w:pPr>
            <w:r w:rsidRPr="00994E78">
              <w:rPr>
                <w:rStyle w:val="eop"/>
                <w:noProof/>
                <w:sz w:val="20"/>
                <w:szCs w:val="20"/>
              </w:rPr>
              <w:drawing>
                <wp:inline distT="0" distB="0" distL="0" distR="0" wp14:anchorId="078973A1" wp14:editId="3F25A2C2">
                  <wp:extent cx="4457700" cy="1111250"/>
                  <wp:effectExtent l="0" t="0" r="0" b="0"/>
                  <wp:docPr id="385007843"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457700" cy="1111250"/>
                          </a:xfrm>
                          <a:prstGeom prst="rect">
                            <a:avLst/>
                          </a:prstGeom>
                          <a:noFill/>
                          <a:ln>
                            <a:noFill/>
                          </a:ln>
                        </pic:spPr>
                      </pic:pic>
                    </a:graphicData>
                  </a:graphic>
                </wp:inline>
              </w:drawing>
            </w:r>
            <w:r w:rsidRPr="009D74A3">
              <w:rPr>
                <w:rStyle w:val="eop"/>
                <w:sz w:val="20"/>
                <w:szCs w:val="20"/>
              </w:rPr>
              <w:t> </w:t>
            </w:r>
          </w:p>
          <w:p w14:paraId="26E2ED40" w14:textId="77777777" w:rsidR="003D722F" w:rsidRPr="009D74A3" w:rsidRDefault="003D722F" w:rsidP="003D722F">
            <w:pPr>
              <w:pStyle w:val="paragraph"/>
              <w:spacing w:before="0" w:beforeAutospacing="0" w:after="0" w:afterAutospacing="0"/>
              <w:ind w:left="1620" w:right="1200"/>
              <w:jc w:val="both"/>
              <w:textAlignment w:val="baseline"/>
              <w:outlineLvl w:val="2"/>
              <w:rPr>
                <w:sz w:val="32"/>
                <w:szCs w:val="32"/>
              </w:rPr>
            </w:pPr>
            <w:r w:rsidRPr="009D74A3">
              <w:rPr>
                <w:rStyle w:val="normaltextrun"/>
                <w:rFonts w:ascii="Times New Roman" w:hAnsi="Times New Roman" w:cs="Times New Roman"/>
                <w:b/>
                <w:bCs/>
                <w:sz w:val="20"/>
                <w:szCs w:val="20"/>
                <w:lang w:val="es-419"/>
              </w:rPr>
              <w:t>Fuente</w:t>
            </w:r>
            <w:r w:rsidRPr="009D74A3">
              <w:rPr>
                <w:rStyle w:val="normaltextrun"/>
                <w:rFonts w:ascii="Times New Roman" w:hAnsi="Times New Roman" w:cs="Times New Roman"/>
                <w:sz w:val="20"/>
                <w:szCs w:val="20"/>
                <w:lang w:val="es-419"/>
              </w:rPr>
              <w:t xml:space="preserve">: Cálculos </w:t>
            </w:r>
            <w:r w:rsidRPr="009D74A3">
              <w:rPr>
                <w:rStyle w:val="normaltextrun"/>
                <w:rFonts w:ascii="Times New Roman" w:hAnsi="Times New Roman" w:cs="Times New Roman"/>
                <w:sz w:val="20"/>
                <w:szCs w:val="20"/>
                <w:lang w:val="es-MX"/>
              </w:rPr>
              <w:t>Secretaría Distrital de Hacienda</w:t>
            </w:r>
            <w:r w:rsidRPr="009D74A3">
              <w:rPr>
                <w:rStyle w:val="normaltextrun"/>
                <w:rFonts w:ascii="Times New Roman" w:hAnsi="Times New Roman" w:cs="Times New Roman"/>
                <w:sz w:val="20"/>
                <w:szCs w:val="20"/>
                <w:lang w:val="es-419"/>
              </w:rPr>
              <w:t xml:space="preserve"> con base en la información del registro mercantil de la CCB.</w:t>
            </w:r>
            <w:r w:rsidRPr="009D74A3">
              <w:rPr>
                <w:rStyle w:val="eop"/>
                <w:sz w:val="20"/>
                <w:szCs w:val="20"/>
              </w:rPr>
              <w:t> </w:t>
            </w:r>
          </w:p>
          <w:p w14:paraId="6AB46DB0" w14:textId="77777777" w:rsidR="003D722F" w:rsidRPr="009D74A3" w:rsidRDefault="003D722F" w:rsidP="003D722F">
            <w:pPr>
              <w:pStyle w:val="paragraph"/>
              <w:spacing w:before="0" w:beforeAutospacing="0" w:after="0" w:afterAutospacing="0"/>
              <w:jc w:val="both"/>
              <w:textAlignment w:val="baseline"/>
              <w:outlineLvl w:val="2"/>
              <w:rPr>
                <w:sz w:val="32"/>
                <w:szCs w:val="32"/>
              </w:rPr>
            </w:pPr>
            <w:r w:rsidRPr="009D74A3">
              <w:rPr>
                <w:rStyle w:val="eop"/>
                <w:color w:val="000000"/>
              </w:rPr>
              <w:t> </w:t>
            </w:r>
          </w:p>
          <w:p w14:paraId="26E0F70B" w14:textId="77777777" w:rsidR="003D722F" w:rsidRPr="009D74A3" w:rsidRDefault="003D722F" w:rsidP="003D722F">
            <w:pPr>
              <w:jc w:val="both"/>
              <w:rPr>
                <w:rFonts w:ascii="Times New Roman" w:hAnsi="Times New Roman" w:cs="Times New Roman"/>
                <w:sz w:val="24"/>
                <w:szCs w:val="24"/>
              </w:rPr>
            </w:pPr>
            <w:r w:rsidRPr="009D74A3">
              <w:rPr>
                <w:rFonts w:ascii="Times New Roman" w:hAnsi="Times New Roman" w:cs="Times New Roman"/>
                <w:sz w:val="24"/>
                <w:szCs w:val="24"/>
              </w:rPr>
              <w:t xml:space="preserve">La Tabla </w:t>
            </w:r>
            <w:r>
              <w:rPr>
                <w:rFonts w:ascii="Times New Roman" w:hAnsi="Times New Roman" w:cs="Times New Roman"/>
                <w:sz w:val="24"/>
                <w:szCs w:val="24"/>
              </w:rPr>
              <w:t>7</w:t>
            </w:r>
            <w:r w:rsidRPr="009D74A3">
              <w:rPr>
                <w:rFonts w:ascii="Times New Roman" w:hAnsi="Times New Roman" w:cs="Times New Roman"/>
                <w:sz w:val="24"/>
                <w:szCs w:val="24"/>
              </w:rPr>
              <w:t xml:space="preserve"> presenta la distribución de los contribuyentes y del impuesto ICA calculado según la sección económica del CIIU Rev. 4. Las secciones con mayor </w:t>
            </w:r>
            <w:r>
              <w:rPr>
                <w:rFonts w:ascii="Times New Roman" w:hAnsi="Times New Roman" w:cs="Times New Roman"/>
                <w:sz w:val="24"/>
                <w:szCs w:val="24"/>
              </w:rPr>
              <w:t xml:space="preserve">número de contribuyentes </w:t>
            </w:r>
            <w:r w:rsidRPr="009D74A3">
              <w:rPr>
                <w:rFonts w:ascii="Times New Roman" w:hAnsi="Times New Roman" w:cs="Times New Roman"/>
                <w:sz w:val="24"/>
                <w:szCs w:val="24"/>
              </w:rPr>
              <w:t>son comercio</w:t>
            </w:r>
            <w:r>
              <w:rPr>
                <w:rFonts w:ascii="Times New Roman" w:hAnsi="Times New Roman" w:cs="Times New Roman"/>
                <w:sz w:val="24"/>
                <w:szCs w:val="24"/>
              </w:rPr>
              <w:t xml:space="preserve"> y reparación de vehículos</w:t>
            </w:r>
            <w:r w:rsidRPr="009D74A3">
              <w:rPr>
                <w:rFonts w:ascii="Times New Roman" w:hAnsi="Times New Roman" w:cs="Times New Roman"/>
                <w:sz w:val="24"/>
                <w:szCs w:val="24"/>
              </w:rPr>
              <w:t xml:space="preserve">, actividades profesionales, científicas y técnicas, industria manufacturera, actividades inmobiliarias y construcción, las cuales agrupan </w:t>
            </w:r>
            <w:r>
              <w:rPr>
                <w:rFonts w:ascii="Times New Roman" w:hAnsi="Times New Roman" w:cs="Times New Roman"/>
                <w:sz w:val="24"/>
                <w:szCs w:val="24"/>
              </w:rPr>
              <w:t xml:space="preserve">casi </w:t>
            </w:r>
            <w:r w:rsidRPr="009D74A3">
              <w:rPr>
                <w:rFonts w:ascii="Times New Roman" w:hAnsi="Times New Roman" w:cs="Times New Roman"/>
                <w:sz w:val="24"/>
                <w:szCs w:val="24"/>
              </w:rPr>
              <w:t xml:space="preserve">el </w:t>
            </w:r>
            <w:r w:rsidRPr="006F1159">
              <w:rPr>
                <w:rFonts w:ascii="Times New Roman" w:hAnsi="Times New Roman" w:cs="Times New Roman"/>
                <w:sz w:val="24"/>
                <w:szCs w:val="24"/>
              </w:rPr>
              <w:t>70% de los declarantes. Estas mismas concentran el 51,2% del impuesto. Por su parte, aunque las actividades financieras representan solo el 4% de los contribuyentes, aportan el 23,3% del</w:t>
            </w:r>
            <w:r>
              <w:rPr>
                <w:rFonts w:ascii="Times New Roman" w:hAnsi="Times New Roman" w:cs="Times New Roman"/>
                <w:sz w:val="24"/>
                <w:szCs w:val="24"/>
              </w:rPr>
              <w:t xml:space="preserve"> impuesto calculado total, lo que las ubica como la segunda sección económica más importante en términos del impuesto calculado después del comercio</w:t>
            </w:r>
            <w:r w:rsidRPr="009D74A3">
              <w:rPr>
                <w:rFonts w:ascii="Times New Roman" w:hAnsi="Times New Roman" w:cs="Times New Roman"/>
                <w:sz w:val="24"/>
                <w:szCs w:val="24"/>
              </w:rPr>
              <w:t> </w:t>
            </w:r>
            <w:r>
              <w:rPr>
                <w:rFonts w:ascii="Times New Roman" w:hAnsi="Times New Roman" w:cs="Times New Roman"/>
                <w:sz w:val="24"/>
                <w:szCs w:val="24"/>
              </w:rPr>
              <w:t>y la reparación de vehículos.</w:t>
            </w:r>
          </w:p>
          <w:p w14:paraId="53F323DD" w14:textId="2C355D53" w:rsidR="009D74A3" w:rsidRPr="009D74A3" w:rsidRDefault="009D74A3" w:rsidP="009D74A3">
            <w:pPr>
              <w:jc w:val="both"/>
              <w:rPr>
                <w:rFonts w:ascii="Times New Roman" w:hAnsi="Times New Roman" w:cs="Times New Roman"/>
                <w:sz w:val="24"/>
                <w:szCs w:val="24"/>
              </w:rPr>
            </w:pPr>
            <w:r w:rsidRPr="009D74A3">
              <w:rPr>
                <w:rFonts w:ascii="Times New Roman" w:hAnsi="Times New Roman" w:cs="Times New Roman"/>
                <w:sz w:val="24"/>
                <w:szCs w:val="24"/>
              </w:rPr>
              <w:t> </w:t>
            </w:r>
          </w:p>
          <w:p w14:paraId="5FAFCA72" w14:textId="77777777" w:rsidR="00E36FC8" w:rsidRDefault="00E36FC8" w:rsidP="00C1037E">
            <w:pPr>
              <w:rPr>
                <w:rFonts w:ascii="Times New Roman" w:hAnsi="Times New Roman" w:cs="Times New Roman"/>
                <w:b/>
                <w:bCs/>
                <w:sz w:val="24"/>
                <w:szCs w:val="24"/>
              </w:rPr>
            </w:pPr>
          </w:p>
          <w:p w14:paraId="56BF3FDF" w14:textId="7FB33128" w:rsidR="009D74A3" w:rsidRDefault="009D74A3" w:rsidP="009D74A3">
            <w:pPr>
              <w:jc w:val="center"/>
              <w:rPr>
                <w:rFonts w:ascii="Times New Roman" w:hAnsi="Times New Roman" w:cs="Times New Roman"/>
                <w:b/>
                <w:bCs/>
                <w:sz w:val="24"/>
                <w:szCs w:val="24"/>
              </w:rPr>
            </w:pPr>
            <w:r w:rsidRPr="006F1159">
              <w:rPr>
                <w:rFonts w:ascii="Times New Roman" w:hAnsi="Times New Roman" w:cs="Times New Roman"/>
                <w:b/>
                <w:bCs/>
                <w:sz w:val="24"/>
                <w:szCs w:val="24"/>
              </w:rPr>
              <w:t>Tabla 7. </w:t>
            </w:r>
            <w:r w:rsidRPr="006F1159">
              <w:rPr>
                <w:rFonts w:ascii="Times New Roman" w:hAnsi="Times New Roman" w:cs="Times New Roman"/>
                <w:b/>
                <w:bCs/>
                <w:sz w:val="24"/>
                <w:szCs w:val="24"/>
              </w:rPr>
              <w:br/>
              <w:t>Distribución de los contribuyentes de ICA y el impuesto calculado (IC) – 2024</w:t>
            </w:r>
          </w:p>
          <w:p w14:paraId="4315849E" w14:textId="77777777" w:rsidR="006F1159" w:rsidRPr="009D74A3" w:rsidRDefault="006F1159" w:rsidP="009D74A3">
            <w:pPr>
              <w:jc w:val="center"/>
              <w:rPr>
                <w:rFonts w:ascii="Times New Roman" w:hAnsi="Times New Roman" w:cs="Times New Roman"/>
                <w:b/>
                <w:bCs/>
                <w:sz w:val="24"/>
                <w:szCs w:val="24"/>
              </w:rPr>
            </w:pPr>
          </w:p>
          <w:p w14:paraId="0202351E" w14:textId="0BA8AD0B" w:rsidR="009D74A3" w:rsidRPr="009D74A3" w:rsidRDefault="009D74A3" w:rsidP="009D74A3">
            <w:pPr>
              <w:pStyle w:val="paragraph"/>
              <w:spacing w:before="0" w:beforeAutospacing="0" w:after="0" w:afterAutospacing="0"/>
              <w:ind w:firstLine="630"/>
              <w:jc w:val="center"/>
              <w:textAlignment w:val="baseline"/>
              <w:outlineLvl w:val="2"/>
              <w:rPr>
                <w:sz w:val="32"/>
                <w:szCs w:val="32"/>
              </w:rPr>
            </w:pPr>
            <w:r w:rsidRPr="009D74A3">
              <w:rPr>
                <w:rFonts w:eastAsiaTheme="minorHAnsi"/>
                <w:noProof/>
                <w:sz w:val="22"/>
                <w:szCs w:val="22"/>
              </w:rPr>
              <w:drawing>
                <wp:inline distT="0" distB="0" distL="0" distR="0" wp14:anchorId="4432E0A7" wp14:editId="67FA62AE">
                  <wp:extent cx="5467985" cy="3542665"/>
                  <wp:effectExtent l="0" t="0" r="5715" b="635"/>
                  <wp:docPr id="1163250663"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67985" cy="3542665"/>
                          </a:xfrm>
                          <a:prstGeom prst="rect">
                            <a:avLst/>
                          </a:prstGeom>
                          <a:noFill/>
                          <a:ln>
                            <a:noFill/>
                          </a:ln>
                        </pic:spPr>
                      </pic:pic>
                    </a:graphicData>
                  </a:graphic>
                </wp:inline>
              </w:drawing>
            </w:r>
            <w:r w:rsidRPr="009D74A3">
              <w:rPr>
                <w:rStyle w:val="eop"/>
                <w:sz w:val="20"/>
                <w:szCs w:val="20"/>
              </w:rPr>
              <w:t> </w:t>
            </w:r>
          </w:p>
          <w:p w14:paraId="29BC70FA" w14:textId="77777777" w:rsidR="009D74A3" w:rsidRPr="009D74A3" w:rsidRDefault="009D74A3" w:rsidP="009D74A3">
            <w:pPr>
              <w:pStyle w:val="paragraph"/>
              <w:spacing w:before="0" w:beforeAutospacing="0" w:after="0" w:afterAutospacing="0"/>
              <w:ind w:firstLine="1065"/>
              <w:textAlignment w:val="baseline"/>
              <w:outlineLvl w:val="2"/>
              <w:rPr>
                <w:sz w:val="32"/>
                <w:szCs w:val="32"/>
              </w:rPr>
            </w:pPr>
            <w:r w:rsidRPr="009D74A3">
              <w:rPr>
                <w:rStyle w:val="normaltextrun"/>
                <w:rFonts w:ascii="Times New Roman" w:hAnsi="Times New Roman" w:cs="Times New Roman"/>
                <w:b/>
                <w:bCs/>
                <w:sz w:val="20"/>
                <w:szCs w:val="20"/>
                <w:lang w:val="es-419"/>
              </w:rPr>
              <w:t>Fuente:</w:t>
            </w:r>
            <w:r w:rsidRPr="009D74A3">
              <w:rPr>
                <w:rStyle w:val="normaltextrun"/>
                <w:rFonts w:ascii="Times New Roman" w:hAnsi="Times New Roman" w:cs="Times New Roman"/>
                <w:sz w:val="20"/>
                <w:szCs w:val="20"/>
                <w:lang w:val="es-419"/>
              </w:rPr>
              <w:t xml:space="preserve"> Secretaría Distrital de Hacienda.</w:t>
            </w:r>
            <w:r w:rsidRPr="009D74A3">
              <w:rPr>
                <w:rStyle w:val="eop"/>
                <w:sz w:val="20"/>
                <w:szCs w:val="20"/>
              </w:rPr>
              <w:t> </w:t>
            </w:r>
          </w:p>
          <w:p w14:paraId="3D46FFB0"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eop"/>
              </w:rPr>
              <w:t> </w:t>
            </w:r>
          </w:p>
          <w:p w14:paraId="67CBDDC0" w14:textId="348E7120" w:rsidR="009D74A3" w:rsidRPr="009D74A3" w:rsidRDefault="009D74A3" w:rsidP="009D74A3">
            <w:pPr>
              <w:jc w:val="both"/>
              <w:rPr>
                <w:rFonts w:ascii="Times New Roman" w:hAnsi="Times New Roman" w:cs="Times New Roman"/>
                <w:sz w:val="24"/>
                <w:szCs w:val="24"/>
              </w:rPr>
            </w:pPr>
            <w:r w:rsidRPr="009D74A3">
              <w:rPr>
                <w:rFonts w:ascii="Times New Roman" w:hAnsi="Times New Roman" w:cs="Times New Roman"/>
                <w:sz w:val="24"/>
                <w:szCs w:val="24"/>
              </w:rPr>
              <w:t>En cuanto a la distribución por régimen, en 2024 el 58% de los contribuyentes fueron del régimen común anual, el 28% del régimen preferencial y 14% del común bimestral. Por el lado del recaudo, el 91% del ICA fue aportado por los contribuyentes del régimen común bimestral; y el 9% restante del recaudo corresponde a los contribuyentes que presentan y pagan su declaración anual (7% del régimen común y el 2% a los del régimen preferencial) (</w:t>
            </w:r>
            <w:r w:rsidRPr="00E36FC8">
              <w:rPr>
                <w:rFonts w:ascii="Times New Roman" w:hAnsi="Times New Roman" w:cs="Times New Roman"/>
                <w:b/>
                <w:bCs/>
                <w:sz w:val="24"/>
                <w:szCs w:val="24"/>
              </w:rPr>
              <w:t>Ilustración 1</w:t>
            </w:r>
            <w:r w:rsidRPr="009D74A3">
              <w:rPr>
                <w:rFonts w:ascii="Times New Roman" w:hAnsi="Times New Roman" w:cs="Times New Roman"/>
                <w:sz w:val="24"/>
                <w:szCs w:val="24"/>
              </w:rPr>
              <w:t>). </w:t>
            </w:r>
          </w:p>
          <w:p w14:paraId="1306EE49" w14:textId="1871C73E" w:rsidR="00E36FC8" w:rsidRDefault="00E36FC8" w:rsidP="009D74A3">
            <w:pPr>
              <w:jc w:val="center"/>
              <w:rPr>
                <w:rFonts w:ascii="Times New Roman" w:hAnsi="Times New Roman" w:cs="Times New Roman"/>
                <w:b/>
                <w:bCs/>
                <w:sz w:val="24"/>
                <w:szCs w:val="24"/>
              </w:rPr>
            </w:pPr>
          </w:p>
          <w:p w14:paraId="0BF030B4" w14:textId="5FF544CD" w:rsidR="009D74A3" w:rsidRPr="009D74A3" w:rsidRDefault="009D74A3" w:rsidP="009D74A3">
            <w:pPr>
              <w:jc w:val="center"/>
              <w:rPr>
                <w:rFonts w:ascii="Times New Roman" w:hAnsi="Times New Roman" w:cs="Times New Roman"/>
                <w:b/>
                <w:bCs/>
                <w:sz w:val="24"/>
                <w:szCs w:val="24"/>
              </w:rPr>
            </w:pPr>
            <w:r w:rsidRPr="009D74A3">
              <w:rPr>
                <w:rFonts w:ascii="Times New Roman" w:hAnsi="Times New Roman" w:cs="Times New Roman"/>
                <w:b/>
                <w:bCs/>
                <w:sz w:val="24"/>
                <w:szCs w:val="24"/>
              </w:rPr>
              <w:t>Ilustración 1.</w:t>
            </w:r>
          </w:p>
          <w:p w14:paraId="18891620" w14:textId="5F5D5DEA" w:rsidR="009D74A3" w:rsidRPr="009D74A3" w:rsidRDefault="009D74A3" w:rsidP="009D74A3">
            <w:pPr>
              <w:jc w:val="center"/>
              <w:rPr>
                <w:rFonts w:ascii="Times New Roman" w:hAnsi="Times New Roman" w:cs="Times New Roman"/>
                <w:b/>
                <w:bCs/>
                <w:sz w:val="24"/>
                <w:szCs w:val="24"/>
              </w:rPr>
            </w:pPr>
            <w:r w:rsidRPr="009D74A3">
              <w:rPr>
                <w:rFonts w:ascii="Times New Roman" w:hAnsi="Times New Roman" w:cs="Times New Roman"/>
                <w:b/>
                <w:bCs/>
                <w:sz w:val="24"/>
                <w:szCs w:val="24"/>
              </w:rPr>
              <w:t>Distribución contribuyentes ICA e impuesto a cargo</w:t>
            </w:r>
          </w:p>
          <w:p w14:paraId="5E228DF5" w14:textId="456BB9C7" w:rsidR="009D74A3" w:rsidRPr="009D74A3" w:rsidRDefault="009D74A3" w:rsidP="009D74A3">
            <w:pPr>
              <w:pStyle w:val="paragraph"/>
              <w:spacing w:before="0" w:beforeAutospacing="0" w:after="0" w:afterAutospacing="0"/>
              <w:jc w:val="center"/>
              <w:textAlignment w:val="baseline"/>
              <w:outlineLvl w:val="2"/>
              <w:rPr>
                <w:sz w:val="32"/>
                <w:szCs w:val="32"/>
              </w:rPr>
            </w:pPr>
            <w:r w:rsidRPr="009D74A3">
              <w:rPr>
                <w:rFonts w:eastAsiaTheme="minorHAnsi"/>
                <w:noProof/>
                <w:sz w:val="22"/>
                <w:szCs w:val="22"/>
              </w:rPr>
              <w:drawing>
                <wp:inline distT="0" distB="0" distL="0" distR="0" wp14:anchorId="6EE13ACF" wp14:editId="682891D9">
                  <wp:extent cx="3570136" cy="2088868"/>
                  <wp:effectExtent l="0" t="0" r="0" b="6985"/>
                  <wp:docPr id="1533551700"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582114" cy="2095876"/>
                          </a:xfrm>
                          <a:prstGeom prst="rect">
                            <a:avLst/>
                          </a:prstGeom>
                          <a:noFill/>
                          <a:ln>
                            <a:noFill/>
                          </a:ln>
                        </pic:spPr>
                      </pic:pic>
                    </a:graphicData>
                  </a:graphic>
                </wp:inline>
              </w:drawing>
            </w:r>
            <w:r w:rsidRPr="009D74A3">
              <w:rPr>
                <w:rStyle w:val="eop"/>
              </w:rPr>
              <w:t> </w:t>
            </w:r>
          </w:p>
          <w:p w14:paraId="6EACE304" w14:textId="77777777" w:rsidR="009D74A3" w:rsidRPr="009D74A3" w:rsidRDefault="009D74A3" w:rsidP="009D74A3">
            <w:pPr>
              <w:pStyle w:val="paragraph"/>
              <w:spacing w:before="0" w:beforeAutospacing="0" w:after="0" w:afterAutospacing="0"/>
              <w:ind w:firstLine="1200"/>
              <w:textAlignment w:val="baseline"/>
              <w:outlineLvl w:val="2"/>
              <w:rPr>
                <w:sz w:val="32"/>
                <w:szCs w:val="32"/>
              </w:rPr>
            </w:pPr>
            <w:r w:rsidRPr="009D74A3">
              <w:rPr>
                <w:rStyle w:val="normaltextrun"/>
                <w:rFonts w:ascii="Times New Roman" w:hAnsi="Times New Roman" w:cs="Times New Roman"/>
                <w:b/>
                <w:bCs/>
                <w:sz w:val="20"/>
                <w:szCs w:val="20"/>
                <w:lang w:val="es-ES"/>
              </w:rPr>
              <w:t>Fuente:</w:t>
            </w:r>
            <w:r w:rsidRPr="009D74A3">
              <w:rPr>
                <w:rStyle w:val="normaltextrun"/>
                <w:rFonts w:ascii="Times New Roman" w:hAnsi="Times New Roman" w:cs="Times New Roman"/>
                <w:sz w:val="20"/>
                <w:szCs w:val="20"/>
                <w:lang w:val="es-ES"/>
              </w:rPr>
              <w:t xml:space="preserve"> Secretaría Distrital de Hacienda.</w:t>
            </w:r>
            <w:r w:rsidRPr="009D74A3">
              <w:rPr>
                <w:rStyle w:val="normaltextrun"/>
                <w:rFonts w:ascii="Times New Roman" w:hAnsi="Times New Roman" w:cs="Times New Roman"/>
                <w:lang w:val="es-ES"/>
              </w:rPr>
              <w:t> </w:t>
            </w:r>
            <w:r w:rsidRPr="009D74A3">
              <w:rPr>
                <w:rStyle w:val="eop"/>
              </w:rPr>
              <w:t> </w:t>
            </w:r>
          </w:p>
          <w:p w14:paraId="798E09AF"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eop"/>
              </w:rPr>
              <w:t> </w:t>
            </w:r>
          </w:p>
          <w:p w14:paraId="59167AE1" w14:textId="01A8CEBF" w:rsidR="009D74A3" w:rsidRPr="009D74A3" w:rsidRDefault="00E0565C" w:rsidP="009D74A3">
            <w:pPr>
              <w:jc w:val="both"/>
              <w:rPr>
                <w:rFonts w:ascii="Times New Roman" w:hAnsi="Times New Roman" w:cs="Times New Roman"/>
                <w:sz w:val="24"/>
                <w:szCs w:val="24"/>
              </w:rPr>
            </w:pPr>
            <w:r w:rsidRPr="00E0565C">
              <w:rPr>
                <w:rStyle w:val="normaltextrun"/>
                <w:rFonts w:ascii="Times New Roman" w:hAnsi="Times New Roman" w:cs="Times New Roman"/>
                <w:lang w:val="es-419"/>
              </w:rPr>
              <w:t>Por otro lado, el cruce de la información del registro mercantil y las declaraciones del ICA</w:t>
            </w:r>
            <w:r w:rsidR="00680FCA">
              <w:rPr>
                <w:rStyle w:val="Refdenotaalpie"/>
                <w:rFonts w:ascii="Times New Roman" w:eastAsiaTheme="minorEastAsia" w:hAnsi="Times New Roman" w:cs="Times New Roman"/>
                <w:sz w:val="24"/>
                <w:szCs w:val="24"/>
                <w:lang w:val="es-419"/>
              </w:rPr>
              <w:footnoteReference w:id="17"/>
            </w:r>
            <w:r w:rsidRPr="00E0565C">
              <w:rPr>
                <w:rStyle w:val="normaltextrun"/>
                <w:rFonts w:ascii="Times New Roman" w:hAnsi="Times New Roman" w:cs="Times New Roman"/>
                <w:lang w:val="es-419"/>
              </w:rPr>
              <w:t xml:space="preserve"> indica que el total de ingresos brutos totales generados por las empresas registradas en Bogotá en 2024 fue aproximadamente de $2.615 billones y los gastos brutos totales sumaron $ 2.447 billones, con lo cual las utilidades se ubicaron en $168 billones aproximadamente. El 85,</w:t>
            </w:r>
            <w:r w:rsidR="0004755C">
              <w:rPr>
                <w:rStyle w:val="normaltextrun"/>
                <w:rFonts w:ascii="Times New Roman" w:hAnsi="Times New Roman" w:cs="Times New Roman"/>
                <w:lang w:val="es-419"/>
              </w:rPr>
              <w:t>3</w:t>
            </w:r>
            <w:r w:rsidRPr="00E0565C">
              <w:rPr>
                <w:rStyle w:val="normaltextrun"/>
                <w:rFonts w:ascii="Times New Roman" w:hAnsi="Times New Roman" w:cs="Times New Roman"/>
                <w:lang w:val="es-419"/>
              </w:rPr>
              <w:t>% de las utilidades corresponden a las empresas grandes, particularmente de las actividades financieras, comerciales y de servicios</w:t>
            </w:r>
            <w:r w:rsidR="009D74A3" w:rsidRPr="009D74A3">
              <w:rPr>
                <w:rStyle w:val="normaltextrun"/>
                <w:rFonts w:ascii="Times New Roman" w:hAnsi="Times New Roman" w:cs="Times New Roman"/>
                <w:lang w:val="es-419"/>
              </w:rPr>
              <w:t xml:space="preserve"> </w:t>
            </w:r>
            <w:r w:rsidR="009D74A3" w:rsidRPr="009D74A3">
              <w:rPr>
                <w:rFonts w:ascii="Times New Roman" w:hAnsi="Times New Roman" w:cs="Times New Roman"/>
                <w:sz w:val="24"/>
                <w:szCs w:val="24"/>
              </w:rPr>
              <w:t>(</w:t>
            </w:r>
            <w:r w:rsidR="009D74A3" w:rsidRPr="004B0FA7">
              <w:rPr>
                <w:rFonts w:ascii="Times New Roman" w:hAnsi="Times New Roman" w:cs="Times New Roman"/>
                <w:b/>
                <w:bCs/>
                <w:sz w:val="24"/>
                <w:szCs w:val="24"/>
              </w:rPr>
              <w:t>Tabla 8</w:t>
            </w:r>
            <w:r w:rsidR="009D74A3" w:rsidRPr="009D74A3">
              <w:rPr>
                <w:rFonts w:ascii="Times New Roman" w:hAnsi="Times New Roman" w:cs="Times New Roman"/>
                <w:sz w:val="24"/>
                <w:szCs w:val="24"/>
              </w:rPr>
              <w:t>).</w:t>
            </w:r>
          </w:p>
          <w:p w14:paraId="44B7149E" w14:textId="77777777" w:rsidR="00961E7E" w:rsidRDefault="00961E7E" w:rsidP="009D74A3">
            <w:pPr>
              <w:jc w:val="center"/>
              <w:rPr>
                <w:rFonts w:ascii="Times New Roman" w:hAnsi="Times New Roman" w:cs="Times New Roman"/>
                <w:b/>
                <w:bCs/>
                <w:sz w:val="24"/>
                <w:szCs w:val="24"/>
              </w:rPr>
            </w:pPr>
          </w:p>
          <w:p w14:paraId="77455FAC" w14:textId="4410202C" w:rsidR="009D74A3" w:rsidRPr="009D74A3" w:rsidRDefault="009D74A3" w:rsidP="009D74A3">
            <w:pPr>
              <w:jc w:val="center"/>
              <w:rPr>
                <w:rFonts w:ascii="Times New Roman" w:hAnsi="Times New Roman" w:cs="Times New Roman"/>
                <w:b/>
                <w:bCs/>
                <w:sz w:val="24"/>
                <w:szCs w:val="24"/>
              </w:rPr>
            </w:pPr>
            <w:r w:rsidRPr="009D74A3">
              <w:rPr>
                <w:rFonts w:ascii="Times New Roman" w:hAnsi="Times New Roman" w:cs="Times New Roman"/>
                <w:b/>
                <w:bCs/>
                <w:sz w:val="24"/>
                <w:szCs w:val="24"/>
              </w:rPr>
              <w:t>Tabla 8. </w:t>
            </w:r>
            <w:r w:rsidRPr="009D74A3">
              <w:rPr>
                <w:rFonts w:ascii="Times New Roman" w:hAnsi="Times New Roman" w:cs="Times New Roman"/>
                <w:b/>
                <w:bCs/>
                <w:sz w:val="24"/>
                <w:szCs w:val="24"/>
              </w:rPr>
              <w:br/>
            </w:r>
            <w:r w:rsidRPr="009D74A3">
              <w:rPr>
                <w:rStyle w:val="normaltextrun"/>
                <w:rFonts w:ascii="Times New Roman" w:hAnsi="Times New Roman" w:cs="Times New Roman"/>
                <w:b/>
                <w:bCs/>
                <w:lang w:val="es-419"/>
              </w:rPr>
              <w:t>Distribución de las utilidades totales</w:t>
            </w:r>
            <w:r w:rsidR="00680FCA">
              <w:rPr>
                <w:rStyle w:val="Refdenotaalpie"/>
                <w:rFonts w:ascii="Times New Roman" w:eastAsiaTheme="minorEastAsia" w:hAnsi="Times New Roman" w:cs="Times New Roman"/>
                <w:b/>
                <w:bCs/>
                <w:sz w:val="24"/>
                <w:szCs w:val="24"/>
                <w:lang w:val="es-419"/>
              </w:rPr>
              <w:footnoteReference w:id="18"/>
            </w:r>
            <w:r w:rsidRPr="009D74A3">
              <w:rPr>
                <w:rStyle w:val="normaltextrun"/>
                <w:rFonts w:ascii="Times New Roman" w:hAnsi="Times New Roman" w:cs="Times New Roman"/>
                <w:b/>
                <w:bCs/>
                <w:lang w:val="es-419"/>
              </w:rPr>
              <w:t xml:space="preserve"> por actividades y tamaño - 2024</w:t>
            </w:r>
          </w:p>
          <w:p w14:paraId="3B744CD6" w14:textId="77777777" w:rsidR="009D74A3" w:rsidRPr="009D74A3" w:rsidRDefault="009D74A3" w:rsidP="009D74A3">
            <w:pPr>
              <w:pStyle w:val="paragraph"/>
              <w:spacing w:before="0" w:beforeAutospacing="0" w:after="0" w:afterAutospacing="0"/>
              <w:jc w:val="center"/>
              <w:textAlignment w:val="baseline"/>
              <w:outlineLvl w:val="2"/>
            </w:pPr>
            <w:r w:rsidRPr="009D74A3">
              <w:rPr>
                <w:rStyle w:val="normaltextrun"/>
                <w:rFonts w:ascii="Times New Roman" w:hAnsi="Times New Roman" w:cs="Times New Roman"/>
                <w:i/>
                <w:iCs/>
                <w:lang w:val="es-419"/>
              </w:rPr>
              <w:t>Porcentaje</w:t>
            </w:r>
            <w:r w:rsidRPr="009D74A3">
              <w:rPr>
                <w:rStyle w:val="eop"/>
              </w:rPr>
              <w:t> </w:t>
            </w:r>
          </w:p>
          <w:p w14:paraId="77B47140" w14:textId="39AF06F6" w:rsidR="009D74A3" w:rsidRPr="009D74A3" w:rsidRDefault="00054B2E" w:rsidP="009D74A3">
            <w:pPr>
              <w:pStyle w:val="paragraph"/>
              <w:spacing w:before="0" w:beforeAutospacing="0" w:after="0" w:afterAutospacing="0"/>
              <w:jc w:val="center"/>
              <w:textAlignment w:val="baseline"/>
              <w:outlineLvl w:val="2"/>
            </w:pPr>
            <w:r w:rsidRPr="00054B2E">
              <w:rPr>
                <w:rStyle w:val="eop"/>
                <w:noProof/>
              </w:rPr>
              <w:drawing>
                <wp:inline distT="0" distB="0" distL="0" distR="0" wp14:anchorId="16E090D9" wp14:editId="3200910D">
                  <wp:extent cx="4013200" cy="1111250"/>
                  <wp:effectExtent l="0" t="0" r="6350" b="0"/>
                  <wp:docPr id="1006032432"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013200" cy="1111250"/>
                          </a:xfrm>
                          <a:prstGeom prst="rect">
                            <a:avLst/>
                          </a:prstGeom>
                          <a:noFill/>
                          <a:ln>
                            <a:noFill/>
                          </a:ln>
                        </pic:spPr>
                      </pic:pic>
                    </a:graphicData>
                  </a:graphic>
                </wp:inline>
              </w:drawing>
            </w:r>
            <w:r w:rsidR="009D74A3" w:rsidRPr="009D74A3">
              <w:rPr>
                <w:rStyle w:val="eop"/>
              </w:rPr>
              <w:t> </w:t>
            </w:r>
          </w:p>
          <w:p w14:paraId="60699757" w14:textId="77777777" w:rsidR="009D74A3" w:rsidRPr="002F39C9" w:rsidRDefault="009D74A3" w:rsidP="009D74A3">
            <w:pPr>
              <w:pStyle w:val="paragraph"/>
              <w:spacing w:before="0" w:beforeAutospacing="0" w:after="0" w:afterAutospacing="0"/>
              <w:ind w:left="1485" w:right="1410"/>
              <w:jc w:val="both"/>
              <w:textAlignment w:val="baseline"/>
              <w:outlineLvl w:val="2"/>
              <w:rPr>
                <w:sz w:val="20"/>
                <w:szCs w:val="20"/>
              </w:rPr>
            </w:pPr>
            <w:r w:rsidRPr="002F39C9">
              <w:rPr>
                <w:rStyle w:val="normaltextrun"/>
                <w:rFonts w:ascii="Times New Roman" w:hAnsi="Times New Roman" w:cs="Times New Roman"/>
                <w:b/>
                <w:sz w:val="20"/>
                <w:szCs w:val="20"/>
                <w:lang w:val="es-419"/>
              </w:rPr>
              <w:t>Fuente</w:t>
            </w:r>
            <w:r w:rsidRPr="002F39C9">
              <w:rPr>
                <w:rStyle w:val="normaltextrun"/>
                <w:rFonts w:ascii="Times New Roman" w:hAnsi="Times New Roman" w:cs="Times New Roman"/>
                <w:sz w:val="20"/>
                <w:szCs w:val="20"/>
                <w:lang w:val="es-419"/>
              </w:rPr>
              <w:t xml:space="preserve">: Cálculos </w:t>
            </w:r>
            <w:r w:rsidRPr="002F39C9">
              <w:rPr>
                <w:rStyle w:val="normaltextrun"/>
                <w:rFonts w:ascii="Times New Roman" w:hAnsi="Times New Roman" w:cs="Times New Roman"/>
                <w:sz w:val="20"/>
                <w:szCs w:val="20"/>
                <w:lang w:val="es-MX"/>
              </w:rPr>
              <w:t>Secretaría Distrital de Hacienda</w:t>
            </w:r>
            <w:r w:rsidRPr="002F39C9">
              <w:rPr>
                <w:rStyle w:val="normaltextrun"/>
                <w:rFonts w:ascii="Times New Roman" w:hAnsi="Times New Roman" w:cs="Times New Roman"/>
                <w:sz w:val="20"/>
                <w:szCs w:val="20"/>
                <w:lang w:val="es-419"/>
              </w:rPr>
              <w:t xml:space="preserve"> con base en la información del registro mercantil de la CCB</w:t>
            </w:r>
            <w:r w:rsidRPr="002F39C9">
              <w:rPr>
                <w:rStyle w:val="eop"/>
                <w:sz w:val="20"/>
                <w:szCs w:val="20"/>
              </w:rPr>
              <w:t> </w:t>
            </w:r>
          </w:p>
          <w:p w14:paraId="4DDFBE72"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eop"/>
              </w:rPr>
              <w:t> </w:t>
            </w:r>
          </w:p>
          <w:p w14:paraId="1B99ED17" w14:textId="57B5249C" w:rsidR="009D74A3" w:rsidRPr="009D74A3" w:rsidRDefault="009D74A3" w:rsidP="009D74A3">
            <w:pPr>
              <w:jc w:val="both"/>
              <w:rPr>
                <w:rFonts w:ascii="Times New Roman" w:hAnsi="Times New Roman" w:cs="Times New Roman"/>
                <w:sz w:val="24"/>
                <w:szCs w:val="24"/>
              </w:rPr>
            </w:pPr>
            <w:r w:rsidRPr="009D74A3">
              <w:rPr>
                <w:rFonts w:ascii="Times New Roman" w:hAnsi="Times New Roman" w:cs="Times New Roman"/>
                <w:sz w:val="24"/>
                <w:szCs w:val="24"/>
              </w:rPr>
              <w:t>Así, para el conjunto de los declarantes del ICA, el impuesto calculado</w:t>
            </w:r>
            <w:r w:rsidR="00BB5D3F">
              <w:rPr>
                <w:rStyle w:val="Refdenotaalpie"/>
                <w:rFonts w:ascii="Times New Roman" w:hAnsi="Times New Roman" w:cs="Times New Roman"/>
                <w:sz w:val="24"/>
                <w:szCs w:val="24"/>
              </w:rPr>
              <w:footnoteReference w:id="19"/>
            </w:r>
            <w:r w:rsidRPr="009D74A3">
              <w:rPr>
                <w:rFonts w:ascii="Times New Roman" w:hAnsi="Times New Roman" w:cs="Times New Roman"/>
                <w:sz w:val="24"/>
                <w:szCs w:val="24"/>
              </w:rPr>
              <w:t xml:space="preserve"> representó el 3,</w:t>
            </w:r>
            <w:r w:rsidR="00DB334E">
              <w:rPr>
                <w:rFonts w:ascii="Times New Roman" w:hAnsi="Times New Roman" w:cs="Times New Roman"/>
                <w:sz w:val="24"/>
                <w:szCs w:val="24"/>
              </w:rPr>
              <w:t>45</w:t>
            </w:r>
            <w:r w:rsidRPr="009D74A3">
              <w:rPr>
                <w:rFonts w:ascii="Times New Roman" w:hAnsi="Times New Roman" w:cs="Times New Roman"/>
                <w:sz w:val="24"/>
                <w:szCs w:val="24"/>
              </w:rPr>
              <w:t>% de sus utilidades anuales (</w:t>
            </w:r>
            <w:r w:rsidRPr="004B0FA7">
              <w:rPr>
                <w:rFonts w:ascii="Times New Roman" w:hAnsi="Times New Roman" w:cs="Times New Roman"/>
                <w:b/>
                <w:bCs/>
                <w:sz w:val="24"/>
                <w:szCs w:val="24"/>
              </w:rPr>
              <w:t>Tabla 9</w:t>
            </w:r>
            <w:r w:rsidRPr="009D74A3">
              <w:rPr>
                <w:rFonts w:ascii="Times New Roman" w:hAnsi="Times New Roman" w:cs="Times New Roman"/>
                <w:sz w:val="24"/>
                <w:szCs w:val="24"/>
              </w:rPr>
              <w:t xml:space="preserve">). En </w:t>
            </w:r>
            <w:r w:rsidR="004C4195">
              <w:rPr>
                <w:rFonts w:ascii="Times New Roman" w:hAnsi="Times New Roman" w:cs="Times New Roman"/>
                <w:sz w:val="24"/>
                <w:szCs w:val="24"/>
              </w:rPr>
              <w:t>la actualidad</w:t>
            </w:r>
            <w:r w:rsidRPr="009D74A3">
              <w:rPr>
                <w:rFonts w:ascii="Times New Roman" w:hAnsi="Times New Roman" w:cs="Times New Roman"/>
                <w:sz w:val="24"/>
                <w:szCs w:val="24"/>
              </w:rPr>
              <w:t>, dicha carga sobre las utilidades es inversamente proporcional al tamaño de la empresa: es más alta para las micro y pequeñas empresa y más baja para las grandes empresas. </w:t>
            </w:r>
          </w:p>
          <w:p w14:paraId="16433C6C" w14:textId="77777777" w:rsidR="007D323B" w:rsidRDefault="007D323B" w:rsidP="009D74A3">
            <w:pPr>
              <w:jc w:val="center"/>
              <w:rPr>
                <w:rFonts w:ascii="Times New Roman" w:hAnsi="Times New Roman" w:cs="Times New Roman"/>
                <w:b/>
                <w:bCs/>
                <w:sz w:val="24"/>
                <w:szCs w:val="24"/>
              </w:rPr>
            </w:pPr>
          </w:p>
          <w:p w14:paraId="2EF99EED" w14:textId="77777777" w:rsidR="007D323B" w:rsidRDefault="007D323B" w:rsidP="009D74A3">
            <w:pPr>
              <w:jc w:val="center"/>
              <w:rPr>
                <w:rFonts w:ascii="Times New Roman" w:hAnsi="Times New Roman" w:cs="Times New Roman"/>
                <w:b/>
                <w:bCs/>
                <w:sz w:val="24"/>
                <w:szCs w:val="24"/>
              </w:rPr>
            </w:pPr>
          </w:p>
          <w:p w14:paraId="784B03D3" w14:textId="486E6275" w:rsidR="009D74A3" w:rsidRPr="00137957" w:rsidRDefault="009D74A3" w:rsidP="009D74A3">
            <w:pPr>
              <w:jc w:val="center"/>
              <w:rPr>
                <w:rFonts w:ascii="Times New Roman" w:hAnsi="Times New Roman" w:cs="Times New Roman"/>
                <w:b/>
                <w:sz w:val="32"/>
                <w:szCs w:val="32"/>
              </w:rPr>
            </w:pPr>
            <w:r w:rsidRPr="00137957">
              <w:rPr>
                <w:rFonts w:ascii="Times New Roman" w:hAnsi="Times New Roman" w:cs="Times New Roman"/>
                <w:b/>
                <w:sz w:val="24"/>
                <w:szCs w:val="24"/>
              </w:rPr>
              <w:t>Tabla 9</w:t>
            </w:r>
            <w:r w:rsidRPr="00137957">
              <w:rPr>
                <w:rFonts w:ascii="Times New Roman" w:hAnsi="Times New Roman" w:cs="Times New Roman"/>
                <w:b/>
              </w:rPr>
              <w:br/>
            </w:r>
            <w:r w:rsidRPr="00137957">
              <w:rPr>
                <w:rStyle w:val="normaltextrun"/>
                <w:rFonts w:ascii="Times New Roman" w:hAnsi="Times New Roman" w:cs="Times New Roman"/>
                <w:b/>
                <w:lang w:val="es-419"/>
              </w:rPr>
              <w:t>Presión tributaria del ICA (impuesto/utilidades) por sectores económicos - 2024</w:t>
            </w:r>
          </w:p>
          <w:p w14:paraId="70DEA7C4" w14:textId="77777777" w:rsidR="009D74A3" w:rsidRPr="00740130" w:rsidRDefault="009D74A3" w:rsidP="009D74A3">
            <w:pPr>
              <w:pStyle w:val="paragraph"/>
              <w:spacing w:before="0" w:beforeAutospacing="0" w:after="0" w:afterAutospacing="0"/>
              <w:jc w:val="center"/>
              <w:textAlignment w:val="baseline"/>
              <w:outlineLvl w:val="2"/>
              <w:rPr>
                <w:i/>
                <w:iCs/>
                <w:sz w:val="32"/>
                <w:szCs w:val="32"/>
              </w:rPr>
            </w:pPr>
            <w:r w:rsidRPr="00740130">
              <w:rPr>
                <w:rStyle w:val="normaltextrun"/>
                <w:rFonts w:ascii="Times New Roman" w:hAnsi="Times New Roman" w:cs="Times New Roman"/>
                <w:i/>
                <w:lang w:val="es-419"/>
              </w:rPr>
              <w:t>Porcentaje</w:t>
            </w:r>
            <w:r w:rsidRPr="00740130">
              <w:rPr>
                <w:rStyle w:val="eop"/>
                <w:i/>
                <w:iCs/>
              </w:rPr>
              <w:t> </w:t>
            </w:r>
          </w:p>
          <w:p w14:paraId="28D6FC9F" w14:textId="01635C25" w:rsidR="009D74A3" w:rsidRPr="009D74A3" w:rsidRDefault="006E45A6" w:rsidP="009D74A3">
            <w:pPr>
              <w:pStyle w:val="paragraph"/>
              <w:spacing w:before="0" w:beforeAutospacing="0" w:after="0" w:afterAutospacing="0"/>
              <w:jc w:val="center"/>
              <w:textAlignment w:val="baseline"/>
              <w:outlineLvl w:val="2"/>
              <w:rPr>
                <w:sz w:val="32"/>
                <w:szCs w:val="32"/>
              </w:rPr>
            </w:pPr>
            <w:r w:rsidRPr="006E45A6">
              <w:rPr>
                <w:rStyle w:val="eop"/>
                <w:noProof/>
              </w:rPr>
              <w:drawing>
                <wp:inline distT="0" distB="0" distL="0" distR="0" wp14:anchorId="217B90AE" wp14:editId="46E5C549">
                  <wp:extent cx="4013200" cy="1111250"/>
                  <wp:effectExtent l="0" t="0" r="6350" b="0"/>
                  <wp:docPr id="716188580"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013200" cy="1111250"/>
                          </a:xfrm>
                          <a:prstGeom prst="rect">
                            <a:avLst/>
                          </a:prstGeom>
                          <a:noFill/>
                          <a:ln>
                            <a:noFill/>
                          </a:ln>
                        </pic:spPr>
                      </pic:pic>
                    </a:graphicData>
                  </a:graphic>
                </wp:inline>
              </w:drawing>
            </w:r>
            <w:r w:rsidR="009D74A3" w:rsidRPr="009D74A3">
              <w:rPr>
                <w:rStyle w:val="eop"/>
              </w:rPr>
              <w:t> </w:t>
            </w:r>
          </w:p>
          <w:p w14:paraId="5AA62153" w14:textId="77777777" w:rsidR="009D74A3" w:rsidRPr="009D74A3" w:rsidRDefault="009D74A3" w:rsidP="009D74A3">
            <w:pPr>
              <w:pStyle w:val="paragraph"/>
              <w:spacing w:before="0" w:beforeAutospacing="0" w:after="0" w:afterAutospacing="0"/>
              <w:ind w:left="1350" w:right="1410"/>
              <w:jc w:val="both"/>
              <w:textAlignment w:val="baseline"/>
              <w:outlineLvl w:val="2"/>
              <w:rPr>
                <w:sz w:val="32"/>
                <w:szCs w:val="32"/>
              </w:rPr>
            </w:pPr>
            <w:r w:rsidRPr="009D74A3">
              <w:rPr>
                <w:rStyle w:val="normaltextrun"/>
                <w:rFonts w:ascii="Times New Roman" w:hAnsi="Times New Roman" w:cs="Times New Roman"/>
                <w:b/>
                <w:bCs/>
                <w:sz w:val="20"/>
                <w:szCs w:val="20"/>
                <w:lang w:val="es-419"/>
              </w:rPr>
              <w:t>Fuente</w:t>
            </w:r>
            <w:r w:rsidRPr="009D74A3">
              <w:rPr>
                <w:rStyle w:val="normaltextrun"/>
                <w:rFonts w:ascii="Times New Roman" w:hAnsi="Times New Roman" w:cs="Times New Roman"/>
                <w:sz w:val="20"/>
                <w:szCs w:val="20"/>
                <w:lang w:val="es-419"/>
              </w:rPr>
              <w:t>: Cálculos</w:t>
            </w:r>
            <w:r w:rsidRPr="009D74A3">
              <w:rPr>
                <w:rStyle w:val="normaltextrun"/>
                <w:rFonts w:ascii="Times New Roman" w:hAnsi="Times New Roman" w:cs="Times New Roman"/>
                <w:sz w:val="20"/>
                <w:szCs w:val="20"/>
                <w:lang w:val="es-MX"/>
              </w:rPr>
              <w:t xml:space="preserve"> Secretaría Distrital de Hacienda</w:t>
            </w:r>
            <w:r w:rsidRPr="009D74A3">
              <w:rPr>
                <w:rStyle w:val="normaltextrun"/>
                <w:rFonts w:ascii="Times New Roman" w:hAnsi="Times New Roman" w:cs="Times New Roman"/>
                <w:sz w:val="16"/>
                <w:szCs w:val="16"/>
                <w:lang w:val="es-MX"/>
              </w:rPr>
              <w:t xml:space="preserve"> </w:t>
            </w:r>
            <w:r w:rsidRPr="009D74A3">
              <w:rPr>
                <w:rStyle w:val="normaltextrun"/>
                <w:rFonts w:ascii="Times New Roman" w:hAnsi="Times New Roman" w:cs="Times New Roman"/>
                <w:sz w:val="20"/>
                <w:szCs w:val="20"/>
                <w:lang w:val="es-419"/>
              </w:rPr>
              <w:t>con base en la información de la CCB</w:t>
            </w:r>
            <w:r w:rsidRPr="009D74A3">
              <w:rPr>
                <w:rStyle w:val="eop"/>
                <w:sz w:val="20"/>
                <w:szCs w:val="20"/>
              </w:rPr>
              <w:t> </w:t>
            </w:r>
          </w:p>
          <w:p w14:paraId="32594485" w14:textId="77777777" w:rsidR="009D74A3" w:rsidRPr="009D74A3" w:rsidRDefault="009D74A3" w:rsidP="009D74A3">
            <w:pPr>
              <w:pStyle w:val="paragraph"/>
              <w:spacing w:before="0" w:beforeAutospacing="0" w:after="0" w:afterAutospacing="0"/>
              <w:ind w:left="1350" w:right="1410"/>
              <w:jc w:val="both"/>
              <w:textAlignment w:val="baseline"/>
              <w:outlineLvl w:val="2"/>
              <w:rPr>
                <w:sz w:val="32"/>
                <w:szCs w:val="32"/>
              </w:rPr>
            </w:pPr>
            <w:r w:rsidRPr="009D74A3">
              <w:rPr>
                <w:rStyle w:val="normaltextrun"/>
                <w:rFonts w:ascii="Times New Roman" w:hAnsi="Times New Roman" w:cs="Times New Roman"/>
                <w:b/>
                <w:bCs/>
                <w:sz w:val="20"/>
                <w:szCs w:val="20"/>
                <w:lang w:val="es-419"/>
              </w:rPr>
              <w:t>Nota</w:t>
            </w:r>
            <w:r w:rsidRPr="009D74A3">
              <w:rPr>
                <w:rStyle w:val="normaltextrun"/>
                <w:rFonts w:ascii="Times New Roman" w:hAnsi="Times New Roman" w:cs="Times New Roman"/>
                <w:sz w:val="20"/>
                <w:szCs w:val="20"/>
                <w:lang w:val="es-419"/>
              </w:rPr>
              <w:t>: La clasificación sectorial corresponde a las actividades de la estructura tarifaria del ICA en Bogotá. El tamaño de la empresa se determina a partir de los criterios del decreto 957 de 2019</w:t>
            </w:r>
            <w:r w:rsidRPr="009D74A3">
              <w:rPr>
                <w:rStyle w:val="eop"/>
                <w:sz w:val="20"/>
                <w:szCs w:val="20"/>
              </w:rPr>
              <w:t> </w:t>
            </w:r>
          </w:p>
          <w:p w14:paraId="25A67437" w14:textId="77777777" w:rsidR="009D74A3" w:rsidRPr="009D74A3" w:rsidRDefault="009D74A3" w:rsidP="009D74A3">
            <w:pPr>
              <w:pStyle w:val="paragraph"/>
              <w:spacing w:before="0" w:beforeAutospacing="0" w:after="0" w:afterAutospacing="0"/>
              <w:textAlignment w:val="baseline"/>
              <w:outlineLvl w:val="2"/>
              <w:rPr>
                <w:sz w:val="32"/>
                <w:szCs w:val="32"/>
              </w:rPr>
            </w:pPr>
            <w:r w:rsidRPr="009D74A3">
              <w:rPr>
                <w:rStyle w:val="eop"/>
                <w:sz w:val="18"/>
                <w:szCs w:val="18"/>
              </w:rPr>
              <w:t> </w:t>
            </w:r>
          </w:p>
          <w:p w14:paraId="7DC529E8" w14:textId="12FA0CD4" w:rsidR="009D74A3" w:rsidRDefault="009D74A3" w:rsidP="009D74A3">
            <w:pPr>
              <w:jc w:val="both"/>
              <w:rPr>
                <w:rFonts w:ascii="Times New Roman" w:hAnsi="Times New Roman" w:cs="Times New Roman"/>
                <w:sz w:val="24"/>
                <w:szCs w:val="24"/>
              </w:rPr>
            </w:pPr>
            <w:r w:rsidRPr="009D74A3">
              <w:rPr>
                <w:rFonts w:ascii="Times New Roman" w:hAnsi="Times New Roman" w:cs="Times New Roman"/>
                <w:sz w:val="24"/>
                <w:szCs w:val="24"/>
              </w:rPr>
              <w:t xml:space="preserve">Finalmente, el </w:t>
            </w:r>
            <w:r w:rsidRPr="00740130">
              <w:rPr>
                <w:rFonts w:ascii="Times New Roman" w:hAnsi="Times New Roman" w:cs="Times New Roman"/>
                <w:b/>
                <w:bCs/>
                <w:sz w:val="24"/>
                <w:szCs w:val="24"/>
              </w:rPr>
              <w:t xml:space="preserve">gráfico </w:t>
            </w:r>
            <w:r w:rsidR="00E06FAB" w:rsidRPr="00740130">
              <w:rPr>
                <w:rFonts w:ascii="Times New Roman" w:hAnsi="Times New Roman" w:cs="Times New Roman"/>
                <w:b/>
                <w:bCs/>
                <w:sz w:val="24"/>
                <w:szCs w:val="24"/>
              </w:rPr>
              <w:t>27</w:t>
            </w:r>
            <w:r w:rsidR="00E06FAB" w:rsidRPr="009D74A3">
              <w:rPr>
                <w:rFonts w:ascii="Times New Roman" w:hAnsi="Times New Roman" w:cs="Times New Roman"/>
                <w:sz w:val="24"/>
                <w:szCs w:val="24"/>
              </w:rPr>
              <w:t xml:space="preserve"> </w:t>
            </w:r>
            <w:r w:rsidRPr="009D74A3">
              <w:rPr>
                <w:rFonts w:ascii="Times New Roman" w:hAnsi="Times New Roman" w:cs="Times New Roman"/>
                <w:sz w:val="24"/>
                <w:szCs w:val="24"/>
              </w:rPr>
              <w:t xml:space="preserve">muestra la distribución del parámetro de presión tributaria del ICA sobre las utilidades para los declarantes del impuesto. </w:t>
            </w:r>
            <w:r w:rsidR="004C4195">
              <w:rPr>
                <w:rFonts w:ascii="Times New Roman" w:hAnsi="Times New Roman" w:cs="Times New Roman"/>
                <w:sz w:val="24"/>
                <w:szCs w:val="24"/>
              </w:rPr>
              <w:t xml:space="preserve">En la actualidad </w:t>
            </w:r>
            <w:r w:rsidRPr="009D74A3">
              <w:rPr>
                <w:rFonts w:ascii="Times New Roman" w:hAnsi="Times New Roman" w:cs="Times New Roman"/>
                <w:sz w:val="24"/>
                <w:szCs w:val="24"/>
              </w:rPr>
              <w:t xml:space="preserve">el 12% de los declarantes, principalmente microempresas, tienen pérdidas y deben declarar ICA (menor que cero). Para el 85% de las empresas declarantes se cumple que tienen utilidades mayores o iguales que cero y que el ICA representa una </w:t>
            </w:r>
            <w:r w:rsidR="001C6D79">
              <w:rPr>
                <w:rFonts w:ascii="Times New Roman" w:hAnsi="Times New Roman" w:cs="Times New Roman"/>
                <w:sz w:val="24"/>
                <w:szCs w:val="24"/>
              </w:rPr>
              <w:t>fracción</w:t>
            </w:r>
            <w:r w:rsidR="004C4195">
              <w:rPr>
                <w:rFonts w:ascii="Times New Roman" w:hAnsi="Times New Roman" w:cs="Times New Roman"/>
                <w:sz w:val="24"/>
                <w:szCs w:val="24"/>
              </w:rPr>
              <w:t xml:space="preserve"> </w:t>
            </w:r>
            <w:r w:rsidRPr="009D74A3">
              <w:rPr>
                <w:rFonts w:ascii="Times New Roman" w:hAnsi="Times New Roman" w:cs="Times New Roman"/>
                <w:sz w:val="24"/>
                <w:szCs w:val="24"/>
              </w:rPr>
              <w:t xml:space="preserve">positiva pero inferior al total de sus utilidades. </w:t>
            </w:r>
            <w:r w:rsidR="004C4195">
              <w:rPr>
                <w:rFonts w:ascii="Times New Roman" w:hAnsi="Times New Roman" w:cs="Times New Roman"/>
                <w:sz w:val="24"/>
                <w:szCs w:val="24"/>
              </w:rPr>
              <w:t>P</w:t>
            </w:r>
            <w:r w:rsidRPr="009D74A3">
              <w:rPr>
                <w:rFonts w:ascii="Times New Roman" w:hAnsi="Times New Roman" w:cs="Times New Roman"/>
                <w:sz w:val="24"/>
                <w:szCs w:val="24"/>
              </w:rPr>
              <w:t xml:space="preserve">ara el 3% de las empresas </w:t>
            </w:r>
            <w:r w:rsidR="004C4195">
              <w:rPr>
                <w:rFonts w:ascii="Times New Roman" w:hAnsi="Times New Roman" w:cs="Times New Roman"/>
                <w:sz w:val="24"/>
                <w:szCs w:val="24"/>
              </w:rPr>
              <w:t xml:space="preserve">restantes </w:t>
            </w:r>
            <w:r w:rsidRPr="009D74A3">
              <w:rPr>
                <w:rFonts w:ascii="Times New Roman" w:hAnsi="Times New Roman" w:cs="Times New Roman"/>
                <w:sz w:val="24"/>
                <w:szCs w:val="24"/>
              </w:rPr>
              <w:t>se cumple que el ICA es mayor que sus utilidades (mayor que uno). En resumen,</w:t>
            </w:r>
            <w:r w:rsidR="004C4195">
              <w:rPr>
                <w:rFonts w:ascii="Times New Roman" w:hAnsi="Times New Roman" w:cs="Times New Roman"/>
                <w:sz w:val="24"/>
                <w:szCs w:val="24"/>
              </w:rPr>
              <w:t xml:space="preserve"> aunque</w:t>
            </w:r>
            <w:r w:rsidRPr="009D74A3">
              <w:rPr>
                <w:rFonts w:ascii="Times New Roman" w:hAnsi="Times New Roman" w:cs="Times New Roman"/>
                <w:sz w:val="24"/>
                <w:szCs w:val="24"/>
              </w:rPr>
              <w:t xml:space="preserve"> para la mayoría de las empresas el ICA </w:t>
            </w:r>
            <w:r w:rsidR="004E6DA4">
              <w:rPr>
                <w:rFonts w:ascii="Times New Roman" w:hAnsi="Times New Roman" w:cs="Times New Roman"/>
                <w:sz w:val="24"/>
                <w:szCs w:val="24"/>
              </w:rPr>
              <w:t xml:space="preserve">a cargo </w:t>
            </w:r>
            <w:r w:rsidRPr="009D74A3">
              <w:rPr>
                <w:rFonts w:ascii="Times New Roman" w:hAnsi="Times New Roman" w:cs="Times New Roman"/>
                <w:sz w:val="24"/>
                <w:szCs w:val="24"/>
              </w:rPr>
              <w:t>no implica una carga desmedida sobre sus utilidades</w:t>
            </w:r>
            <w:r w:rsidR="004C4195">
              <w:rPr>
                <w:rFonts w:ascii="Times New Roman" w:hAnsi="Times New Roman" w:cs="Times New Roman"/>
                <w:sz w:val="24"/>
                <w:szCs w:val="24"/>
              </w:rPr>
              <w:t xml:space="preserve">, es importante avanzar para que </w:t>
            </w:r>
            <w:r w:rsidR="000932D9">
              <w:rPr>
                <w:rFonts w:ascii="Times New Roman" w:hAnsi="Times New Roman" w:cs="Times New Roman"/>
                <w:sz w:val="24"/>
                <w:szCs w:val="24"/>
              </w:rPr>
              <w:t xml:space="preserve">la dinámica de este </w:t>
            </w:r>
            <w:r w:rsidR="004C4195">
              <w:rPr>
                <w:rFonts w:ascii="Times New Roman" w:hAnsi="Times New Roman" w:cs="Times New Roman"/>
                <w:sz w:val="24"/>
                <w:szCs w:val="24"/>
              </w:rPr>
              <w:t xml:space="preserve">porcentaje </w:t>
            </w:r>
            <w:r w:rsidR="006858D2">
              <w:rPr>
                <w:rFonts w:ascii="Times New Roman" w:hAnsi="Times New Roman" w:cs="Times New Roman"/>
                <w:sz w:val="24"/>
                <w:szCs w:val="24"/>
              </w:rPr>
              <w:t>responda a las condiciones de una mayor productividad</w:t>
            </w:r>
            <w:r w:rsidRPr="009D74A3">
              <w:rPr>
                <w:rFonts w:ascii="Times New Roman" w:hAnsi="Times New Roman" w:cs="Times New Roman"/>
                <w:sz w:val="24"/>
                <w:szCs w:val="24"/>
              </w:rPr>
              <w:t>. </w:t>
            </w:r>
          </w:p>
          <w:p w14:paraId="12A5C918" w14:textId="77777777" w:rsidR="00F42EE0" w:rsidRPr="009D74A3" w:rsidRDefault="00F42EE0" w:rsidP="009D74A3">
            <w:pPr>
              <w:jc w:val="both"/>
              <w:rPr>
                <w:rFonts w:ascii="Times New Roman" w:hAnsi="Times New Roman" w:cs="Times New Roman"/>
                <w:sz w:val="24"/>
                <w:szCs w:val="24"/>
              </w:rPr>
            </w:pPr>
          </w:p>
          <w:p w14:paraId="7ACBB2F6" w14:textId="7BBC5536" w:rsidR="009D74A3" w:rsidRPr="009D74A3" w:rsidRDefault="009D74A3" w:rsidP="009D74A3">
            <w:pPr>
              <w:jc w:val="center"/>
              <w:rPr>
                <w:rFonts w:ascii="Times New Roman" w:hAnsi="Times New Roman" w:cs="Times New Roman"/>
                <w:b/>
                <w:bCs/>
                <w:sz w:val="24"/>
                <w:szCs w:val="24"/>
              </w:rPr>
            </w:pPr>
            <w:r w:rsidRPr="009D74A3">
              <w:rPr>
                <w:rFonts w:ascii="Times New Roman" w:hAnsi="Times New Roman" w:cs="Times New Roman"/>
                <w:sz w:val="24"/>
                <w:szCs w:val="24"/>
              </w:rPr>
              <w:t> </w:t>
            </w:r>
            <w:r w:rsidRPr="009D74A3">
              <w:rPr>
                <w:rFonts w:ascii="Times New Roman" w:hAnsi="Times New Roman" w:cs="Times New Roman"/>
                <w:b/>
                <w:bCs/>
                <w:sz w:val="24"/>
                <w:szCs w:val="24"/>
              </w:rPr>
              <w:t xml:space="preserve">Gráfico </w:t>
            </w:r>
            <w:r>
              <w:rPr>
                <w:rFonts w:ascii="Times New Roman" w:hAnsi="Times New Roman" w:cs="Times New Roman"/>
                <w:b/>
                <w:bCs/>
                <w:sz w:val="24"/>
                <w:szCs w:val="24"/>
              </w:rPr>
              <w:t>27</w:t>
            </w:r>
          </w:p>
          <w:p w14:paraId="739D761C" w14:textId="03CA2AB2" w:rsidR="009D74A3" w:rsidRPr="009D74A3" w:rsidRDefault="009D74A3" w:rsidP="009D74A3">
            <w:pPr>
              <w:pStyle w:val="paragraph"/>
              <w:spacing w:before="0" w:beforeAutospacing="0" w:after="0" w:afterAutospacing="0"/>
              <w:jc w:val="center"/>
              <w:textAlignment w:val="baseline"/>
              <w:outlineLvl w:val="2"/>
              <w:rPr>
                <w:sz w:val="32"/>
                <w:szCs w:val="32"/>
              </w:rPr>
            </w:pPr>
            <w:r w:rsidRPr="009D74A3">
              <w:rPr>
                <w:rStyle w:val="normaltextrun"/>
                <w:rFonts w:ascii="Times New Roman" w:hAnsi="Times New Roman" w:cs="Times New Roman"/>
                <w:b/>
                <w:bCs/>
                <w:lang w:val="es-419"/>
              </w:rPr>
              <w:t xml:space="preserve"> Distribución del parámetro de presión tributaria del ICA </w:t>
            </w:r>
            <w:r w:rsidR="00E10D4C">
              <w:rPr>
                <w:rStyle w:val="normaltextrun"/>
                <w:rFonts w:ascii="Times New Roman" w:hAnsi="Times New Roman" w:cs="Times New Roman"/>
                <w:b/>
                <w:bCs/>
                <w:lang w:val="es-419"/>
              </w:rPr>
              <w:t>a nivel de empresas</w:t>
            </w:r>
            <w:r w:rsidRPr="009D74A3">
              <w:rPr>
                <w:rStyle w:val="normaltextrun"/>
                <w:rFonts w:ascii="Times New Roman" w:hAnsi="Times New Roman" w:cs="Times New Roman"/>
                <w:b/>
                <w:bCs/>
                <w:lang w:val="es-419"/>
              </w:rPr>
              <w:t>– 2024</w:t>
            </w:r>
            <w:r w:rsidRPr="009D74A3">
              <w:rPr>
                <w:rStyle w:val="eop"/>
              </w:rPr>
              <w:t> </w:t>
            </w:r>
          </w:p>
          <w:p w14:paraId="0B7827CD" w14:textId="1E98CD55" w:rsidR="009D74A3" w:rsidRPr="009D74A3" w:rsidRDefault="009D74A3" w:rsidP="009D74A3">
            <w:pPr>
              <w:pStyle w:val="paragraph"/>
              <w:spacing w:before="0" w:beforeAutospacing="0" w:after="0" w:afterAutospacing="0"/>
              <w:jc w:val="center"/>
              <w:textAlignment w:val="baseline"/>
              <w:outlineLvl w:val="2"/>
              <w:rPr>
                <w:sz w:val="32"/>
                <w:szCs w:val="32"/>
              </w:rPr>
            </w:pPr>
            <w:r w:rsidRPr="009D74A3">
              <w:rPr>
                <w:rFonts w:eastAsiaTheme="minorHAnsi"/>
                <w:noProof/>
                <w:sz w:val="22"/>
                <w:szCs w:val="22"/>
              </w:rPr>
              <w:drawing>
                <wp:inline distT="0" distB="0" distL="0" distR="0" wp14:anchorId="437CFE78" wp14:editId="40B5EED9">
                  <wp:extent cx="5674360" cy="2379980"/>
                  <wp:effectExtent l="0" t="0" r="2540" b="0"/>
                  <wp:docPr id="1690315870"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674360" cy="2379980"/>
                          </a:xfrm>
                          <a:prstGeom prst="rect">
                            <a:avLst/>
                          </a:prstGeom>
                          <a:noFill/>
                          <a:ln>
                            <a:noFill/>
                          </a:ln>
                        </pic:spPr>
                      </pic:pic>
                    </a:graphicData>
                  </a:graphic>
                </wp:inline>
              </w:drawing>
            </w:r>
            <w:r w:rsidRPr="009D74A3">
              <w:rPr>
                <w:rStyle w:val="eop"/>
              </w:rPr>
              <w:t> </w:t>
            </w:r>
          </w:p>
          <w:p w14:paraId="1B9BA5F0" w14:textId="63A3B73D" w:rsidR="009D74A3" w:rsidRPr="009D74A3" w:rsidRDefault="009D74A3" w:rsidP="009D74A3">
            <w:pPr>
              <w:pStyle w:val="paragraph"/>
              <w:spacing w:before="0" w:beforeAutospacing="0" w:after="0" w:afterAutospacing="0"/>
              <w:ind w:left="480" w:right="645"/>
              <w:jc w:val="both"/>
              <w:textAlignment w:val="baseline"/>
              <w:outlineLvl w:val="2"/>
              <w:rPr>
                <w:sz w:val="32"/>
                <w:szCs w:val="32"/>
              </w:rPr>
            </w:pPr>
            <w:r w:rsidRPr="009D74A3">
              <w:rPr>
                <w:rStyle w:val="normaltextrun"/>
                <w:rFonts w:ascii="Times New Roman" w:hAnsi="Times New Roman" w:cs="Times New Roman"/>
                <w:b/>
                <w:bCs/>
                <w:sz w:val="20"/>
                <w:szCs w:val="20"/>
                <w:lang w:val="es-419"/>
              </w:rPr>
              <w:t>Fuente</w:t>
            </w:r>
            <w:r w:rsidRPr="009D74A3">
              <w:rPr>
                <w:rStyle w:val="normaltextrun"/>
                <w:rFonts w:ascii="Times New Roman" w:hAnsi="Times New Roman" w:cs="Times New Roman"/>
                <w:sz w:val="20"/>
                <w:szCs w:val="20"/>
                <w:lang w:val="es-419"/>
              </w:rPr>
              <w:t xml:space="preserve">: Cálculos </w:t>
            </w:r>
            <w:r w:rsidRPr="009D74A3">
              <w:rPr>
                <w:rStyle w:val="normaltextrun"/>
                <w:rFonts w:ascii="Times New Roman" w:hAnsi="Times New Roman" w:cs="Times New Roman"/>
                <w:sz w:val="20"/>
                <w:szCs w:val="20"/>
                <w:lang w:val="es-MX"/>
              </w:rPr>
              <w:t>Secretaría Distrital de Hacienda</w:t>
            </w:r>
            <w:r w:rsidRPr="009D74A3">
              <w:rPr>
                <w:rStyle w:val="normaltextrun"/>
                <w:rFonts w:ascii="Times New Roman" w:hAnsi="Times New Roman" w:cs="Times New Roman"/>
                <w:sz w:val="20"/>
                <w:szCs w:val="20"/>
                <w:lang w:val="es-419"/>
              </w:rPr>
              <w:t xml:space="preserve"> con base en la información del registro mercantil de la CCB</w:t>
            </w:r>
            <w:r w:rsidR="004B0FA7">
              <w:rPr>
                <w:rStyle w:val="normaltextrun"/>
                <w:rFonts w:ascii="Times New Roman" w:hAnsi="Times New Roman" w:cs="Times New Roman"/>
                <w:sz w:val="20"/>
                <w:szCs w:val="20"/>
                <w:lang w:val="es-419"/>
              </w:rPr>
              <w:t>.</w:t>
            </w:r>
            <w:r w:rsidRPr="009D74A3">
              <w:rPr>
                <w:rStyle w:val="eop"/>
                <w:sz w:val="20"/>
                <w:szCs w:val="20"/>
              </w:rPr>
              <w:t> </w:t>
            </w:r>
          </w:p>
          <w:p w14:paraId="3D39A016" w14:textId="77777777" w:rsidR="009D74A3" w:rsidRPr="009D74A3" w:rsidRDefault="009D74A3" w:rsidP="009D74A3">
            <w:pPr>
              <w:pStyle w:val="paragraph"/>
              <w:spacing w:before="0" w:beforeAutospacing="0" w:after="0" w:afterAutospacing="0"/>
              <w:ind w:left="480" w:right="645"/>
              <w:jc w:val="both"/>
              <w:textAlignment w:val="baseline"/>
              <w:outlineLvl w:val="2"/>
              <w:rPr>
                <w:sz w:val="32"/>
                <w:szCs w:val="32"/>
              </w:rPr>
            </w:pPr>
            <w:r w:rsidRPr="009D74A3">
              <w:rPr>
                <w:rStyle w:val="normaltextrun"/>
                <w:rFonts w:ascii="Times New Roman" w:hAnsi="Times New Roman" w:cs="Times New Roman"/>
                <w:b/>
                <w:bCs/>
                <w:sz w:val="20"/>
                <w:szCs w:val="20"/>
                <w:lang w:val="es-419"/>
              </w:rPr>
              <w:t>Nota</w:t>
            </w:r>
            <w:r w:rsidRPr="009D74A3">
              <w:rPr>
                <w:rStyle w:val="normaltextrun"/>
                <w:rFonts w:ascii="Times New Roman" w:hAnsi="Times New Roman" w:cs="Times New Roman"/>
                <w:sz w:val="20"/>
                <w:szCs w:val="20"/>
                <w:lang w:val="es-419"/>
              </w:rPr>
              <w:t>: La clasificación sectorial corresponde a las actividades de la estructura tarifaria del ICA en Bogotá. El tamaño de la empresa se determina a partir de los criterios del decreto 957 de 2019</w:t>
            </w:r>
            <w:r w:rsidRPr="009D74A3">
              <w:rPr>
                <w:rStyle w:val="eop"/>
                <w:sz w:val="20"/>
                <w:szCs w:val="20"/>
              </w:rPr>
              <w:t> </w:t>
            </w:r>
          </w:p>
          <w:p w14:paraId="66BF32CC" w14:textId="77777777" w:rsidR="009D74A3" w:rsidRPr="009D74A3" w:rsidRDefault="009D74A3" w:rsidP="009D74A3">
            <w:pPr>
              <w:pStyle w:val="paragraph"/>
              <w:spacing w:before="0" w:beforeAutospacing="0" w:after="0" w:afterAutospacing="0"/>
              <w:textAlignment w:val="baseline"/>
              <w:outlineLvl w:val="2"/>
              <w:rPr>
                <w:sz w:val="32"/>
                <w:szCs w:val="32"/>
              </w:rPr>
            </w:pPr>
            <w:r w:rsidRPr="009D74A3">
              <w:rPr>
                <w:rStyle w:val="eop"/>
                <w:sz w:val="22"/>
                <w:szCs w:val="22"/>
              </w:rPr>
              <w:t> </w:t>
            </w:r>
          </w:p>
          <w:p w14:paraId="500CAEE6" w14:textId="2B8607A9" w:rsidR="009D74A3" w:rsidRPr="009D74A3" w:rsidRDefault="009D74A3">
            <w:pPr>
              <w:pStyle w:val="paragraph"/>
              <w:numPr>
                <w:ilvl w:val="2"/>
                <w:numId w:val="6"/>
              </w:numPr>
              <w:spacing w:before="0" w:beforeAutospacing="0" w:after="0" w:afterAutospacing="0"/>
              <w:textAlignment w:val="baseline"/>
              <w:outlineLvl w:val="2"/>
              <w:rPr>
                <w:color w:val="2E74B5"/>
              </w:rPr>
            </w:pPr>
            <w:r w:rsidRPr="009D74A3">
              <w:rPr>
                <w:rStyle w:val="normaltextrun"/>
                <w:rFonts w:ascii="Times New Roman" w:hAnsi="Times New Roman" w:cs="Times New Roman"/>
                <w:b/>
                <w:bCs/>
              </w:rPr>
              <w:t>Multiplicidad de tarifas</w:t>
            </w:r>
            <w:r w:rsidRPr="009D74A3">
              <w:rPr>
                <w:rStyle w:val="eop"/>
              </w:rPr>
              <w:t> </w:t>
            </w:r>
          </w:p>
          <w:p w14:paraId="119E91E3" w14:textId="77777777" w:rsidR="009D74A3" w:rsidRPr="009D74A3" w:rsidRDefault="009D74A3" w:rsidP="009D74A3">
            <w:pPr>
              <w:pStyle w:val="paragraph"/>
              <w:spacing w:before="0" w:beforeAutospacing="0" w:after="0" w:afterAutospacing="0"/>
              <w:textAlignment w:val="baseline"/>
              <w:outlineLvl w:val="2"/>
              <w:rPr>
                <w:sz w:val="32"/>
                <w:szCs w:val="32"/>
              </w:rPr>
            </w:pPr>
            <w:r w:rsidRPr="009D74A3">
              <w:rPr>
                <w:rStyle w:val="eop"/>
              </w:rPr>
              <w:t> </w:t>
            </w:r>
          </w:p>
          <w:p w14:paraId="0B4F6D43" w14:textId="6B9915B2" w:rsidR="009D74A3" w:rsidRPr="009D74A3" w:rsidRDefault="009D74A3" w:rsidP="009D74A3">
            <w:pPr>
              <w:jc w:val="both"/>
              <w:rPr>
                <w:rFonts w:ascii="Times New Roman" w:hAnsi="Times New Roman" w:cs="Times New Roman"/>
                <w:sz w:val="24"/>
                <w:szCs w:val="24"/>
              </w:rPr>
            </w:pPr>
            <w:r w:rsidRPr="009D74A3">
              <w:rPr>
                <w:rStyle w:val="normaltextrun"/>
                <w:rFonts w:ascii="Times New Roman" w:hAnsi="Times New Roman" w:cs="Times New Roman"/>
              </w:rPr>
              <w:t xml:space="preserve">La estructura tarifaria del impuesto de industria y comercio – ICA en Bogotá D.C. se caracteriza por una alta </w:t>
            </w:r>
            <w:r w:rsidRPr="009D74A3">
              <w:rPr>
                <w:rFonts w:ascii="Times New Roman" w:hAnsi="Times New Roman" w:cs="Times New Roman"/>
                <w:sz w:val="24"/>
                <w:szCs w:val="24"/>
              </w:rPr>
              <w:t>fragmentación, reflejada en la existencia de múltiples tarifas diferenciadas por actividad económica (</w:t>
            </w:r>
            <w:r w:rsidRPr="004B0FA7">
              <w:rPr>
                <w:rFonts w:ascii="Times New Roman" w:hAnsi="Times New Roman" w:cs="Times New Roman"/>
                <w:b/>
                <w:bCs/>
                <w:sz w:val="24"/>
                <w:szCs w:val="24"/>
              </w:rPr>
              <w:t>Gráfico 28</w:t>
            </w:r>
            <w:r w:rsidRPr="009D74A3">
              <w:rPr>
                <w:rFonts w:ascii="Times New Roman" w:hAnsi="Times New Roman" w:cs="Times New Roman"/>
                <w:sz w:val="24"/>
                <w:szCs w:val="24"/>
              </w:rPr>
              <w:t>). A ello se suma el hecho de que dichas tarifas están expresadas en cifras con hasta dos decimales, lo cual introduce un nivel de complejidad innecesario tanto para los contribuyentes como para la Administración Tributaria. Como se aprecia en la siguiente gráfica, Bogotá tiene 20 tarifas distribuidas en cuatro sectores, agrupadas en 13 valores con decimales  </w:t>
            </w:r>
          </w:p>
          <w:p w14:paraId="011F54DF" w14:textId="77777777" w:rsidR="009D74A3" w:rsidRPr="009D74A3" w:rsidRDefault="009D74A3" w:rsidP="009D74A3">
            <w:pPr>
              <w:jc w:val="both"/>
              <w:rPr>
                <w:rFonts w:ascii="Times New Roman" w:hAnsi="Times New Roman" w:cs="Times New Roman"/>
                <w:sz w:val="24"/>
                <w:szCs w:val="24"/>
              </w:rPr>
            </w:pPr>
            <w:r w:rsidRPr="009D74A3">
              <w:rPr>
                <w:rFonts w:ascii="Times New Roman" w:hAnsi="Times New Roman" w:cs="Times New Roman"/>
                <w:sz w:val="24"/>
                <w:szCs w:val="24"/>
              </w:rPr>
              <w:t> </w:t>
            </w:r>
          </w:p>
          <w:p w14:paraId="2A07A4F6" w14:textId="06203115" w:rsidR="009D74A3" w:rsidRPr="009D74A3" w:rsidRDefault="009D74A3" w:rsidP="009D74A3">
            <w:pPr>
              <w:jc w:val="center"/>
              <w:rPr>
                <w:rFonts w:ascii="Times New Roman" w:hAnsi="Times New Roman" w:cs="Times New Roman"/>
                <w:b/>
                <w:bCs/>
                <w:sz w:val="24"/>
                <w:szCs w:val="24"/>
              </w:rPr>
            </w:pPr>
            <w:r w:rsidRPr="009D74A3">
              <w:rPr>
                <w:rFonts w:ascii="Times New Roman" w:hAnsi="Times New Roman" w:cs="Times New Roman"/>
                <w:b/>
                <w:bCs/>
                <w:sz w:val="24"/>
                <w:szCs w:val="24"/>
              </w:rPr>
              <w:t>Gráfico 2</w:t>
            </w:r>
            <w:r>
              <w:rPr>
                <w:rFonts w:ascii="Times New Roman" w:hAnsi="Times New Roman" w:cs="Times New Roman"/>
                <w:b/>
                <w:bCs/>
                <w:sz w:val="24"/>
                <w:szCs w:val="24"/>
              </w:rPr>
              <w:t>8</w:t>
            </w:r>
            <w:r w:rsidRPr="009D74A3">
              <w:rPr>
                <w:rFonts w:ascii="Times New Roman" w:hAnsi="Times New Roman" w:cs="Times New Roman"/>
                <w:b/>
                <w:bCs/>
                <w:sz w:val="24"/>
                <w:szCs w:val="24"/>
              </w:rPr>
              <w:t>.</w:t>
            </w:r>
          </w:p>
          <w:p w14:paraId="025042D2" w14:textId="77777777" w:rsidR="009D74A3" w:rsidRPr="009D74A3" w:rsidRDefault="009D74A3" w:rsidP="009D74A3">
            <w:pPr>
              <w:pStyle w:val="paragraph"/>
              <w:spacing w:before="0" w:beforeAutospacing="0" w:after="0" w:afterAutospacing="0"/>
              <w:jc w:val="center"/>
              <w:textAlignment w:val="baseline"/>
              <w:outlineLvl w:val="2"/>
              <w:rPr>
                <w:sz w:val="32"/>
                <w:szCs w:val="32"/>
              </w:rPr>
            </w:pPr>
            <w:r w:rsidRPr="009D74A3">
              <w:rPr>
                <w:rStyle w:val="normaltextrun"/>
                <w:rFonts w:ascii="Times New Roman" w:hAnsi="Times New Roman" w:cs="Times New Roman"/>
                <w:b/>
                <w:bCs/>
              </w:rPr>
              <w:t> Tarifas del ICA por actividad económica y agrupación – 2024  </w:t>
            </w:r>
            <w:r w:rsidRPr="009D74A3">
              <w:rPr>
                <w:rStyle w:val="eop"/>
              </w:rPr>
              <w:t> </w:t>
            </w:r>
          </w:p>
          <w:p w14:paraId="5C201BE9" w14:textId="0FF93BEA" w:rsidR="009D74A3" w:rsidRPr="009D74A3" w:rsidRDefault="009D74A3" w:rsidP="009D74A3">
            <w:pPr>
              <w:pStyle w:val="paragraph"/>
              <w:spacing w:before="0" w:beforeAutospacing="0" w:after="0" w:afterAutospacing="0"/>
              <w:jc w:val="center"/>
              <w:textAlignment w:val="baseline"/>
              <w:outlineLvl w:val="2"/>
              <w:rPr>
                <w:sz w:val="32"/>
                <w:szCs w:val="32"/>
              </w:rPr>
            </w:pPr>
            <w:r w:rsidRPr="009D74A3">
              <w:rPr>
                <w:rFonts w:eastAsiaTheme="minorHAnsi"/>
                <w:noProof/>
                <w:sz w:val="22"/>
                <w:szCs w:val="22"/>
              </w:rPr>
              <w:drawing>
                <wp:inline distT="0" distB="0" distL="0" distR="0" wp14:anchorId="2D3B2A92" wp14:editId="340F64AA">
                  <wp:extent cx="4969565" cy="2191933"/>
                  <wp:effectExtent l="0" t="0" r="2540" b="0"/>
                  <wp:docPr id="1644873988"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005947" cy="2207980"/>
                          </a:xfrm>
                          <a:prstGeom prst="rect">
                            <a:avLst/>
                          </a:prstGeom>
                          <a:noFill/>
                          <a:ln>
                            <a:noFill/>
                          </a:ln>
                        </pic:spPr>
                      </pic:pic>
                    </a:graphicData>
                  </a:graphic>
                </wp:inline>
              </w:drawing>
            </w:r>
            <w:r w:rsidRPr="009D74A3">
              <w:rPr>
                <w:rStyle w:val="eop"/>
                <w:sz w:val="22"/>
                <w:szCs w:val="22"/>
              </w:rPr>
              <w:t> </w:t>
            </w:r>
          </w:p>
          <w:p w14:paraId="56DBA2E2" w14:textId="77777777" w:rsidR="009D74A3" w:rsidRPr="002F39C9" w:rsidRDefault="009D74A3" w:rsidP="009D74A3">
            <w:pPr>
              <w:pStyle w:val="paragraph"/>
              <w:spacing w:before="0" w:beforeAutospacing="0" w:after="0" w:afterAutospacing="0"/>
              <w:ind w:firstLine="1350"/>
              <w:textAlignment w:val="baseline"/>
              <w:outlineLvl w:val="2"/>
              <w:rPr>
                <w:sz w:val="28"/>
                <w:szCs w:val="28"/>
              </w:rPr>
            </w:pPr>
            <w:r w:rsidRPr="002F39C9">
              <w:rPr>
                <w:rStyle w:val="normaltextrun"/>
                <w:rFonts w:ascii="Times New Roman" w:hAnsi="Times New Roman" w:cs="Times New Roman"/>
                <w:b/>
                <w:sz w:val="20"/>
                <w:szCs w:val="20"/>
              </w:rPr>
              <w:t>Fuente:</w:t>
            </w:r>
            <w:r w:rsidRPr="002F39C9">
              <w:rPr>
                <w:rStyle w:val="normaltextrun"/>
                <w:rFonts w:ascii="Times New Roman" w:hAnsi="Times New Roman" w:cs="Times New Roman"/>
                <w:sz w:val="20"/>
                <w:szCs w:val="20"/>
              </w:rPr>
              <w:t xml:space="preserve"> Secretaría Distrital de Hacienda. </w:t>
            </w:r>
            <w:r w:rsidRPr="002F39C9">
              <w:rPr>
                <w:rStyle w:val="eop"/>
                <w:sz w:val="20"/>
                <w:szCs w:val="20"/>
              </w:rPr>
              <w:t> </w:t>
            </w:r>
          </w:p>
          <w:p w14:paraId="43049A1C"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eop"/>
                <w:sz w:val="22"/>
                <w:szCs w:val="22"/>
              </w:rPr>
              <w:t> </w:t>
            </w:r>
          </w:p>
          <w:p w14:paraId="2298EE21"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xml:space="preserve">Diversos estudios sobre diseño tributario </w:t>
            </w:r>
            <w:r w:rsidRPr="46221FE5">
              <w:rPr>
                <w:rStyle w:val="normaltextrun"/>
                <w:rFonts w:ascii="Times New Roman" w:hAnsi="Times New Roman" w:cs="Times New Roman"/>
              </w:rPr>
              <w:t>recomiendan el uso de estructuras tarifarias simples y uniformes, en la medida en que promueven el cumplimiento voluntario, reducen errores de cálculo, disminuyen los costos administrativos y facilitan la fiscalización.</w:t>
            </w:r>
            <w:r w:rsidRPr="009D74A3">
              <w:rPr>
                <w:rStyle w:val="normaltextrun"/>
                <w:rFonts w:ascii="Times New Roman" w:hAnsi="Times New Roman" w:cs="Times New Roman"/>
              </w:rPr>
              <w:t xml:space="preserve"> Tal como lo señalan Bird y Zolt (2003), una estructura tributaria excesivamente compleja tiende a generar ineficiencias y a obstaculizar la transparencia del sistema. De igual forma, el Fondo Monetario Internacional – FMI ha advertido que </w:t>
            </w:r>
            <w:r w:rsidRPr="46221FE5">
              <w:rPr>
                <w:rStyle w:val="normaltextrun"/>
                <w:rFonts w:ascii="Times New Roman" w:hAnsi="Times New Roman" w:cs="Times New Roman"/>
              </w:rPr>
              <w:t>las tarifas múltiples dificultan la gestión del impuesto y pueden dar lugar a inequidades horizontales, además de inducir a errores involuntarios por parte del contribuyente al momento de presentar su declaración</w:t>
            </w:r>
            <w:r w:rsidRPr="009D74A3">
              <w:rPr>
                <w:rStyle w:val="normaltextrun"/>
                <w:rFonts w:ascii="Times New Roman" w:hAnsi="Times New Roman" w:cs="Times New Roman"/>
              </w:rPr>
              <w:t>.</w:t>
            </w:r>
            <w:r w:rsidRPr="009D74A3">
              <w:rPr>
                <w:rStyle w:val="eop"/>
              </w:rPr>
              <w:t> </w:t>
            </w:r>
          </w:p>
          <w:p w14:paraId="5FF4262D" w14:textId="77777777" w:rsidR="009D74A3" w:rsidRPr="009D74A3" w:rsidRDefault="009D74A3" w:rsidP="009D74A3">
            <w:pPr>
              <w:pStyle w:val="paragraph"/>
              <w:spacing w:before="0" w:beforeAutospacing="0" w:after="0" w:afterAutospacing="0"/>
              <w:ind w:left="270"/>
              <w:jc w:val="both"/>
              <w:textAlignment w:val="baseline"/>
              <w:outlineLvl w:val="2"/>
              <w:rPr>
                <w:sz w:val="32"/>
                <w:szCs w:val="32"/>
              </w:rPr>
            </w:pPr>
            <w:r w:rsidRPr="009D74A3">
              <w:rPr>
                <w:rStyle w:val="eop"/>
              </w:rPr>
              <w:t> </w:t>
            </w:r>
          </w:p>
          <w:p w14:paraId="34698369"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xml:space="preserve">En este contexto, </w:t>
            </w:r>
            <w:r w:rsidRPr="46221FE5">
              <w:rPr>
                <w:rStyle w:val="normaltextrun"/>
                <w:rFonts w:ascii="Times New Roman" w:hAnsi="Times New Roman" w:cs="Times New Roman"/>
              </w:rPr>
              <w:t>la expresión de tarifas con decimales representa un riesgo adicional: incrementa la probabilidad de imprecisiones aritméticas en la liquidación del impuesto</w:t>
            </w:r>
            <w:r w:rsidRPr="009D74A3">
              <w:rPr>
                <w:rStyle w:val="normaltextrun"/>
                <w:rFonts w:ascii="Times New Roman" w:hAnsi="Times New Roman" w:cs="Times New Roman"/>
              </w:rPr>
              <w:t>, especialmente cuando se utilizan sistemas manuales</w:t>
            </w:r>
            <w:r w:rsidRPr="009D74A3">
              <w:rPr>
                <w:rStyle w:val="normaltextrun"/>
                <w:rFonts w:ascii="Times New Roman" w:hAnsi="Times New Roman" w:cs="Times New Roman"/>
                <w:sz w:val="22"/>
                <w:szCs w:val="22"/>
              </w:rPr>
              <w:t xml:space="preserve"> </w:t>
            </w:r>
            <w:r w:rsidRPr="009D74A3">
              <w:rPr>
                <w:rStyle w:val="normaltextrun"/>
                <w:rFonts w:ascii="Times New Roman" w:hAnsi="Times New Roman" w:cs="Times New Roman"/>
              </w:rPr>
              <w:t xml:space="preserve">o poco </w:t>
            </w:r>
            <w:r w:rsidRPr="009D74A3">
              <w:rPr>
                <w:rStyle w:val="normaltextrun"/>
                <w:rFonts w:ascii="Times New Roman" w:hAnsi="Times New Roman" w:cs="Times New Roman"/>
                <w:color w:val="000000" w:themeColor="text1"/>
              </w:rPr>
              <w:t xml:space="preserve">automatizados, como puede ser el caso especialmente de las micro y pequeñas empresas. </w:t>
            </w:r>
            <w:r w:rsidRPr="009D74A3">
              <w:rPr>
                <w:rStyle w:val="normaltextrun"/>
                <w:rFonts w:ascii="Times New Roman" w:hAnsi="Times New Roman" w:cs="Times New Roman"/>
              </w:rPr>
              <w:t>Desde una perspectiva de buenas prácticas, las tarifas deben mantenerse en niveles redondeados que permitan una mejor comprensión, una liquidación sencilla y un control efectivo por parte de la autoridad tributaria.</w:t>
            </w:r>
            <w:r w:rsidRPr="009D74A3">
              <w:rPr>
                <w:rStyle w:val="eop"/>
              </w:rPr>
              <w:t> </w:t>
            </w:r>
          </w:p>
          <w:p w14:paraId="4EE31EAC" w14:textId="77777777" w:rsidR="009D74A3" w:rsidRPr="009D74A3" w:rsidRDefault="009D74A3" w:rsidP="009D74A3">
            <w:pPr>
              <w:pStyle w:val="paragraph"/>
              <w:spacing w:before="0" w:beforeAutospacing="0" w:after="0" w:afterAutospacing="0"/>
              <w:textAlignment w:val="baseline"/>
              <w:outlineLvl w:val="2"/>
              <w:rPr>
                <w:sz w:val="32"/>
                <w:szCs w:val="32"/>
              </w:rPr>
            </w:pPr>
            <w:r w:rsidRPr="009D74A3">
              <w:rPr>
                <w:rStyle w:val="eop"/>
              </w:rPr>
              <w:t> </w:t>
            </w:r>
          </w:p>
          <w:p w14:paraId="7A1C89EB"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Existe un relativo consenso entre quienes han estudiado buenas prácticas en materia de administración de impuestos sobre la importancia de adoptar esquemas tarifarios simples como una herramienta para promover la formalización empresarial, en especial, entre los micronegocios. Estos esquemas, caracterizados por tarifas únicas o reducidos niveles tarifarios por sectores amplios, contribuyen a disminuir los costos de cumplimiento tributario y la incertidumbre normativa, dos factores que inciden en la decisión de ser formal o informal.</w:t>
            </w:r>
            <w:r w:rsidRPr="009D74A3">
              <w:rPr>
                <w:rStyle w:val="eop"/>
              </w:rPr>
              <w:t> </w:t>
            </w:r>
          </w:p>
          <w:p w14:paraId="33E3E99E" w14:textId="77777777" w:rsidR="009D74A3" w:rsidRPr="009D74A3" w:rsidRDefault="009D74A3" w:rsidP="009D74A3">
            <w:pPr>
              <w:pStyle w:val="paragraph"/>
              <w:spacing w:before="0" w:beforeAutospacing="0" w:after="0" w:afterAutospacing="0"/>
              <w:textAlignment w:val="baseline"/>
              <w:outlineLvl w:val="2"/>
              <w:rPr>
                <w:sz w:val="32"/>
                <w:szCs w:val="32"/>
              </w:rPr>
            </w:pPr>
            <w:r w:rsidRPr="009D74A3">
              <w:rPr>
                <w:rStyle w:val="eop"/>
              </w:rPr>
              <w:t> </w:t>
            </w:r>
          </w:p>
          <w:p w14:paraId="498625F1" w14:textId="11DC1E13" w:rsidR="009D74A3" w:rsidRPr="009D74A3" w:rsidRDefault="009D74A3" w:rsidP="009D74A3">
            <w:pPr>
              <w:pStyle w:val="paragraph"/>
              <w:spacing w:before="0" w:beforeAutospacing="0" w:after="0" w:afterAutospacing="0"/>
              <w:jc w:val="both"/>
              <w:textAlignment w:val="baseline"/>
              <w:outlineLvl w:val="2"/>
              <w:rPr>
                <w:rStyle w:val="eop"/>
              </w:rPr>
            </w:pPr>
            <w:r w:rsidRPr="009D74A3">
              <w:rPr>
                <w:rStyle w:val="normaltextrun"/>
                <w:rFonts w:ascii="Times New Roman" w:hAnsi="Times New Roman" w:cs="Times New Roman"/>
              </w:rPr>
              <w:t xml:space="preserve">Estudios como el de Bird y Zolt (2003) argumentan que los sistemas tributarios que utilizan múltiples tarifas, con variaciones finas por tipo de actividad, generan cargas administrativas desproporcionadas para los pequeños contribuyentes. En contextos de alta informalidad, como el caso de Colombia, esta complejidad actúa como una barrera de entrada al sistema formal. Frente al particular también ha señalado el Banco Mundial a través del informe Doing Business, que simplificar el número de pagos, los procedimientos y las tasas impositivas mejora significativamente el cumplimiento, especialmente entre pequeñas empresas con </w:t>
            </w:r>
            <w:r w:rsidR="00AD20DA">
              <w:rPr>
                <w:rStyle w:val="normaltextrun"/>
                <w:rFonts w:ascii="Times New Roman" w:hAnsi="Times New Roman" w:cs="Times New Roman"/>
              </w:rPr>
              <w:t xml:space="preserve">menores </w:t>
            </w:r>
            <w:r w:rsidRPr="009D74A3">
              <w:rPr>
                <w:rStyle w:val="normaltextrun"/>
                <w:rFonts w:ascii="Times New Roman" w:hAnsi="Times New Roman" w:cs="Times New Roman"/>
              </w:rPr>
              <w:t xml:space="preserve">capacidades </w:t>
            </w:r>
            <w:r w:rsidR="00484A2A">
              <w:rPr>
                <w:rStyle w:val="normaltextrun"/>
                <w:rFonts w:ascii="Times New Roman" w:hAnsi="Times New Roman" w:cs="Times New Roman"/>
              </w:rPr>
              <w:t>organizacionales</w:t>
            </w:r>
            <w:r w:rsidRPr="009D74A3">
              <w:rPr>
                <w:rStyle w:val="normaltextrun"/>
                <w:rFonts w:ascii="Times New Roman" w:hAnsi="Times New Roman" w:cs="Times New Roman"/>
              </w:rPr>
              <w:t>.</w:t>
            </w:r>
            <w:r w:rsidRPr="009D74A3">
              <w:rPr>
                <w:rStyle w:val="eop"/>
              </w:rPr>
              <w:t> </w:t>
            </w:r>
          </w:p>
          <w:p w14:paraId="3A6A7CB2" w14:textId="77777777" w:rsidR="009D74A3" w:rsidRPr="009D74A3" w:rsidRDefault="009D74A3" w:rsidP="009D74A3">
            <w:pPr>
              <w:pStyle w:val="paragraph"/>
              <w:spacing w:before="0" w:beforeAutospacing="0" w:after="0" w:afterAutospacing="0"/>
              <w:textAlignment w:val="baseline"/>
              <w:outlineLvl w:val="2"/>
              <w:rPr>
                <w:rStyle w:val="eop"/>
              </w:rPr>
            </w:pPr>
            <w:r w:rsidRPr="009D74A3">
              <w:rPr>
                <w:rStyle w:val="eop"/>
              </w:rPr>
              <w:t> </w:t>
            </w:r>
          </w:p>
          <w:p w14:paraId="223E92F4" w14:textId="77777777" w:rsidR="009D74A3" w:rsidRPr="009D74A3" w:rsidRDefault="009D74A3" w:rsidP="009D74A3">
            <w:pPr>
              <w:pStyle w:val="paragraph"/>
              <w:spacing w:before="0" w:beforeAutospacing="0" w:after="0" w:afterAutospacing="0"/>
              <w:jc w:val="both"/>
              <w:textAlignment w:val="baseline"/>
              <w:outlineLvl w:val="2"/>
              <w:rPr>
                <w:rStyle w:val="eop"/>
              </w:rPr>
            </w:pPr>
            <w:r w:rsidRPr="009D74A3">
              <w:rPr>
                <w:rStyle w:val="normaltextrun"/>
                <w:rFonts w:ascii="Times New Roman" w:hAnsi="Times New Roman" w:cs="Times New Roman"/>
              </w:rPr>
              <w:t>La evidencia empírica sugiere que los regímenes tributarios simplificados (monotributos, tarifas únicas para pequeños contribuyentes, regímenes presuntivos) están positivamente asociados con tasas de formalización. En particular, Castro y Scartascini (2015) encuentran que la reducción de la complejidad tributaria, acompañada de incentivos razonables, incrementa la probabilidad de registro formal entre micronegocios en sectores de baja productividad. Por su parte, Jaramillo (2009) señala que cuando la estructura tributaria local es comprensible y los costos son predecibles, la decisión de formalizarse resulta menos costosa.</w:t>
            </w:r>
            <w:r w:rsidRPr="009D74A3">
              <w:rPr>
                <w:rStyle w:val="eop"/>
              </w:rPr>
              <w:t> </w:t>
            </w:r>
          </w:p>
          <w:p w14:paraId="55986FC2" w14:textId="77777777" w:rsidR="009D74A3" w:rsidRPr="009D74A3" w:rsidRDefault="009D74A3" w:rsidP="009D74A3">
            <w:pPr>
              <w:pStyle w:val="paragraph"/>
              <w:spacing w:before="0" w:beforeAutospacing="0" w:after="0" w:afterAutospacing="0"/>
              <w:textAlignment w:val="baseline"/>
              <w:outlineLvl w:val="2"/>
              <w:rPr>
                <w:rStyle w:val="eop"/>
              </w:rPr>
            </w:pPr>
            <w:r w:rsidRPr="009D74A3">
              <w:rPr>
                <w:rStyle w:val="eop"/>
              </w:rPr>
              <w:t> </w:t>
            </w:r>
          </w:p>
          <w:p w14:paraId="54044C81" w14:textId="77777777" w:rsidR="009D74A3" w:rsidRPr="009D74A3" w:rsidRDefault="009D74A3" w:rsidP="009D74A3">
            <w:pPr>
              <w:pStyle w:val="paragraph"/>
              <w:spacing w:before="0" w:beforeAutospacing="0" w:after="0" w:afterAutospacing="0"/>
              <w:jc w:val="both"/>
              <w:textAlignment w:val="baseline"/>
              <w:outlineLvl w:val="2"/>
              <w:rPr>
                <w:rStyle w:val="eop"/>
              </w:rPr>
            </w:pPr>
            <w:r w:rsidRPr="009D74A3">
              <w:rPr>
                <w:rStyle w:val="normaltextrun"/>
                <w:rFonts w:ascii="Times New Roman" w:hAnsi="Times New Roman" w:cs="Times New Roman"/>
              </w:rPr>
              <w:t>Finalmente, la formalización empresarial como fenómeno implica no sólo un mayor recaudo tributario, sino también externalidades positivas sobre el entorno productivo: mayor acceso al crédito, protección social para trabajadores, encadenamientos productivos y generación de empleo formal. A nivel local, esto se traduce en una base tributaria más amplia, mejores condiciones para la inversión y mayor disponibilidad de recursos para la provisión de bienes públicos locales. </w:t>
            </w:r>
            <w:r w:rsidRPr="009D74A3">
              <w:rPr>
                <w:rStyle w:val="eop"/>
              </w:rPr>
              <w:t> </w:t>
            </w:r>
          </w:p>
          <w:p w14:paraId="43F7C156" w14:textId="77777777" w:rsidR="009D74A3" w:rsidRPr="009D74A3" w:rsidRDefault="009D74A3" w:rsidP="009D74A3">
            <w:pPr>
              <w:pStyle w:val="paragraph"/>
              <w:spacing w:before="0" w:beforeAutospacing="0" w:after="0" w:afterAutospacing="0"/>
              <w:jc w:val="both"/>
              <w:textAlignment w:val="baseline"/>
              <w:outlineLvl w:val="2"/>
              <w:rPr>
                <w:rStyle w:val="eop"/>
              </w:rPr>
            </w:pPr>
            <w:r w:rsidRPr="009D74A3">
              <w:rPr>
                <w:rStyle w:val="eop"/>
              </w:rPr>
              <w:t> </w:t>
            </w:r>
          </w:p>
          <w:p w14:paraId="12C0DD3B" w14:textId="77777777" w:rsidR="009D74A3" w:rsidRPr="009D74A3" w:rsidRDefault="009D74A3" w:rsidP="009D74A3">
            <w:pPr>
              <w:pStyle w:val="paragraph"/>
              <w:spacing w:before="0" w:beforeAutospacing="0" w:after="0" w:afterAutospacing="0"/>
              <w:jc w:val="both"/>
              <w:textAlignment w:val="baseline"/>
              <w:outlineLvl w:val="2"/>
              <w:rPr>
                <w:rStyle w:val="eop"/>
              </w:rPr>
            </w:pPr>
            <w:r w:rsidRPr="009D74A3">
              <w:rPr>
                <w:rStyle w:val="normaltextrun"/>
                <w:rFonts w:ascii="Times New Roman" w:hAnsi="Times New Roman" w:cs="Times New Roman"/>
              </w:rPr>
              <w:t>Así las cosas, avanzar en una simplificación tarifaria contribuye en la construcción de una estructura tributaria de fácil recordación entre los contribuyentes, haciendo menos complejo el cumplimiento de las obligaciones tributarias por parte de los ciudadanos, lo cual se verá reflejado en el aumento del recaudo y la simplificación de los procesos al interior de la Administración.</w:t>
            </w:r>
            <w:r w:rsidRPr="009D74A3">
              <w:rPr>
                <w:rStyle w:val="eop"/>
              </w:rPr>
              <w:t> </w:t>
            </w:r>
          </w:p>
          <w:p w14:paraId="0BF3E3DF" w14:textId="77777777" w:rsidR="009D74A3" w:rsidRPr="009D74A3" w:rsidRDefault="009D74A3" w:rsidP="009D74A3">
            <w:pPr>
              <w:pStyle w:val="paragraph"/>
              <w:spacing w:before="0" w:beforeAutospacing="0" w:after="0" w:afterAutospacing="0"/>
              <w:jc w:val="both"/>
              <w:textAlignment w:val="baseline"/>
              <w:outlineLvl w:val="2"/>
              <w:rPr>
                <w:rStyle w:val="eop"/>
              </w:rPr>
            </w:pPr>
            <w:r w:rsidRPr="009D74A3">
              <w:rPr>
                <w:rStyle w:val="eop"/>
              </w:rPr>
              <w:t> </w:t>
            </w:r>
          </w:p>
          <w:p w14:paraId="2679A7C6" w14:textId="77777777" w:rsidR="009D74A3" w:rsidRPr="009D74A3" w:rsidRDefault="009D74A3" w:rsidP="009D74A3">
            <w:pPr>
              <w:pStyle w:val="paragraph"/>
              <w:spacing w:before="0" w:beforeAutospacing="0" w:after="0" w:afterAutospacing="0"/>
              <w:jc w:val="both"/>
              <w:textAlignment w:val="baseline"/>
              <w:outlineLvl w:val="2"/>
              <w:rPr>
                <w:rStyle w:val="eop"/>
              </w:rPr>
            </w:pPr>
            <w:r w:rsidRPr="009D74A3">
              <w:rPr>
                <w:rStyle w:val="normaltextrun"/>
                <w:rFonts w:ascii="Times New Roman" w:hAnsi="Times New Roman" w:cs="Times New Roman"/>
              </w:rPr>
              <w:t>La simplicidad es importante dado que permite a los contribuyentes comprender lo que el sistema tributario espera de ellos, reduciendo las</w:t>
            </w:r>
            <w:r w:rsidRPr="46221FE5">
              <w:rPr>
                <w:rStyle w:val="normaltextrun"/>
                <w:rFonts w:ascii="Times New Roman" w:hAnsi="Times New Roman" w:cs="Times New Roman"/>
                <w:color w:val="7F7F7F" w:themeColor="text1" w:themeTint="80"/>
              </w:rPr>
              <w:t xml:space="preserve"> </w:t>
            </w:r>
            <w:r w:rsidRPr="009D74A3">
              <w:rPr>
                <w:rStyle w:val="normaltextrun"/>
                <w:rFonts w:ascii="Times New Roman" w:hAnsi="Times New Roman" w:cs="Times New Roman"/>
              </w:rPr>
              <w:t>oportunidades de adecuar comportamientos que fomente la evasión tributaria, a la vez que genera mayor certeza al momento de establecer el valor a pagar por la realización del hecho generador del tributo. </w:t>
            </w:r>
            <w:r w:rsidRPr="009D74A3">
              <w:rPr>
                <w:rStyle w:val="eop"/>
              </w:rPr>
              <w:t> </w:t>
            </w:r>
          </w:p>
          <w:p w14:paraId="24260E87" w14:textId="1A511842" w:rsidR="009D74A3" w:rsidRPr="009D74A3" w:rsidRDefault="009D74A3" w:rsidP="009D74A3">
            <w:pPr>
              <w:pStyle w:val="paragraph"/>
              <w:spacing w:before="0" w:beforeAutospacing="0" w:after="0" w:afterAutospacing="0"/>
              <w:jc w:val="both"/>
              <w:textAlignment w:val="baseline"/>
              <w:outlineLvl w:val="2"/>
              <w:rPr>
                <w:color w:val="2E74B5"/>
                <w:sz w:val="28"/>
                <w:szCs w:val="28"/>
              </w:rPr>
            </w:pPr>
          </w:p>
          <w:p w14:paraId="63082257" w14:textId="71245F14" w:rsidR="009D74A3" w:rsidRPr="009D74A3" w:rsidRDefault="009D74A3">
            <w:pPr>
              <w:pStyle w:val="paragraph"/>
              <w:numPr>
                <w:ilvl w:val="2"/>
                <w:numId w:val="6"/>
              </w:numPr>
              <w:spacing w:before="0" w:beforeAutospacing="0" w:after="0" w:afterAutospacing="0"/>
              <w:textAlignment w:val="baseline"/>
              <w:outlineLvl w:val="2"/>
              <w:rPr>
                <w:color w:val="2E74B5"/>
                <w:sz w:val="28"/>
                <w:szCs w:val="28"/>
              </w:rPr>
            </w:pPr>
            <w:r w:rsidRPr="46221FE5">
              <w:rPr>
                <w:rStyle w:val="normaltextrun"/>
                <w:rFonts w:ascii="Times New Roman" w:hAnsi="Times New Roman" w:cs="Times New Roman"/>
                <w:b/>
                <w:color w:val="000000" w:themeColor="text1"/>
              </w:rPr>
              <w:t>Impuesto de industria y comercio en las actividades digitales</w:t>
            </w:r>
            <w:r w:rsidRPr="46221FE5">
              <w:rPr>
                <w:rStyle w:val="eop"/>
                <w:color w:val="000000" w:themeColor="text1"/>
              </w:rPr>
              <w:t> </w:t>
            </w:r>
          </w:p>
          <w:p w14:paraId="4A1A4084"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eop"/>
                <w:sz w:val="22"/>
                <w:szCs w:val="22"/>
              </w:rPr>
              <w:t> </w:t>
            </w:r>
          </w:p>
          <w:p w14:paraId="6C29EAC8" w14:textId="48B58478"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xml:space="preserve">Actualmente no existe una definición </w:t>
            </w:r>
            <w:r w:rsidR="00A877C6">
              <w:rPr>
                <w:rStyle w:val="normaltextrun"/>
                <w:rFonts w:ascii="Times New Roman" w:hAnsi="Times New Roman" w:cs="Times New Roman"/>
              </w:rPr>
              <w:t>normativa</w:t>
            </w:r>
            <w:r w:rsidRPr="009D74A3">
              <w:rPr>
                <w:rStyle w:val="normaltextrun"/>
                <w:rFonts w:ascii="Times New Roman" w:hAnsi="Times New Roman" w:cs="Times New Roman"/>
              </w:rPr>
              <w:t xml:space="preserve"> de actividades digitales en el impuesto de industria y comercio</w:t>
            </w:r>
            <w:r w:rsidR="00A877C6">
              <w:rPr>
                <w:rStyle w:val="normaltextrun"/>
                <w:rFonts w:ascii="Times New Roman" w:hAnsi="Times New Roman" w:cs="Times New Roman"/>
              </w:rPr>
              <w:t xml:space="preserve"> dentro del Distrito Capital</w:t>
            </w:r>
            <w:r w:rsidRPr="009D74A3">
              <w:rPr>
                <w:rStyle w:val="normaltextrun"/>
                <w:rFonts w:ascii="Times New Roman" w:hAnsi="Times New Roman" w:cs="Times New Roman"/>
              </w:rPr>
              <w:t>, lo que en buena parte explica que este concepto no haya sido considerado dentro de las reglas de territorialidad diseñadas por el legislador para el ICA en el artículo 343 de la Ley 1819 de 2016.</w:t>
            </w:r>
            <w:r w:rsidRPr="009D74A3">
              <w:rPr>
                <w:rStyle w:val="eop"/>
              </w:rPr>
              <w:t> </w:t>
            </w:r>
          </w:p>
          <w:p w14:paraId="1F20EAE7"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w:t>
            </w:r>
            <w:r w:rsidRPr="009D74A3">
              <w:rPr>
                <w:rStyle w:val="eop"/>
              </w:rPr>
              <w:t> </w:t>
            </w:r>
          </w:p>
          <w:p w14:paraId="4CE0574A" w14:textId="21FA5A68"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No obstante, se ha entendido que la economía digital “…</w:t>
            </w:r>
            <w:r w:rsidRPr="009D74A3">
              <w:rPr>
                <w:rStyle w:val="normaltextrun"/>
                <w:rFonts w:ascii="Times New Roman" w:hAnsi="Times New Roman" w:cs="Times New Roman"/>
                <w:i/>
                <w:iCs/>
              </w:rPr>
              <w:t xml:space="preserve"> engloba toda la actividad económica que depende o se ve potenciada de manera significativa por el uso de insumos digitales, como son las tecnologías digitales, la infraestructura digital o los servicios digitales y los datos. Se refiere a todos los productores y consumidores, incluida la administración pública, que utilizan estos insumos digitales en sus actividades económicas</w:t>
            </w:r>
            <w:r w:rsidR="00747148">
              <w:rPr>
                <w:rStyle w:val="normaltextrun"/>
                <w:rFonts w:ascii="Times New Roman" w:hAnsi="Times New Roman" w:cs="Times New Roman"/>
                <w:i/>
                <w:iCs/>
              </w:rPr>
              <w:t>”</w:t>
            </w:r>
            <w:r w:rsidRPr="009D74A3">
              <w:rPr>
                <w:rStyle w:val="normaltextrun"/>
                <w:rFonts w:ascii="Times New Roman" w:hAnsi="Times New Roman" w:cs="Times New Roman"/>
                <w:i/>
                <w:iCs/>
              </w:rPr>
              <w:t xml:space="preserve"> (OCDE, 2020, p. 5[9]).</w:t>
            </w:r>
            <w:r w:rsidRPr="009D74A3">
              <w:rPr>
                <w:rStyle w:val="eop"/>
              </w:rPr>
              <w:t> </w:t>
            </w:r>
          </w:p>
          <w:p w14:paraId="558194A3"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w:t>
            </w:r>
            <w:r w:rsidRPr="009D74A3">
              <w:rPr>
                <w:rStyle w:val="eop"/>
              </w:rPr>
              <w:t> </w:t>
            </w:r>
          </w:p>
          <w:p w14:paraId="67301A7D"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Teniendo en cuenta la proliferación de actividades económicas gravadas, comerciales y de servicios, que se realizan a través de medios digitales, se advierte que deben ser objeto del impuesto de industria y comercio, teniendo en cuenta que este recae sobre actividades comerciales y de servicios, sin importar que se realicen de forma física o virtual.</w:t>
            </w:r>
            <w:r w:rsidRPr="009D74A3">
              <w:rPr>
                <w:rStyle w:val="eop"/>
              </w:rPr>
              <w:t> </w:t>
            </w:r>
          </w:p>
          <w:p w14:paraId="3B750F1E"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w:t>
            </w:r>
            <w:r w:rsidRPr="009D74A3">
              <w:rPr>
                <w:rStyle w:val="eop"/>
              </w:rPr>
              <w:t> </w:t>
            </w:r>
          </w:p>
          <w:p w14:paraId="14D1C658" w14:textId="53F86058"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En este orden de ideas, debe considerarse que el artículo 343 de la Ley 1819 de 2016 señala como regla general que “El impuesto de industria y comercio se causa a favor del municipio en el cual se realice la actividad gravada”</w:t>
            </w:r>
            <w:r w:rsidR="004F7E67">
              <w:rPr>
                <w:rStyle w:val="normaltextrun"/>
                <w:rFonts w:ascii="Times New Roman" w:hAnsi="Times New Roman" w:cs="Times New Roman"/>
              </w:rPr>
              <w:t>.</w:t>
            </w:r>
            <w:r w:rsidRPr="009D74A3">
              <w:rPr>
                <w:rStyle w:val="normaltextrun"/>
                <w:rFonts w:ascii="Times New Roman" w:hAnsi="Times New Roman" w:cs="Times New Roman"/>
              </w:rPr>
              <w:t xml:space="preserve"> </w:t>
            </w:r>
            <w:r w:rsidR="004F7E67">
              <w:rPr>
                <w:rStyle w:val="normaltextrun"/>
                <w:rFonts w:ascii="Times New Roman" w:hAnsi="Times New Roman" w:cs="Times New Roman"/>
              </w:rPr>
              <w:t>A</w:t>
            </w:r>
            <w:r w:rsidRPr="009D74A3">
              <w:rPr>
                <w:rStyle w:val="normaltextrun"/>
                <w:rFonts w:ascii="Times New Roman" w:hAnsi="Times New Roman" w:cs="Times New Roman"/>
              </w:rPr>
              <w:t xml:space="preserve">sí mismo, en las actividades comerciales contempla reglas especiales para las ventas que se realizan de forma digital </w:t>
            </w:r>
            <w:r w:rsidRPr="009D74A3">
              <w:rPr>
                <w:rStyle w:val="normaltextrun"/>
                <w:rFonts w:ascii="Times New Roman" w:hAnsi="Times New Roman" w:cs="Times New Roman"/>
                <w:i/>
                <w:iCs/>
              </w:rPr>
              <w:t xml:space="preserve">(Las ventas directas al consumidor a través de correo, catálogos, compras en línea, tele ventas y ventas electrónicas se entenderán gravadas en el municipio que corresponda al lugar de despacho de la mercancía), </w:t>
            </w:r>
            <w:r w:rsidRPr="009D74A3">
              <w:rPr>
                <w:rStyle w:val="normaltextrun"/>
                <w:rFonts w:ascii="Times New Roman" w:hAnsi="Times New Roman" w:cs="Times New Roman"/>
              </w:rPr>
              <w:t>no ocurre lo mismo con las actividades de servicios que se realizan de forma digital.</w:t>
            </w:r>
            <w:r w:rsidRPr="009D74A3">
              <w:rPr>
                <w:rStyle w:val="eop"/>
              </w:rPr>
              <w:t> </w:t>
            </w:r>
          </w:p>
          <w:p w14:paraId="4EB2ECA5"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w:t>
            </w:r>
            <w:r w:rsidRPr="009D74A3">
              <w:rPr>
                <w:rStyle w:val="eop"/>
              </w:rPr>
              <w:t> </w:t>
            </w:r>
          </w:p>
          <w:p w14:paraId="044E3050" w14:textId="768CE0F9" w:rsidR="008D3E20" w:rsidRDefault="009D74A3" w:rsidP="008D3E20">
            <w:pPr>
              <w:pStyle w:val="paragraph"/>
              <w:spacing w:before="0" w:beforeAutospacing="0" w:after="0" w:afterAutospacing="0"/>
              <w:jc w:val="both"/>
              <w:textAlignment w:val="baseline"/>
              <w:outlineLvl w:val="2"/>
              <w:rPr>
                <w:rStyle w:val="eop"/>
              </w:rPr>
            </w:pPr>
            <w:r w:rsidRPr="009D74A3">
              <w:rPr>
                <w:rStyle w:val="normaltextrun"/>
                <w:rFonts w:ascii="Times New Roman" w:hAnsi="Times New Roman" w:cs="Times New Roman"/>
              </w:rPr>
              <w:t xml:space="preserve">Al efecto, el numeral 3° de la norma en cita señala que </w:t>
            </w:r>
            <w:r w:rsidRPr="009D74A3">
              <w:rPr>
                <w:rStyle w:val="normaltextrun"/>
                <w:rFonts w:ascii="Times New Roman" w:hAnsi="Times New Roman" w:cs="Times New Roman"/>
                <w:i/>
                <w:iCs/>
              </w:rPr>
              <w:t>“En la actividad de servicios, el ingreso se entenderá percibido en el lugar donde se ejecute la prestación del mismo”</w:t>
            </w:r>
            <w:r w:rsidR="008D3E20">
              <w:rPr>
                <w:rStyle w:val="normaltextrun"/>
                <w:rFonts w:ascii="Times New Roman" w:hAnsi="Times New Roman" w:cs="Times New Roman"/>
                <w:i/>
                <w:iCs/>
              </w:rPr>
              <w:t>. Esto</w:t>
            </w:r>
            <w:r w:rsidRPr="009D74A3">
              <w:rPr>
                <w:rStyle w:val="normaltextrun"/>
                <w:rFonts w:ascii="Times New Roman" w:hAnsi="Times New Roman" w:cs="Times New Roman"/>
                <w:i/>
                <w:iCs/>
              </w:rPr>
              <w:t xml:space="preserve"> </w:t>
            </w:r>
            <w:r w:rsidRPr="009D74A3">
              <w:rPr>
                <w:rStyle w:val="normaltextrun"/>
                <w:rFonts w:ascii="Times New Roman" w:hAnsi="Times New Roman" w:cs="Times New Roman"/>
              </w:rPr>
              <w:t>con excepción de los casos particulares en los que fija una regla especial.</w:t>
            </w:r>
            <w:r w:rsidRPr="009D74A3">
              <w:rPr>
                <w:rStyle w:val="eop"/>
              </w:rPr>
              <w:t> </w:t>
            </w:r>
          </w:p>
          <w:p w14:paraId="7D3DAFAC" w14:textId="77777777" w:rsidR="008D3E20" w:rsidRPr="008D3E20" w:rsidRDefault="008D3E20" w:rsidP="00636E0C">
            <w:pPr>
              <w:pStyle w:val="paragraph"/>
              <w:spacing w:before="0" w:beforeAutospacing="0" w:after="0" w:afterAutospacing="0"/>
              <w:jc w:val="both"/>
              <w:textAlignment w:val="baseline"/>
              <w:outlineLvl w:val="2"/>
              <w:rPr>
                <w:rStyle w:val="eop"/>
              </w:rPr>
            </w:pPr>
          </w:p>
          <w:p w14:paraId="62DEC594" w14:textId="2F183337" w:rsidR="008D3E20" w:rsidRDefault="008D3E20" w:rsidP="008D3E20">
            <w:pPr>
              <w:pStyle w:val="paragraph"/>
              <w:spacing w:before="0" w:beforeAutospacing="0" w:after="0" w:afterAutospacing="0"/>
              <w:jc w:val="both"/>
              <w:textAlignment w:val="baseline"/>
              <w:outlineLvl w:val="2"/>
              <w:rPr>
                <w:rStyle w:val="eop"/>
              </w:rPr>
            </w:pPr>
            <w:r w:rsidRPr="008D3E20">
              <w:rPr>
                <w:rStyle w:val="eop"/>
              </w:rPr>
              <w:t>Así mismo, el literal b) del numeral 2° del mismo artículo 343, conforme al cual: “Si la actividad se realiza en un municipio en donde no existe establecimiento de comercio ni puntos de venta, la actividad se entenderá realizada en el municipio en donde se perfecciona la venta. Por tanto, el impuesto se causa en la jurisdicción del municipio en donde se convienen el precio y la cosa vendida”.</w:t>
            </w:r>
          </w:p>
          <w:p w14:paraId="6750749D" w14:textId="77777777" w:rsidR="00A97A76" w:rsidRDefault="00A97A76" w:rsidP="008D3E20">
            <w:pPr>
              <w:pStyle w:val="paragraph"/>
              <w:spacing w:before="0" w:beforeAutospacing="0" w:after="0" w:afterAutospacing="0"/>
              <w:jc w:val="both"/>
              <w:textAlignment w:val="baseline"/>
              <w:outlineLvl w:val="2"/>
              <w:rPr>
                <w:rStyle w:val="eop"/>
              </w:rPr>
            </w:pPr>
          </w:p>
          <w:p w14:paraId="30B8C819" w14:textId="173BB237" w:rsidR="00A97A76" w:rsidRDefault="00A97A76" w:rsidP="008D3E20">
            <w:pPr>
              <w:pStyle w:val="paragraph"/>
              <w:spacing w:before="0" w:beforeAutospacing="0" w:after="0" w:afterAutospacing="0"/>
              <w:jc w:val="both"/>
              <w:textAlignment w:val="baseline"/>
              <w:outlineLvl w:val="2"/>
              <w:rPr>
                <w:rStyle w:val="eop"/>
              </w:rPr>
            </w:pPr>
            <w:r w:rsidRPr="00A97A76">
              <w:rPr>
                <w:rStyle w:val="eop"/>
              </w:rPr>
              <w:t>De allí que, la ley permite la concreción de un criterio de territorialidad por parte de los entes territoriales respecto de la prestación de servicios digitales, conforme al lugar donde se perfeccione la venta</w:t>
            </w:r>
          </w:p>
          <w:p w14:paraId="19024B75" w14:textId="77777777" w:rsidR="004D66F2" w:rsidRPr="009D74A3" w:rsidRDefault="004D66F2" w:rsidP="009D74A3">
            <w:pPr>
              <w:pStyle w:val="paragraph"/>
              <w:spacing w:before="0" w:beforeAutospacing="0" w:after="0" w:afterAutospacing="0"/>
              <w:jc w:val="both"/>
              <w:textAlignment w:val="baseline"/>
              <w:outlineLvl w:val="2"/>
              <w:rPr>
                <w:sz w:val="32"/>
                <w:szCs w:val="32"/>
              </w:rPr>
            </w:pPr>
          </w:p>
          <w:p w14:paraId="39781C6E" w14:textId="3CB7BB5A"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xml:space="preserve">En este orden de ideas, se hace imperioso precisar la regla general de territorialidad en las actividades de servicios que se </w:t>
            </w:r>
            <w:r w:rsidR="005C6DFF">
              <w:rPr>
                <w:rStyle w:val="normaltextrun"/>
                <w:rFonts w:ascii="Times New Roman" w:hAnsi="Times New Roman" w:cs="Times New Roman"/>
              </w:rPr>
              <w:t>realizan</w:t>
            </w:r>
            <w:r w:rsidRPr="009D74A3">
              <w:rPr>
                <w:rStyle w:val="normaltextrun"/>
                <w:rFonts w:ascii="Times New Roman" w:hAnsi="Times New Roman" w:cs="Times New Roman"/>
              </w:rPr>
              <w:t xml:space="preserve"> de forma digital, con el fin de identificar con claridad los servicios que se prestan en el Distrito Capital, de acuerdo con el mandato del numeral 3° del artículo 343 de la Ley 1819 de 2016, en aras de garantizar la adecuada tributación de estas actividades en Bogotá.</w:t>
            </w:r>
            <w:r w:rsidRPr="009D74A3">
              <w:rPr>
                <w:rStyle w:val="eop"/>
              </w:rPr>
              <w:t> </w:t>
            </w:r>
          </w:p>
          <w:p w14:paraId="4FE78DB7"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w:t>
            </w:r>
            <w:r w:rsidRPr="009D74A3">
              <w:rPr>
                <w:rStyle w:val="eop"/>
              </w:rPr>
              <w:t> </w:t>
            </w:r>
          </w:p>
          <w:p w14:paraId="01347E0D"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Adicionalmente, debe considerarse que el Distrito Capital cuenta con un régimen fiscal especial, contenido en el Decreto Ley 1421 de 1993, cuyo artículo 154 precisa lo siguiente en relación con las actividades de servicios:</w:t>
            </w:r>
            <w:r w:rsidRPr="009D74A3">
              <w:rPr>
                <w:rStyle w:val="eop"/>
              </w:rPr>
              <w:t> </w:t>
            </w:r>
          </w:p>
          <w:p w14:paraId="55D460A9"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w:t>
            </w:r>
            <w:r w:rsidRPr="009D74A3">
              <w:rPr>
                <w:rStyle w:val="eop"/>
              </w:rPr>
              <w:t> </w:t>
            </w:r>
          </w:p>
          <w:p w14:paraId="4F8D061E" w14:textId="112D959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ARTÍCULO 154. Industria y comercio. A partir de la no de 1994 (SIC)</w:t>
            </w:r>
            <w:r w:rsidR="002D651F">
              <w:rPr>
                <w:rStyle w:val="normaltextrun"/>
                <w:rFonts w:ascii="Times New Roman" w:hAnsi="Times New Roman" w:cs="Times New Roman"/>
                <w:sz w:val="20"/>
                <w:szCs w:val="20"/>
              </w:rPr>
              <w:t xml:space="preserve"> </w:t>
            </w:r>
            <w:r w:rsidRPr="009D74A3">
              <w:rPr>
                <w:rStyle w:val="normaltextrun"/>
                <w:rFonts w:ascii="Times New Roman" w:hAnsi="Times New Roman" w:cs="Times New Roman"/>
                <w:sz w:val="20"/>
                <w:szCs w:val="20"/>
              </w:rPr>
              <w:t>se introducen las siguientes modificaciones al impuesto de industria y comercio en el Distrito Capital: (…)</w:t>
            </w:r>
            <w:r w:rsidRPr="009D74A3">
              <w:rPr>
                <w:rStyle w:val="eop"/>
                <w:sz w:val="20"/>
                <w:szCs w:val="20"/>
              </w:rPr>
              <w:t> </w:t>
            </w:r>
          </w:p>
          <w:p w14:paraId="70308037"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 </w:t>
            </w:r>
            <w:r w:rsidRPr="009D74A3">
              <w:rPr>
                <w:rStyle w:val="eop"/>
                <w:sz w:val="20"/>
                <w:szCs w:val="20"/>
              </w:rPr>
              <w:t> </w:t>
            </w:r>
          </w:p>
          <w:p w14:paraId="0FB3BD96"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3ª Se entienden percibidos en el Distrito los ingresos originados en actividades comerciales o de servicios cuando no se realizan o prestan a través de un establecimiento de comercio registrado en otro municipio y que tributen en él.</w:t>
            </w:r>
            <w:r w:rsidRPr="009D74A3">
              <w:rPr>
                <w:rStyle w:val="eop"/>
                <w:sz w:val="20"/>
                <w:szCs w:val="20"/>
              </w:rPr>
              <w:t> </w:t>
            </w:r>
          </w:p>
          <w:p w14:paraId="7D7CE3DA"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 </w:t>
            </w:r>
            <w:r w:rsidRPr="009D74A3">
              <w:rPr>
                <w:rStyle w:val="eop"/>
                <w:sz w:val="20"/>
                <w:szCs w:val="20"/>
              </w:rPr>
              <w:t> </w:t>
            </w:r>
          </w:p>
          <w:p w14:paraId="3B3E2386"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4ª Se consideran actividades de servicio todas las tareas, labores o trabajos ejecutados por persona natural o jurídica o por sociedad de hecho, sin que medie relación laboral con quien los contrata, que genere contraprestación en dinero o en especie y que se concreten en la obligación de hacer, sin importar que en ellos predomine el factor material o intelectual.</w:t>
            </w:r>
            <w:r w:rsidRPr="009D74A3">
              <w:rPr>
                <w:rStyle w:val="eop"/>
                <w:sz w:val="20"/>
                <w:szCs w:val="20"/>
              </w:rPr>
              <w:t> </w:t>
            </w:r>
          </w:p>
          <w:p w14:paraId="59E592EF"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w:t>
            </w:r>
            <w:r w:rsidRPr="009D74A3">
              <w:rPr>
                <w:rStyle w:val="eop"/>
              </w:rPr>
              <w:t> </w:t>
            </w:r>
          </w:p>
          <w:p w14:paraId="5742D10F" w14:textId="01185884"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xml:space="preserve">Lo anterior no ha sido ajeno a la tributación de los municipios en Colombia. Al efecto, </w:t>
            </w:r>
            <w:r w:rsidR="00A97A76">
              <w:rPr>
                <w:rStyle w:val="normaltextrun"/>
                <w:rFonts w:ascii="Times New Roman" w:hAnsi="Times New Roman" w:cs="Times New Roman"/>
              </w:rPr>
              <w:t xml:space="preserve">como ejemplo, </w:t>
            </w:r>
            <w:r w:rsidRPr="009D74A3">
              <w:rPr>
                <w:rStyle w:val="normaltextrun"/>
                <w:rFonts w:ascii="Times New Roman" w:hAnsi="Times New Roman" w:cs="Times New Roman"/>
              </w:rPr>
              <w:t>el municipio de Piedecuesta, en el Acuerdo 19 de 2022 define qué se entiende por economía digital, así:</w:t>
            </w:r>
            <w:r w:rsidRPr="009D74A3">
              <w:rPr>
                <w:rStyle w:val="eop"/>
              </w:rPr>
              <w:t> </w:t>
            </w:r>
          </w:p>
          <w:p w14:paraId="395B1E6A"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w:t>
            </w:r>
            <w:r w:rsidRPr="009D74A3">
              <w:rPr>
                <w:rStyle w:val="eop"/>
              </w:rPr>
              <w:t> </w:t>
            </w:r>
          </w:p>
          <w:p w14:paraId="77AAACE9"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ARTÍCULO 66. ECONOMÍA DIGITAL. Las actividades industriales, comerciales, de servicios y financieras realizadas a través de tecnologías de información y comunicación (TIC) están gravadas con Industria y Comercio, y podrán desarrollarse por cualquiera de los siguientes modelos de negocios:</w:t>
            </w:r>
            <w:r w:rsidRPr="009D74A3">
              <w:rPr>
                <w:rStyle w:val="eop"/>
                <w:sz w:val="20"/>
                <w:szCs w:val="20"/>
              </w:rPr>
              <w:t> </w:t>
            </w:r>
          </w:p>
          <w:p w14:paraId="69B84FC4"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 </w:t>
            </w:r>
            <w:r w:rsidRPr="009D74A3">
              <w:rPr>
                <w:rStyle w:val="eop"/>
                <w:sz w:val="20"/>
                <w:szCs w:val="20"/>
              </w:rPr>
              <w:t> </w:t>
            </w:r>
          </w:p>
          <w:p w14:paraId="5ED90C69" w14:textId="77777777" w:rsidR="009D74A3" w:rsidRPr="009D74A3" w:rsidRDefault="009D74A3">
            <w:pPr>
              <w:pStyle w:val="paragraph"/>
              <w:numPr>
                <w:ilvl w:val="0"/>
                <w:numId w:val="9"/>
              </w:numPr>
              <w:tabs>
                <w:tab w:val="left" w:pos="1480"/>
              </w:tabs>
              <w:spacing w:before="0" w:beforeAutospacing="0" w:after="0" w:afterAutospacing="0"/>
              <w:ind w:left="1275" w:firstLine="0"/>
              <w:jc w:val="both"/>
              <w:textAlignment w:val="baseline"/>
              <w:outlineLvl w:val="2"/>
              <w:rPr>
                <w:sz w:val="20"/>
                <w:szCs w:val="20"/>
              </w:rPr>
            </w:pPr>
            <w:r w:rsidRPr="009D74A3">
              <w:rPr>
                <w:rStyle w:val="normaltextrun"/>
                <w:rFonts w:ascii="Times New Roman" w:hAnsi="Times New Roman" w:cs="Times New Roman"/>
                <w:sz w:val="20"/>
                <w:szCs w:val="20"/>
              </w:rPr>
              <w:t>Servicios de procesamiento y almacenamiento masivo de datos, tanto aquellos que cobran una tarifa fija o en función del volumen de datos, como aquellos que, sin exigir ningún pago, obtienen información del usuario y sus hábitos de navegación con el fin de comercializarlos posteriormente;</w:t>
            </w:r>
            <w:r w:rsidRPr="009D74A3">
              <w:rPr>
                <w:rStyle w:val="eop"/>
                <w:sz w:val="20"/>
                <w:szCs w:val="20"/>
              </w:rPr>
              <w:t> </w:t>
            </w:r>
          </w:p>
          <w:p w14:paraId="47BDFBCD" w14:textId="77777777" w:rsidR="009D74A3" w:rsidRPr="009D74A3" w:rsidRDefault="009D74A3" w:rsidP="009D74A3">
            <w:pPr>
              <w:pStyle w:val="paragraph"/>
              <w:spacing w:before="0" w:beforeAutospacing="0" w:after="0" w:afterAutospacing="0"/>
              <w:ind w:left="915" w:right="750"/>
              <w:jc w:val="both"/>
              <w:textAlignment w:val="baseline"/>
              <w:outlineLvl w:val="2"/>
              <w:rPr>
                <w:sz w:val="32"/>
                <w:szCs w:val="32"/>
              </w:rPr>
            </w:pPr>
            <w:r w:rsidRPr="009D74A3">
              <w:rPr>
                <w:rStyle w:val="normaltextrun"/>
                <w:rFonts w:ascii="Times New Roman" w:hAnsi="Times New Roman" w:cs="Times New Roman"/>
                <w:sz w:val="20"/>
                <w:szCs w:val="20"/>
              </w:rPr>
              <w:t> </w:t>
            </w:r>
            <w:r w:rsidRPr="009D74A3">
              <w:rPr>
                <w:rStyle w:val="eop"/>
                <w:sz w:val="20"/>
                <w:szCs w:val="20"/>
              </w:rPr>
              <w:t> </w:t>
            </w:r>
          </w:p>
          <w:p w14:paraId="5E71B147" w14:textId="77777777" w:rsidR="009D74A3" w:rsidRPr="009D74A3" w:rsidRDefault="009D74A3">
            <w:pPr>
              <w:pStyle w:val="paragraph"/>
              <w:numPr>
                <w:ilvl w:val="0"/>
                <w:numId w:val="10"/>
              </w:numPr>
              <w:tabs>
                <w:tab w:val="left" w:pos="1338"/>
                <w:tab w:val="left" w:pos="1621"/>
              </w:tabs>
              <w:spacing w:before="0" w:beforeAutospacing="0" w:after="0" w:afterAutospacing="0"/>
              <w:ind w:left="1275" w:firstLine="0"/>
              <w:jc w:val="both"/>
              <w:textAlignment w:val="baseline"/>
              <w:outlineLvl w:val="2"/>
              <w:rPr>
                <w:sz w:val="20"/>
                <w:szCs w:val="20"/>
              </w:rPr>
            </w:pPr>
            <w:r w:rsidRPr="009D74A3">
              <w:rPr>
                <w:rStyle w:val="normaltextrun"/>
                <w:rFonts w:ascii="Times New Roman" w:hAnsi="Times New Roman" w:cs="Times New Roman"/>
                <w:sz w:val="20"/>
                <w:szCs w:val="20"/>
              </w:rPr>
              <w:t>Plataformas de economía colaborativa que permiten la conexión entre demandantes y oferentes obteniendo comisiones, participación o una porción del importe de las ventas de bienes o prestación de servicios como contraprestación por las conexiones que hicieron posibles la realización efectiva de la transacción;</w:t>
            </w:r>
            <w:r w:rsidRPr="009D74A3">
              <w:rPr>
                <w:rStyle w:val="eop"/>
                <w:sz w:val="20"/>
                <w:szCs w:val="20"/>
              </w:rPr>
              <w:t> </w:t>
            </w:r>
          </w:p>
          <w:p w14:paraId="4AAAC769"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 </w:t>
            </w:r>
            <w:r w:rsidRPr="009D74A3">
              <w:rPr>
                <w:rStyle w:val="eop"/>
                <w:sz w:val="20"/>
                <w:szCs w:val="20"/>
              </w:rPr>
              <w:t> </w:t>
            </w:r>
          </w:p>
          <w:p w14:paraId="14B0E016" w14:textId="77777777" w:rsidR="009D74A3" w:rsidRPr="009D74A3" w:rsidRDefault="009D74A3">
            <w:pPr>
              <w:pStyle w:val="paragraph"/>
              <w:numPr>
                <w:ilvl w:val="0"/>
                <w:numId w:val="11"/>
              </w:numPr>
              <w:tabs>
                <w:tab w:val="left" w:pos="1338"/>
                <w:tab w:val="left" w:pos="1480"/>
              </w:tabs>
              <w:spacing w:before="0" w:beforeAutospacing="0" w:after="0" w:afterAutospacing="0"/>
              <w:ind w:left="1275" w:firstLine="0"/>
              <w:jc w:val="both"/>
              <w:textAlignment w:val="baseline"/>
              <w:outlineLvl w:val="2"/>
              <w:rPr>
                <w:sz w:val="20"/>
                <w:szCs w:val="20"/>
              </w:rPr>
            </w:pPr>
            <w:r w:rsidRPr="009D74A3">
              <w:rPr>
                <w:rStyle w:val="normaltextrun"/>
                <w:rFonts w:ascii="Times New Roman" w:hAnsi="Times New Roman" w:cs="Times New Roman"/>
                <w:sz w:val="20"/>
                <w:szCs w:val="20"/>
              </w:rPr>
              <w:t>Servicios de descarga o consumo en línea de contenidos digitales tanto aquellos que cobran un valor monetario en función del volumen de datos, como aquellos que, sin exigir ningún pago, obtienen información del usuario y sus hábitos de navegación con el fin de comercializarlos posteriormente;</w:t>
            </w:r>
            <w:r w:rsidRPr="009D74A3">
              <w:rPr>
                <w:rStyle w:val="eop"/>
                <w:sz w:val="20"/>
                <w:szCs w:val="20"/>
              </w:rPr>
              <w:t> </w:t>
            </w:r>
          </w:p>
          <w:p w14:paraId="609176C5"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 </w:t>
            </w:r>
            <w:r w:rsidRPr="009D74A3">
              <w:rPr>
                <w:rStyle w:val="eop"/>
                <w:sz w:val="20"/>
                <w:szCs w:val="20"/>
              </w:rPr>
              <w:t> </w:t>
            </w:r>
          </w:p>
          <w:p w14:paraId="4786480C" w14:textId="77777777" w:rsidR="009D74A3" w:rsidRPr="009D74A3" w:rsidRDefault="009D74A3">
            <w:pPr>
              <w:pStyle w:val="paragraph"/>
              <w:numPr>
                <w:ilvl w:val="0"/>
                <w:numId w:val="12"/>
              </w:numPr>
              <w:tabs>
                <w:tab w:val="left" w:pos="1054"/>
                <w:tab w:val="left" w:pos="1480"/>
              </w:tabs>
              <w:spacing w:before="0" w:beforeAutospacing="0" w:after="0" w:afterAutospacing="0"/>
              <w:ind w:left="1275" w:firstLine="0"/>
              <w:jc w:val="both"/>
              <w:textAlignment w:val="baseline"/>
              <w:outlineLvl w:val="2"/>
              <w:rPr>
                <w:sz w:val="20"/>
                <w:szCs w:val="20"/>
              </w:rPr>
            </w:pPr>
            <w:r w:rsidRPr="009D74A3">
              <w:rPr>
                <w:rStyle w:val="normaltextrun"/>
                <w:rFonts w:ascii="Times New Roman" w:hAnsi="Times New Roman" w:cs="Times New Roman"/>
                <w:sz w:val="20"/>
                <w:szCs w:val="20"/>
              </w:rPr>
              <w:t>Prestación de servicios de uso de plataformas de correo, mensajería y en general todo tipo de aplicaciones digitales que cobran por su uso o que, sin exigir ningún pago, obtienen información del usuario y sus hábitos de navegación con el fin de comercializarlos posteriormente;</w:t>
            </w:r>
            <w:r w:rsidRPr="009D74A3">
              <w:rPr>
                <w:rStyle w:val="eop"/>
                <w:sz w:val="20"/>
                <w:szCs w:val="20"/>
              </w:rPr>
              <w:t> </w:t>
            </w:r>
          </w:p>
          <w:p w14:paraId="0586BE18"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 </w:t>
            </w:r>
            <w:r w:rsidRPr="009D74A3">
              <w:rPr>
                <w:rStyle w:val="eop"/>
                <w:sz w:val="20"/>
                <w:szCs w:val="20"/>
              </w:rPr>
              <w:t> </w:t>
            </w:r>
          </w:p>
          <w:p w14:paraId="1D374802" w14:textId="1A5C1BE3" w:rsidR="009D74A3" w:rsidRPr="009D74A3" w:rsidRDefault="009D74A3">
            <w:pPr>
              <w:pStyle w:val="paragraph"/>
              <w:numPr>
                <w:ilvl w:val="0"/>
                <w:numId w:val="12"/>
              </w:numPr>
              <w:tabs>
                <w:tab w:val="left" w:pos="1338"/>
              </w:tabs>
              <w:spacing w:before="0" w:beforeAutospacing="0" w:after="0" w:afterAutospacing="0"/>
              <w:ind w:left="1338" w:hanging="142"/>
              <w:jc w:val="both"/>
              <w:textAlignment w:val="baseline"/>
              <w:outlineLvl w:val="2"/>
              <w:rPr>
                <w:sz w:val="20"/>
                <w:szCs w:val="20"/>
              </w:rPr>
            </w:pPr>
            <w:r w:rsidRPr="009D74A3">
              <w:rPr>
                <w:rStyle w:val="normaltextrun"/>
                <w:rFonts w:ascii="Times New Roman" w:hAnsi="Times New Roman" w:cs="Times New Roman"/>
                <w:sz w:val="20"/>
                <w:szCs w:val="20"/>
              </w:rPr>
              <w:t>La venta de bienes o servicios a través de plataformas de comercio electrónico ya sea que las plataformas permitan monetizar directamente la transacción o no.</w:t>
            </w:r>
            <w:r w:rsidRPr="009D74A3">
              <w:rPr>
                <w:rStyle w:val="eop"/>
                <w:sz w:val="20"/>
                <w:szCs w:val="20"/>
              </w:rPr>
              <w:t> </w:t>
            </w:r>
          </w:p>
          <w:p w14:paraId="6CD22B6C"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w:t>
            </w:r>
            <w:r w:rsidRPr="009D74A3">
              <w:rPr>
                <w:rStyle w:val="eop"/>
              </w:rPr>
              <w:t> </w:t>
            </w:r>
          </w:p>
          <w:p w14:paraId="55D8BF00" w14:textId="69C80E72"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xml:space="preserve">Lo propio ocurre con </w:t>
            </w:r>
            <w:r w:rsidR="00A97A76">
              <w:rPr>
                <w:rStyle w:val="normaltextrun"/>
                <w:rFonts w:ascii="Times New Roman" w:hAnsi="Times New Roman" w:cs="Times New Roman"/>
              </w:rPr>
              <w:t xml:space="preserve">el Distrito de </w:t>
            </w:r>
            <w:r w:rsidRPr="009D74A3">
              <w:rPr>
                <w:rStyle w:val="normaltextrun"/>
                <w:rFonts w:ascii="Times New Roman" w:hAnsi="Times New Roman" w:cs="Times New Roman"/>
              </w:rPr>
              <w:t>Medellín</w:t>
            </w:r>
            <w:r w:rsidR="00A97A76">
              <w:rPr>
                <w:rStyle w:val="normaltextrun"/>
                <w:rFonts w:ascii="Times New Roman" w:hAnsi="Times New Roman" w:cs="Times New Roman"/>
              </w:rPr>
              <w:t>, que</w:t>
            </w:r>
            <w:r w:rsidRPr="009D74A3">
              <w:rPr>
                <w:rStyle w:val="normaltextrun"/>
                <w:rFonts w:ascii="Times New Roman" w:hAnsi="Times New Roman" w:cs="Times New Roman"/>
              </w:rPr>
              <w:t xml:space="preserve"> en el Acuerdo 93 de 2023, precisó qué se entiende por actividades de servicios digitales y la regla de territorialidad que les aplica, así:</w:t>
            </w:r>
            <w:r w:rsidRPr="009D74A3">
              <w:rPr>
                <w:rStyle w:val="eop"/>
              </w:rPr>
              <w:t> </w:t>
            </w:r>
          </w:p>
          <w:p w14:paraId="77244B13"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sz w:val="22"/>
                <w:szCs w:val="22"/>
              </w:rPr>
              <w:t> </w:t>
            </w:r>
            <w:r w:rsidRPr="009D74A3">
              <w:rPr>
                <w:rStyle w:val="eop"/>
                <w:sz w:val="22"/>
                <w:szCs w:val="22"/>
              </w:rPr>
              <w:t> </w:t>
            </w:r>
          </w:p>
          <w:p w14:paraId="4660FD35"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ARTÍCULO 48. ECONOMÍA DIGITAL. Las actividades industriales, comerciales, de servicios y financieras realizadas a través de tecnologías de información y comunicación (TIC) están gravadas con Industria y Comercio, y podrán desarrollarse por cualquiera de los siguientes modelos de negocios</w:t>
            </w:r>
            <w:r w:rsidRPr="009D74A3">
              <w:rPr>
                <w:rStyle w:val="eop"/>
                <w:sz w:val="20"/>
                <w:szCs w:val="20"/>
              </w:rPr>
              <w:t> </w:t>
            </w:r>
          </w:p>
          <w:p w14:paraId="11DEA3E9"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 </w:t>
            </w:r>
            <w:r w:rsidRPr="009D74A3">
              <w:rPr>
                <w:rStyle w:val="eop"/>
                <w:sz w:val="20"/>
                <w:szCs w:val="20"/>
              </w:rPr>
              <w:t> </w:t>
            </w:r>
          </w:p>
          <w:p w14:paraId="2542EA54" w14:textId="77777777" w:rsidR="009D74A3" w:rsidRPr="009D74A3" w:rsidRDefault="009D74A3">
            <w:pPr>
              <w:pStyle w:val="paragraph"/>
              <w:numPr>
                <w:ilvl w:val="0"/>
                <w:numId w:val="13"/>
              </w:numPr>
              <w:spacing w:before="0" w:beforeAutospacing="0" w:after="0" w:afterAutospacing="0"/>
              <w:ind w:left="915" w:firstLine="0"/>
              <w:jc w:val="both"/>
              <w:textAlignment w:val="baseline"/>
              <w:outlineLvl w:val="2"/>
              <w:rPr>
                <w:sz w:val="20"/>
                <w:szCs w:val="20"/>
              </w:rPr>
            </w:pPr>
            <w:r w:rsidRPr="009D74A3">
              <w:rPr>
                <w:rStyle w:val="normaltextrun"/>
                <w:rFonts w:ascii="Times New Roman" w:hAnsi="Times New Roman" w:cs="Times New Roman"/>
                <w:sz w:val="20"/>
                <w:szCs w:val="20"/>
              </w:rPr>
              <w:t>Servicios de procesamiento y almacenamiento masivo de datos, tanto aquellos que cobran una tarifa fija o en función del volumen de datos, como aquellos que, sin exigir ningún pago, obtienen información del usuario y sus hábitos de navegación con el fin de comercializarlos posteriormente; </w:t>
            </w:r>
            <w:r w:rsidRPr="009D74A3">
              <w:rPr>
                <w:rStyle w:val="eop"/>
                <w:sz w:val="20"/>
                <w:szCs w:val="20"/>
              </w:rPr>
              <w:t> </w:t>
            </w:r>
          </w:p>
          <w:p w14:paraId="13245356"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 </w:t>
            </w:r>
            <w:r w:rsidRPr="009D74A3">
              <w:rPr>
                <w:rStyle w:val="eop"/>
                <w:sz w:val="20"/>
                <w:szCs w:val="20"/>
              </w:rPr>
              <w:t> </w:t>
            </w:r>
          </w:p>
          <w:p w14:paraId="739DD445" w14:textId="77777777" w:rsidR="009D74A3" w:rsidRPr="009D74A3" w:rsidRDefault="009D74A3">
            <w:pPr>
              <w:pStyle w:val="paragraph"/>
              <w:numPr>
                <w:ilvl w:val="0"/>
                <w:numId w:val="14"/>
              </w:numPr>
              <w:spacing w:before="0" w:beforeAutospacing="0" w:after="0" w:afterAutospacing="0"/>
              <w:ind w:left="915" w:firstLine="0"/>
              <w:jc w:val="both"/>
              <w:textAlignment w:val="baseline"/>
              <w:outlineLvl w:val="2"/>
              <w:rPr>
                <w:sz w:val="20"/>
                <w:szCs w:val="20"/>
              </w:rPr>
            </w:pPr>
            <w:r w:rsidRPr="009D74A3">
              <w:rPr>
                <w:rStyle w:val="normaltextrun"/>
                <w:rFonts w:ascii="Times New Roman" w:hAnsi="Times New Roman" w:cs="Times New Roman"/>
                <w:sz w:val="20"/>
                <w:szCs w:val="20"/>
              </w:rPr>
              <w:t>Plataformas de economía colaborativa que permiten la conexión entre demandantes y oferentes obteniendo comisiones, participación o una porción del importe de las ventas de bienes o prestación de servicios como contraprestación por las conexiones que hicieron posibles la realización efectiva de la transacción; </w:t>
            </w:r>
            <w:r w:rsidRPr="009D74A3">
              <w:rPr>
                <w:rStyle w:val="eop"/>
                <w:sz w:val="20"/>
                <w:szCs w:val="20"/>
              </w:rPr>
              <w:t> </w:t>
            </w:r>
          </w:p>
          <w:p w14:paraId="08E54698"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 </w:t>
            </w:r>
            <w:r w:rsidRPr="009D74A3">
              <w:rPr>
                <w:rStyle w:val="eop"/>
                <w:sz w:val="20"/>
                <w:szCs w:val="20"/>
              </w:rPr>
              <w:t> </w:t>
            </w:r>
          </w:p>
          <w:p w14:paraId="5ED1DB81" w14:textId="77777777" w:rsidR="009D74A3" w:rsidRPr="009D74A3" w:rsidRDefault="009D74A3">
            <w:pPr>
              <w:pStyle w:val="paragraph"/>
              <w:numPr>
                <w:ilvl w:val="0"/>
                <w:numId w:val="15"/>
              </w:numPr>
              <w:spacing w:before="0" w:beforeAutospacing="0" w:after="0" w:afterAutospacing="0"/>
              <w:ind w:left="915" w:firstLine="0"/>
              <w:jc w:val="both"/>
              <w:textAlignment w:val="baseline"/>
              <w:outlineLvl w:val="2"/>
              <w:rPr>
                <w:sz w:val="20"/>
                <w:szCs w:val="20"/>
              </w:rPr>
            </w:pPr>
            <w:r w:rsidRPr="009D74A3">
              <w:rPr>
                <w:rStyle w:val="normaltextrun"/>
                <w:rFonts w:ascii="Times New Roman" w:hAnsi="Times New Roman" w:cs="Times New Roman"/>
                <w:sz w:val="20"/>
                <w:szCs w:val="20"/>
              </w:rPr>
              <w:t>Servicios de descarga o consumo en línea de contenidos digitales tanto aquellos que cobran un valor monetario en función del volumen de datos, como aquellos que, sin exigir ningún pago, obtienen información del usuario y sus hábitos de navegación con el fin de comercializarlos posteriormente; </w:t>
            </w:r>
            <w:r w:rsidRPr="009D74A3">
              <w:rPr>
                <w:rStyle w:val="eop"/>
                <w:sz w:val="20"/>
                <w:szCs w:val="20"/>
              </w:rPr>
              <w:t> </w:t>
            </w:r>
          </w:p>
          <w:p w14:paraId="33DEDD19"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 </w:t>
            </w:r>
            <w:r w:rsidRPr="009D74A3">
              <w:rPr>
                <w:rStyle w:val="eop"/>
                <w:sz w:val="20"/>
                <w:szCs w:val="20"/>
              </w:rPr>
              <w:t> </w:t>
            </w:r>
          </w:p>
          <w:p w14:paraId="3A29E8E4" w14:textId="74D856C8" w:rsidR="009D74A3" w:rsidRPr="009D74A3" w:rsidRDefault="009D74A3">
            <w:pPr>
              <w:pStyle w:val="paragraph"/>
              <w:numPr>
                <w:ilvl w:val="0"/>
                <w:numId w:val="16"/>
              </w:numPr>
              <w:spacing w:before="0" w:beforeAutospacing="0" w:after="0" w:afterAutospacing="0"/>
              <w:ind w:left="915" w:firstLine="0"/>
              <w:jc w:val="both"/>
              <w:textAlignment w:val="baseline"/>
              <w:outlineLvl w:val="2"/>
              <w:rPr>
                <w:rStyle w:val="eop"/>
                <w:sz w:val="20"/>
                <w:szCs w:val="20"/>
              </w:rPr>
            </w:pPr>
            <w:r w:rsidRPr="009D74A3">
              <w:rPr>
                <w:rStyle w:val="normaltextrun"/>
                <w:rFonts w:ascii="Times New Roman" w:hAnsi="Times New Roman" w:cs="Times New Roman"/>
                <w:sz w:val="20"/>
                <w:szCs w:val="20"/>
              </w:rPr>
              <w:t>Prestación de servicios de uso de plataformas de correo, mensajería y en general todo tipo de aplicaciones digitales que cobran por su uso o que, sin exigir ningún pago, obtienen información del usuario y sus hábitos de navegación con el fin de comercializarlos posteriormente; </w:t>
            </w:r>
            <w:r w:rsidRPr="009D74A3">
              <w:rPr>
                <w:rStyle w:val="eop"/>
                <w:color w:val="D13438"/>
                <w:sz w:val="20"/>
                <w:szCs w:val="20"/>
              </w:rPr>
              <w:t> </w:t>
            </w:r>
          </w:p>
          <w:p w14:paraId="2A861C56" w14:textId="77777777" w:rsidR="009D74A3" w:rsidRPr="009D74A3" w:rsidRDefault="009D74A3" w:rsidP="009D74A3">
            <w:pPr>
              <w:pStyle w:val="paragraph"/>
              <w:spacing w:before="0" w:beforeAutospacing="0" w:after="0" w:afterAutospacing="0"/>
              <w:ind w:left="915"/>
              <w:jc w:val="both"/>
              <w:textAlignment w:val="baseline"/>
              <w:outlineLvl w:val="2"/>
              <w:rPr>
                <w:sz w:val="20"/>
                <w:szCs w:val="20"/>
              </w:rPr>
            </w:pPr>
          </w:p>
          <w:p w14:paraId="0EFED514" w14:textId="52344438" w:rsidR="009D74A3" w:rsidRPr="009D74A3" w:rsidRDefault="009D74A3">
            <w:pPr>
              <w:pStyle w:val="paragraph"/>
              <w:numPr>
                <w:ilvl w:val="0"/>
                <w:numId w:val="16"/>
              </w:numPr>
              <w:spacing w:before="0" w:beforeAutospacing="0" w:after="0" w:afterAutospacing="0"/>
              <w:ind w:left="915" w:firstLine="0"/>
              <w:jc w:val="both"/>
              <w:textAlignment w:val="baseline"/>
              <w:outlineLvl w:val="2"/>
              <w:rPr>
                <w:sz w:val="20"/>
                <w:szCs w:val="20"/>
              </w:rPr>
            </w:pPr>
            <w:r w:rsidRPr="009D74A3">
              <w:rPr>
                <w:rStyle w:val="normaltextrun"/>
                <w:rFonts w:ascii="Times New Roman" w:hAnsi="Times New Roman" w:cs="Times New Roman"/>
                <w:sz w:val="20"/>
                <w:szCs w:val="20"/>
              </w:rPr>
              <w:t>La venta de bienes o servicios a través de plataformas de comercio electrónico, ya sea que las plataformas permitan monetizar directamente la transacción o no; </w:t>
            </w:r>
            <w:r w:rsidRPr="009D74A3">
              <w:rPr>
                <w:rStyle w:val="eop"/>
                <w:sz w:val="20"/>
                <w:szCs w:val="20"/>
              </w:rPr>
              <w:t> </w:t>
            </w:r>
          </w:p>
          <w:p w14:paraId="61411A42"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 </w:t>
            </w:r>
            <w:r w:rsidRPr="009D74A3">
              <w:rPr>
                <w:rStyle w:val="eop"/>
                <w:sz w:val="20"/>
                <w:szCs w:val="20"/>
              </w:rPr>
              <w:t> </w:t>
            </w:r>
          </w:p>
          <w:p w14:paraId="19994672"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PARÁGRAFO. Estas actividades serán gravadas siguiendo las reglas de territorialidad, establecidas en el artículo 343 de la Ley 1819 de 2016 y las del presente Acuerdo.</w:t>
            </w:r>
            <w:r w:rsidRPr="009D74A3">
              <w:rPr>
                <w:rStyle w:val="eop"/>
                <w:sz w:val="20"/>
                <w:szCs w:val="20"/>
              </w:rPr>
              <w:t> </w:t>
            </w:r>
          </w:p>
          <w:p w14:paraId="28304F8B"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w:t>
            </w:r>
            <w:r w:rsidRPr="009D74A3">
              <w:rPr>
                <w:rStyle w:val="eop"/>
              </w:rPr>
              <w:t> </w:t>
            </w:r>
          </w:p>
          <w:p w14:paraId="60684FF3" w14:textId="48878C01"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xml:space="preserve">En </w:t>
            </w:r>
            <w:r w:rsidR="00A97A76">
              <w:rPr>
                <w:rStyle w:val="normaltextrun"/>
                <w:rFonts w:ascii="Times New Roman" w:hAnsi="Times New Roman" w:cs="Times New Roman"/>
              </w:rPr>
              <w:t xml:space="preserve">el Distrito de </w:t>
            </w:r>
            <w:r w:rsidRPr="009D74A3">
              <w:rPr>
                <w:rStyle w:val="normaltextrun"/>
                <w:rFonts w:ascii="Times New Roman" w:hAnsi="Times New Roman" w:cs="Times New Roman"/>
              </w:rPr>
              <w:t>Cali, mediante el artículo 79 del Decreto Extraordinario 411 de 2021, se estableció lo siguiente:</w:t>
            </w:r>
            <w:r w:rsidRPr="009D74A3">
              <w:rPr>
                <w:rStyle w:val="eop"/>
              </w:rPr>
              <w:t> </w:t>
            </w:r>
          </w:p>
          <w:p w14:paraId="1CD00FEC"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w:t>
            </w:r>
            <w:r w:rsidRPr="009D74A3">
              <w:rPr>
                <w:rStyle w:val="eop"/>
              </w:rPr>
              <w:t> </w:t>
            </w:r>
          </w:p>
          <w:p w14:paraId="74FF80C3"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d) Actividades de economía digital o servicios en la nube. Las actividades industriales, comerciales, de servicios y financieras realizadas a través de tecnologías de información y comunicación (TIC) están gravadas con el Impuesto de Industria y Comercio en Santiago de Cali.</w:t>
            </w:r>
            <w:r w:rsidRPr="009D74A3">
              <w:rPr>
                <w:rStyle w:val="eop"/>
                <w:sz w:val="20"/>
                <w:szCs w:val="20"/>
              </w:rPr>
              <w:t> </w:t>
            </w:r>
          </w:p>
          <w:p w14:paraId="08FBA33E"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 </w:t>
            </w:r>
            <w:r w:rsidRPr="009D74A3">
              <w:rPr>
                <w:rStyle w:val="eop"/>
                <w:sz w:val="20"/>
                <w:szCs w:val="20"/>
              </w:rPr>
              <w:t> </w:t>
            </w:r>
          </w:p>
          <w:p w14:paraId="38B2324D"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La obligación de tributar en las actividades de economía digital o servicios en la nube, surge en la jurisdicción donde se ejecute la prestación del servicio, es decir, en el lugar donde se entienda que se realizan los actos propios de la consumación del servicio, como lo es, el uso de los servidores, contraseñas, usuarios y el acceso a las bases de datos de las que dispone el solicitante o cliente.</w:t>
            </w:r>
            <w:r w:rsidRPr="009D74A3">
              <w:rPr>
                <w:rStyle w:val="eop"/>
                <w:sz w:val="20"/>
                <w:szCs w:val="20"/>
              </w:rPr>
              <w:t> </w:t>
            </w:r>
          </w:p>
          <w:p w14:paraId="27409754" w14:textId="77777777" w:rsidR="009D74A3" w:rsidRPr="009D74A3" w:rsidRDefault="009D74A3" w:rsidP="009D74A3">
            <w:pPr>
              <w:pStyle w:val="paragraph"/>
              <w:spacing w:before="0" w:beforeAutospacing="0" w:after="0" w:afterAutospacing="0"/>
              <w:ind w:left="555" w:right="750"/>
              <w:jc w:val="both"/>
              <w:textAlignment w:val="baseline"/>
              <w:outlineLvl w:val="2"/>
              <w:rPr>
                <w:sz w:val="32"/>
                <w:szCs w:val="32"/>
              </w:rPr>
            </w:pPr>
            <w:r w:rsidRPr="009D74A3">
              <w:rPr>
                <w:rStyle w:val="normaltextrun"/>
                <w:rFonts w:ascii="Times New Roman" w:hAnsi="Times New Roman" w:cs="Times New Roman"/>
                <w:sz w:val="20"/>
                <w:szCs w:val="20"/>
              </w:rPr>
              <w:t> </w:t>
            </w:r>
            <w:r w:rsidRPr="009D74A3">
              <w:rPr>
                <w:rStyle w:val="eop"/>
                <w:sz w:val="20"/>
                <w:szCs w:val="20"/>
              </w:rPr>
              <w:t> </w:t>
            </w:r>
          </w:p>
          <w:p w14:paraId="73FA45CF" w14:textId="77777777" w:rsidR="009D74A3" w:rsidRDefault="009D74A3" w:rsidP="009D74A3">
            <w:pPr>
              <w:pStyle w:val="paragraph"/>
              <w:spacing w:before="0" w:beforeAutospacing="0" w:after="0" w:afterAutospacing="0"/>
              <w:ind w:left="555" w:right="750"/>
              <w:jc w:val="both"/>
              <w:textAlignment w:val="baseline"/>
              <w:outlineLvl w:val="2"/>
              <w:rPr>
                <w:rStyle w:val="eop"/>
                <w:sz w:val="20"/>
                <w:szCs w:val="20"/>
              </w:rPr>
            </w:pPr>
            <w:r w:rsidRPr="009D74A3">
              <w:rPr>
                <w:rStyle w:val="normaltextrun"/>
                <w:rFonts w:ascii="Times New Roman" w:hAnsi="Times New Roman" w:cs="Times New Roman"/>
                <w:sz w:val="20"/>
                <w:szCs w:val="20"/>
              </w:rPr>
              <w:t>El valor de los ingresos cuya jurisdicción no pueda establecerse se distribuirá proporcionalmente en el total de municipios según su participación en los ingresos.</w:t>
            </w:r>
            <w:r w:rsidRPr="009D74A3">
              <w:rPr>
                <w:rStyle w:val="eop"/>
                <w:sz w:val="20"/>
                <w:szCs w:val="20"/>
              </w:rPr>
              <w:t> </w:t>
            </w:r>
          </w:p>
          <w:p w14:paraId="6E92FAB3" w14:textId="77777777" w:rsidR="006D3368" w:rsidRDefault="006D3368" w:rsidP="006D3368">
            <w:pPr>
              <w:pStyle w:val="paragraph"/>
              <w:spacing w:before="0" w:beforeAutospacing="0" w:after="0" w:afterAutospacing="0"/>
              <w:ind w:right="750"/>
              <w:jc w:val="both"/>
              <w:textAlignment w:val="baseline"/>
              <w:outlineLvl w:val="2"/>
              <w:rPr>
                <w:rStyle w:val="eop"/>
                <w:sz w:val="20"/>
                <w:szCs w:val="20"/>
              </w:rPr>
            </w:pPr>
          </w:p>
          <w:p w14:paraId="6354FD4C" w14:textId="19DB15D3" w:rsidR="009D74A3" w:rsidRPr="001B3452" w:rsidRDefault="00A97A76" w:rsidP="001B3452">
            <w:pPr>
              <w:pStyle w:val="paragraph"/>
              <w:spacing w:before="0" w:beforeAutospacing="0" w:after="0" w:afterAutospacing="0"/>
              <w:jc w:val="both"/>
              <w:textAlignment w:val="baseline"/>
              <w:outlineLvl w:val="2"/>
              <w:rPr>
                <w:rStyle w:val="normaltextrun"/>
                <w:rFonts w:ascii="Times New Roman" w:hAnsi="Times New Roman" w:cs="Times New Roman"/>
              </w:rPr>
            </w:pPr>
            <w:r w:rsidRPr="001B3452">
              <w:rPr>
                <w:rStyle w:val="normaltextrun"/>
                <w:rFonts w:ascii="Times New Roman" w:hAnsi="Times New Roman" w:cs="Times New Roman"/>
              </w:rPr>
              <w:t>Por todo lo anterior, en el artículo 6° del proyecto de acuerdo se define la presunción del hecho generador del impuesto de industria y comercio conforme al numeral 3° del artículo 154 del Decreto Ley 1421 de 1993 y en el artículo 7° se precisan las reglas de territorialidad de dicho impuesto, conforme a los criterios ya establecidos en la Ley 1819 de 2016, a efectos de dar claridad al respecto.</w:t>
            </w:r>
            <w:r w:rsidR="001B3452" w:rsidRPr="001B3452" w:rsidDel="001B3452">
              <w:rPr>
                <w:rStyle w:val="normaltextrun"/>
                <w:rFonts w:ascii="Times New Roman" w:hAnsi="Times New Roman" w:cs="Times New Roman"/>
              </w:rPr>
              <w:t xml:space="preserve"> </w:t>
            </w:r>
          </w:p>
          <w:p w14:paraId="781D1F08" w14:textId="77777777" w:rsidR="001B3452" w:rsidRPr="009D74A3" w:rsidRDefault="001B3452" w:rsidP="00740130">
            <w:pPr>
              <w:pStyle w:val="paragraph"/>
              <w:spacing w:before="0" w:beforeAutospacing="0" w:after="0" w:afterAutospacing="0"/>
              <w:ind w:right="750"/>
              <w:jc w:val="both"/>
              <w:textAlignment w:val="baseline"/>
              <w:outlineLvl w:val="2"/>
              <w:rPr>
                <w:sz w:val="32"/>
                <w:szCs w:val="32"/>
              </w:rPr>
            </w:pPr>
          </w:p>
          <w:p w14:paraId="4E864A6A" w14:textId="0A9FD631"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En concordancia con lo anterior, también se requiere modificar las reglas de los agentes de retención de ICA en el Distrito Capital, con el fin de simplificar el cumplimiento de las obligaciones tributarias derivadas de la realización de estas actividades.</w:t>
            </w:r>
            <w:r w:rsidRPr="009D74A3">
              <w:rPr>
                <w:rStyle w:val="eop"/>
              </w:rPr>
              <w:t> </w:t>
            </w:r>
          </w:p>
          <w:p w14:paraId="10E19D60"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eop"/>
              </w:rPr>
              <w:t> </w:t>
            </w:r>
          </w:p>
          <w:p w14:paraId="3A5F2FB0" w14:textId="75EF5B60" w:rsidR="009D74A3" w:rsidRPr="009D74A3" w:rsidRDefault="009D74A3">
            <w:pPr>
              <w:pStyle w:val="paragraph"/>
              <w:numPr>
                <w:ilvl w:val="1"/>
                <w:numId w:val="6"/>
              </w:numPr>
              <w:spacing w:before="0" w:beforeAutospacing="0" w:after="0" w:afterAutospacing="0"/>
              <w:textAlignment w:val="baseline"/>
              <w:outlineLvl w:val="2"/>
            </w:pPr>
            <w:r w:rsidRPr="009D74A3">
              <w:rPr>
                <w:rStyle w:val="normaltextrun"/>
                <w:rFonts w:ascii="Times New Roman" w:hAnsi="Times New Roman" w:cs="Times New Roman"/>
                <w:b/>
                <w:bCs/>
              </w:rPr>
              <w:t>Diagnóstico en impuesto predial</w:t>
            </w:r>
            <w:r w:rsidRPr="009D74A3">
              <w:rPr>
                <w:rStyle w:val="eop"/>
              </w:rPr>
              <w:t> </w:t>
            </w:r>
          </w:p>
          <w:p w14:paraId="28B174A3" w14:textId="25AEF839" w:rsidR="009D74A3" w:rsidRPr="009D74A3" w:rsidRDefault="009D74A3" w:rsidP="009D74A3">
            <w:pPr>
              <w:pStyle w:val="paragraph"/>
              <w:spacing w:before="0" w:beforeAutospacing="0" w:after="0" w:afterAutospacing="0"/>
              <w:textAlignment w:val="baseline"/>
              <w:outlineLvl w:val="2"/>
              <w:rPr>
                <w:sz w:val="32"/>
                <w:szCs w:val="32"/>
              </w:rPr>
            </w:pPr>
            <w:r w:rsidRPr="009D74A3">
              <w:rPr>
                <w:rStyle w:val="eop"/>
                <w:sz w:val="22"/>
                <w:szCs w:val="22"/>
              </w:rPr>
              <w:t> </w:t>
            </w:r>
            <w:r w:rsidRPr="009D74A3">
              <w:rPr>
                <w:rStyle w:val="eop"/>
              </w:rPr>
              <w:t> </w:t>
            </w:r>
          </w:p>
          <w:p w14:paraId="3AD46390" w14:textId="13F7F27A" w:rsidR="009D74A3" w:rsidRPr="009D74A3" w:rsidRDefault="009D74A3" w:rsidP="009D74A3">
            <w:pPr>
              <w:pStyle w:val="paragraph"/>
              <w:spacing w:before="0" w:beforeAutospacing="0" w:after="0" w:afterAutospacing="0"/>
              <w:jc w:val="both"/>
              <w:textAlignment w:val="baseline"/>
              <w:outlineLvl w:val="2"/>
            </w:pPr>
            <w:r w:rsidRPr="009D74A3">
              <w:rPr>
                <w:rStyle w:val="normaltextrun"/>
                <w:rFonts w:ascii="Times New Roman" w:hAnsi="Times New Roman" w:cs="Times New Roman"/>
              </w:rPr>
              <w:t xml:space="preserve">Para el año 2024 Bogotá tenía 2.817.536 inmuebles, de estos, el 96% (2.728.764) son predios obligados a pagar el impuesto predial una vez se descuentan los inmuebles clasificados como excluidos y exentos. Del total de predios obligados a pagar el tributo, el 66% (1.791.687 predios) se clasifican como residenciales, el 10% (286.234 predios) son de uso comercial, el 0,4% (12.233 predios) tienen uso industrial, y el 23,4 % restantes (638.610 predios) se ubican en los demás usos del suelo previstos en el artículo 2 del Acuerdo 105 de 2003 </w:t>
            </w:r>
            <w:r w:rsidR="007B4117">
              <w:rPr>
                <w:rStyle w:val="normaltextrun"/>
                <w:rFonts w:ascii="Times New Roman" w:hAnsi="Times New Roman" w:cs="Times New Roman"/>
              </w:rPr>
              <w:t>(</w:t>
            </w:r>
            <w:r w:rsidR="007B4117" w:rsidRPr="007B4117">
              <w:rPr>
                <w:rStyle w:val="normaltextrun"/>
                <w:rFonts w:ascii="Times New Roman" w:hAnsi="Times New Roman" w:cs="Times New Roman"/>
                <w:b/>
                <w:bCs/>
              </w:rPr>
              <w:t>Gráfico 29</w:t>
            </w:r>
            <w:r w:rsidR="007B4117">
              <w:rPr>
                <w:rStyle w:val="normaltextrun"/>
                <w:rFonts w:ascii="Times New Roman" w:hAnsi="Times New Roman" w:cs="Times New Roman"/>
              </w:rPr>
              <w:t>)</w:t>
            </w:r>
            <w:r w:rsidRPr="009D74A3">
              <w:rPr>
                <w:rStyle w:val="normaltextrun"/>
                <w:rFonts w:ascii="Times New Roman" w:hAnsi="Times New Roman" w:cs="Times New Roman"/>
              </w:rPr>
              <w:t>.</w:t>
            </w:r>
            <w:r w:rsidRPr="009D74A3">
              <w:rPr>
                <w:rStyle w:val="eop"/>
              </w:rPr>
              <w:t> </w:t>
            </w:r>
          </w:p>
          <w:p w14:paraId="58BD7B35" w14:textId="77777777" w:rsidR="007B4117" w:rsidRPr="009D74A3" w:rsidRDefault="007B4117" w:rsidP="00961E7E">
            <w:pPr>
              <w:pStyle w:val="paragraph"/>
              <w:spacing w:before="0" w:beforeAutospacing="0" w:after="0" w:afterAutospacing="0"/>
              <w:jc w:val="both"/>
              <w:textAlignment w:val="baseline"/>
              <w:outlineLvl w:val="2"/>
            </w:pPr>
          </w:p>
          <w:p w14:paraId="6B9693CC" w14:textId="03CCD243" w:rsidR="009D74A3" w:rsidRPr="009D74A3" w:rsidRDefault="009D74A3" w:rsidP="009D74A3">
            <w:pPr>
              <w:jc w:val="center"/>
              <w:rPr>
                <w:rFonts w:ascii="Times New Roman" w:hAnsi="Times New Roman" w:cs="Times New Roman"/>
                <w:b/>
                <w:bCs/>
                <w:sz w:val="24"/>
                <w:szCs w:val="24"/>
              </w:rPr>
            </w:pPr>
            <w:r w:rsidRPr="009D74A3">
              <w:rPr>
                <w:rFonts w:ascii="Times New Roman" w:hAnsi="Times New Roman" w:cs="Times New Roman"/>
                <w:b/>
                <w:bCs/>
                <w:sz w:val="24"/>
                <w:szCs w:val="24"/>
              </w:rPr>
              <w:t>Gráfico 2</w:t>
            </w:r>
            <w:r>
              <w:rPr>
                <w:rFonts w:ascii="Times New Roman" w:hAnsi="Times New Roman" w:cs="Times New Roman"/>
                <w:b/>
                <w:bCs/>
                <w:sz w:val="24"/>
                <w:szCs w:val="24"/>
              </w:rPr>
              <w:t>9</w:t>
            </w:r>
            <w:r w:rsidRPr="009D74A3">
              <w:rPr>
                <w:rFonts w:ascii="Times New Roman" w:hAnsi="Times New Roman" w:cs="Times New Roman"/>
                <w:b/>
                <w:bCs/>
                <w:sz w:val="24"/>
                <w:szCs w:val="24"/>
              </w:rPr>
              <w:t>.</w:t>
            </w:r>
          </w:p>
          <w:p w14:paraId="0AB0EE9A" w14:textId="3BE1574C" w:rsidR="009D74A3" w:rsidRPr="009D74A3" w:rsidRDefault="009D74A3" w:rsidP="009D74A3">
            <w:pPr>
              <w:jc w:val="center"/>
              <w:rPr>
                <w:rFonts w:ascii="Times New Roman" w:hAnsi="Times New Roman" w:cs="Times New Roman"/>
                <w:b/>
                <w:bCs/>
                <w:sz w:val="24"/>
                <w:szCs w:val="24"/>
              </w:rPr>
            </w:pPr>
            <w:r w:rsidRPr="009D74A3">
              <w:rPr>
                <w:rFonts w:ascii="Times New Roman" w:hAnsi="Times New Roman" w:cs="Times New Roman"/>
                <w:b/>
                <w:bCs/>
                <w:sz w:val="24"/>
                <w:szCs w:val="24"/>
              </w:rPr>
              <w:t>Numero de predios por tipo de contribuyente del IPU.</w:t>
            </w:r>
          </w:p>
          <w:p w14:paraId="5C8C0879" w14:textId="77777777" w:rsidR="009D74A3" w:rsidRDefault="009D74A3" w:rsidP="009D74A3">
            <w:pPr>
              <w:pStyle w:val="paragraph"/>
              <w:spacing w:before="0" w:beforeAutospacing="0" w:after="0" w:afterAutospacing="0"/>
              <w:jc w:val="both"/>
              <w:textAlignment w:val="baseline"/>
              <w:outlineLvl w:val="2"/>
              <w:rPr>
                <w:rFonts w:eastAsiaTheme="minorHAnsi"/>
                <w:noProof/>
                <w:lang w:eastAsia="en-US"/>
              </w:rPr>
            </w:pPr>
          </w:p>
          <w:p w14:paraId="139FAE3D" w14:textId="7AFA8B12" w:rsidR="009D74A3" w:rsidRDefault="009D74A3" w:rsidP="00400A77">
            <w:pPr>
              <w:pStyle w:val="paragraph"/>
              <w:spacing w:before="0" w:beforeAutospacing="0" w:after="0" w:afterAutospacing="0"/>
              <w:ind w:left="420"/>
              <w:jc w:val="center"/>
              <w:textAlignment w:val="baseline"/>
              <w:outlineLvl w:val="2"/>
              <w:rPr>
                <w:rFonts w:eastAsiaTheme="minorHAnsi"/>
                <w:noProof/>
                <w:lang w:eastAsia="en-US"/>
              </w:rPr>
            </w:pPr>
            <w:r>
              <w:rPr>
                <w:rFonts w:eastAsiaTheme="minorHAnsi"/>
                <w:noProof/>
              </w:rPr>
              <w:drawing>
                <wp:inline distT="0" distB="0" distL="0" distR="0" wp14:anchorId="11FBC78C" wp14:editId="0E91A7A6">
                  <wp:extent cx="4514626" cy="2297927"/>
                  <wp:effectExtent l="0" t="0" r="635" b="7620"/>
                  <wp:docPr id="1320841854"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587126" cy="2334829"/>
                          </a:xfrm>
                          <a:prstGeom prst="rect">
                            <a:avLst/>
                          </a:prstGeom>
                          <a:noFill/>
                          <a:ln>
                            <a:noFill/>
                          </a:ln>
                        </pic:spPr>
                      </pic:pic>
                    </a:graphicData>
                  </a:graphic>
                </wp:inline>
              </w:drawing>
            </w:r>
          </w:p>
          <w:p w14:paraId="5DEDE267" w14:textId="339BABF6" w:rsidR="009D74A3" w:rsidRPr="009D74A3" w:rsidRDefault="009D74A3" w:rsidP="007B4117">
            <w:pPr>
              <w:pStyle w:val="paragraph"/>
              <w:spacing w:before="0" w:beforeAutospacing="0" w:after="0" w:afterAutospacing="0"/>
              <w:ind w:left="351" w:firstLine="1701"/>
              <w:jc w:val="both"/>
              <w:textAlignment w:val="baseline"/>
              <w:outlineLvl w:val="2"/>
              <w:rPr>
                <w:sz w:val="32"/>
                <w:szCs w:val="32"/>
              </w:rPr>
            </w:pPr>
            <w:r w:rsidRPr="009D74A3">
              <w:rPr>
                <w:rStyle w:val="normaltextrun"/>
                <w:rFonts w:ascii="Times New Roman" w:hAnsi="Times New Roman" w:cs="Times New Roman"/>
                <w:b/>
                <w:bCs/>
                <w:sz w:val="20"/>
                <w:szCs w:val="20"/>
              </w:rPr>
              <w:t>Fuente:</w:t>
            </w:r>
            <w:r w:rsidRPr="009D74A3">
              <w:rPr>
                <w:rStyle w:val="normaltextrun"/>
                <w:rFonts w:ascii="Times New Roman" w:hAnsi="Times New Roman" w:cs="Times New Roman"/>
                <w:sz w:val="20"/>
                <w:szCs w:val="20"/>
              </w:rPr>
              <w:t xml:space="preserve"> Secretaría Distrital de Hacienda</w:t>
            </w:r>
            <w:r w:rsidR="007B4117">
              <w:rPr>
                <w:rStyle w:val="eop"/>
              </w:rPr>
              <w:t>.</w:t>
            </w:r>
          </w:p>
          <w:p w14:paraId="0A138055" w14:textId="77777777" w:rsidR="009D74A3" w:rsidRPr="009D74A3" w:rsidRDefault="009D74A3" w:rsidP="009D74A3">
            <w:pPr>
              <w:pStyle w:val="paragraph"/>
              <w:spacing w:before="0" w:beforeAutospacing="0" w:after="0" w:afterAutospacing="0"/>
              <w:textAlignment w:val="baseline"/>
              <w:outlineLvl w:val="2"/>
              <w:rPr>
                <w:sz w:val="32"/>
                <w:szCs w:val="32"/>
              </w:rPr>
            </w:pPr>
            <w:r w:rsidRPr="009D74A3">
              <w:rPr>
                <w:rStyle w:val="eop"/>
                <w:color w:val="D13438"/>
                <w:sz w:val="20"/>
                <w:szCs w:val="20"/>
              </w:rPr>
              <w:t> </w:t>
            </w:r>
          </w:p>
          <w:p w14:paraId="0A4BB346" w14:textId="4B983FDF" w:rsidR="009D74A3" w:rsidRPr="009D74A3" w:rsidRDefault="009D74A3" w:rsidP="007B4117">
            <w:pPr>
              <w:pStyle w:val="paragraph"/>
              <w:spacing w:before="0" w:beforeAutospacing="0" w:after="0" w:afterAutospacing="0"/>
              <w:jc w:val="both"/>
              <w:textAlignment w:val="baseline"/>
              <w:outlineLvl w:val="2"/>
              <w:rPr>
                <w:sz w:val="32"/>
                <w:szCs w:val="32"/>
              </w:rPr>
            </w:pPr>
            <w:r w:rsidRPr="009D74A3">
              <w:rPr>
                <w:rStyle w:val="normaltextrun"/>
                <w:rFonts w:ascii="Times New Roman" w:hAnsi="Times New Roman" w:cs="Times New Roman"/>
              </w:rPr>
              <w:t xml:space="preserve">El </w:t>
            </w:r>
            <w:r w:rsidRPr="007B4117">
              <w:rPr>
                <w:rStyle w:val="normaltextrun"/>
                <w:rFonts w:ascii="Times New Roman" w:hAnsi="Times New Roman" w:cs="Times New Roman"/>
                <w:b/>
                <w:bCs/>
              </w:rPr>
              <w:t xml:space="preserve">gráfico </w:t>
            </w:r>
            <w:r w:rsidR="00227B81">
              <w:rPr>
                <w:rStyle w:val="normaltextrun"/>
                <w:rFonts w:ascii="Times New Roman" w:hAnsi="Times New Roman" w:cs="Times New Roman"/>
                <w:b/>
                <w:bCs/>
              </w:rPr>
              <w:t>30</w:t>
            </w:r>
            <w:r w:rsidRPr="009D74A3">
              <w:rPr>
                <w:rStyle w:val="normaltextrun"/>
                <w:rFonts w:ascii="Times New Roman" w:hAnsi="Times New Roman" w:cs="Times New Roman"/>
              </w:rPr>
              <w:t xml:space="preserve"> muestra el número de predios residenciales, industriales y comerciales (tamaño de las burbujas) para la vigencia 2024 asociados a las tarifas que les corresponde (eje x) y a la participación en el recaudo potencial del tributo (eje y). Se destaca que en el caso de los predios residenciales 489.510 inmuebles tienen la tarifa más baja, esto es el 1 por mil, lo que representa el 1,8% del total del potencial de recaudo de</w:t>
            </w:r>
            <w:r w:rsidRPr="00644EAC">
              <w:rPr>
                <w:rStyle w:val="normaltextrun"/>
                <w:rFonts w:ascii="Times New Roman" w:hAnsi="Times New Roman" w:cs="Times New Roman"/>
                <w:color w:val="D13438"/>
              </w:rPr>
              <w:t xml:space="preserve"> </w:t>
            </w:r>
            <w:r w:rsidRPr="009D74A3">
              <w:rPr>
                <w:rStyle w:val="normaltextrun"/>
                <w:rFonts w:ascii="Times New Roman" w:hAnsi="Times New Roman" w:cs="Times New Roman"/>
              </w:rPr>
              <w:t>este tributo, mientras que 3.340 predios tributaban a la tarifa más alta (12,3 por mil) generando el 6,9% del potencial total del impuesto. A su vez, se grafican los predios comerciales con sus dos tarifas 8 y 9,5 por mil quienes representan el 37,1% del recaudo potencial y los predios industriales los cuales contribuyen con el 3</w:t>
            </w:r>
            <w:r w:rsidR="00D028C5">
              <w:rPr>
                <w:rStyle w:val="normaltextrun"/>
                <w:rFonts w:ascii="Times New Roman" w:hAnsi="Times New Roman" w:cs="Times New Roman"/>
              </w:rPr>
              <w:t>,</w:t>
            </w:r>
            <w:r w:rsidRPr="009D74A3">
              <w:rPr>
                <w:rStyle w:val="normaltextrun"/>
                <w:rFonts w:ascii="Times New Roman" w:hAnsi="Times New Roman" w:cs="Times New Roman"/>
              </w:rPr>
              <w:t>5% del total del recaudo del tributo. </w:t>
            </w:r>
            <w:r w:rsidRPr="009D74A3">
              <w:rPr>
                <w:rStyle w:val="eop"/>
              </w:rPr>
              <w:t> </w:t>
            </w:r>
          </w:p>
          <w:p w14:paraId="5F2BA78B" w14:textId="59C97548" w:rsidR="00961E7E" w:rsidRDefault="009D74A3" w:rsidP="009D74A3">
            <w:pPr>
              <w:pStyle w:val="paragraph"/>
              <w:spacing w:before="0" w:beforeAutospacing="0" w:after="0" w:afterAutospacing="0"/>
              <w:jc w:val="both"/>
              <w:textAlignment w:val="baseline"/>
              <w:outlineLvl w:val="2"/>
              <w:rPr>
                <w:rStyle w:val="eop"/>
                <w:sz w:val="22"/>
                <w:szCs w:val="22"/>
              </w:rPr>
            </w:pPr>
            <w:r w:rsidRPr="009D74A3">
              <w:rPr>
                <w:rStyle w:val="eop"/>
                <w:sz w:val="22"/>
                <w:szCs w:val="22"/>
              </w:rPr>
              <w:t> </w:t>
            </w:r>
          </w:p>
          <w:p w14:paraId="2742C371" w14:textId="77777777" w:rsidR="00961E7E" w:rsidRDefault="00961E7E" w:rsidP="009D74A3">
            <w:pPr>
              <w:pStyle w:val="paragraph"/>
              <w:spacing w:before="0" w:beforeAutospacing="0" w:after="0" w:afterAutospacing="0"/>
              <w:jc w:val="both"/>
              <w:textAlignment w:val="baseline"/>
              <w:outlineLvl w:val="2"/>
              <w:rPr>
                <w:rStyle w:val="eop"/>
                <w:sz w:val="22"/>
                <w:szCs w:val="22"/>
              </w:rPr>
            </w:pPr>
          </w:p>
          <w:p w14:paraId="7B0FDFA0" w14:textId="77777777" w:rsidR="00961E7E" w:rsidRPr="009D74A3" w:rsidRDefault="00961E7E" w:rsidP="009D74A3">
            <w:pPr>
              <w:pStyle w:val="paragraph"/>
              <w:spacing w:before="0" w:beforeAutospacing="0" w:after="0" w:afterAutospacing="0"/>
              <w:jc w:val="both"/>
              <w:textAlignment w:val="baseline"/>
              <w:outlineLvl w:val="2"/>
              <w:rPr>
                <w:sz w:val="32"/>
                <w:szCs w:val="32"/>
              </w:rPr>
            </w:pPr>
          </w:p>
          <w:p w14:paraId="6C1E50C0" w14:textId="4A0AC4A3" w:rsidR="009D74A3" w:rsidRPr="009D74A3" w:rsidRDefault="009D74A3" w:rsidP="009D74A3">
            <w:pPr>
              <w:pStyle w:val="paragraph"/>
              <w:spacing w:before="0" w:beforeAutospacing="0" w:after="0" w:afterAutospacing="0"/>
              <w:jc w:val="center"/>
              <w:textAlignment w:val="baseline"/>
              <w:outlineLvl w:val="2"/>
              <w:rPr>
                <w:i/>
                <w:iCs/>
                <w:color w:val="44546A"/>
                <w:sz w:val="32"/>
                <w:szCs w:val="32"/>
              </w:rPr>
            </w:pPr>
            <w:r w:rsidRPr="009D74A3">
              <w:rPr>
                <w:rStyle w:val="normaltextrun"/>
                <w:rFonts w:ascii="Times New Roman" w:hAnsi="Times New Roman" w:cs="Times New Roman"/>
                <w:b/>
                <w:bCs/>
              </w:rPr>
              <w:t xml:space="preserve">Gráfico </w:t>
            </w:r>
            <w:r>
              <w:rPr>
                <w:rStyle w:val="normaltextrun"/>
                <w:rFonts w:ascii="Times New Roman" w:hAnsi="Times New Roman" w:cs="Times New Roman"/>
                <w:b/>
                <w:bCs/>
              </w:rPr>
              <w:t>30</w:t>
            </w:r>
            <w:r w:rsidRPr="009D74A3">
              <w:rPr>
                <w:rStyle w:val="normaltextrun"/>
                <w:rFonts w:ascii="Times New Roman" w:hAnsi="Times New Roman" w:cs="Times New Roman"/>
                <w:b/>
                <w:bCs/>
              </w:rPr>
              <w:t>.</w:t>
            </w:r>
            <w:r w:rsidRPr="009D74A3">
              <w:rPr>
                <w:rStyle w:val="eop"/>
                <w:i/>
                <w:iCs/>
              </w:rPr>
              <w:t> </w:t>
            </w:r>
          </w:p>
          <w:p w14:paraId="620CB8CE" w14:textId="77777777" w:rsidR="009D74A3" w:rsidRPr="009D74A3" w:rsidRDefault="009D74A3" w:rsidP="009D74A3">
            <w:pPr>
              <w:pStyle w:val="paragraph"/>
              <w:spacing w:before="0" w:beforeAutospacing="0" w:after="0" w:afterAutospacing="0"/>
              <w:jc w:val="center"/>
              <w:textAlignment w:val="baseline"/>
              <w:outlineLvl w:val="2"/>
              <w:rPr>
                <w:i/>
                <w:iCs/>
                <w:color w:val="44546A"/>
                <w:sz w:val="32"/>
                <w:szCs w:val="32"/>
              </w:rPr>
            </w:pPr>
            <w:r w:rsidRPr="009D74A3">
              <w:rPr>
                <w:rStyle w:val="normaltextrun"/>
                <w:rFonts w:ascii="Times New Roman" w:hAnsi="Times New Roman" w:cs="Times New Roman"/>
                <w:b/>
                <w:bCs/>
              </w:rPr>
              <w:t> Participación porcentual en el impuesto predial en 2024, de los residenciales, industriales y comerciales en miles según la tarifa y el total de unidades.</w:t>
            </w:r>
            <w:r w:rsidRPr="009D74A3">
              <w:rPr>
                <w:rStyle w:val="eop"/>
                <w:i/>
                <w:iCs/>
              </w:rPr>
              <w:t> </w:t>
            </w:r>
          </w:p>
          <w:p w14:paraId="1D1A95C6" w14:textId="73C8C3C4" w:rsidR="009D74A3" w:rsidRPr="009D74A3" w:rsidRDefault="009D74A3" w:rsidP="009D74A3">
            <w:pPr>
              <w:pStyle w:val="paragraph"/>
              <w:spacing w:before="0" w:beforeAutospacing="0" w:after="0" w:afterAutospacing="0"/>
              <w:jc w:val="center"/>
              <w:textAlignment w:val="baseline"/>
              <w:outlineLvl w:val="2"/>
              <w:rPr>
                <w:sz w:val="32"/>
                <w:szCs w:val="32"/>
              </w:rPr>
            </w:pPr>
            <w:r w:rsidRPr="009D74A3">
              <w:rPr>
                <w:rFonts w:eastAsiaTheme="minorHAnsi"/>
                <w:noProof/>
                <w:sz w:val="22"/>
                <w:szCs w:val="22"/>
              </w:rPr>
              <w:drawing>
                <wp:inline distT="0" distB="0" distL="0" distR="0" wp14:anchorId="5077C5BA" wp14:editId="161E4688">
                  <wp:extent cx="6400800" cy="2527300"/>
                  <wp:effectExtent l="0" t="0" r="0" b="0"/>
                  <wp:docPr id="1861248830"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400800" cy="2527300"/>
                          </a:xfrm>
                          <a:prstGeom prst="rect">
                            <a:avLst/>
                          </a:prstGeom>
                          <a:noFill/>
                          <a:ln>
                            <a:noFill/>
                          </a:ln>
                        </pic:spPr>
                      </pic:pic>
                    </a:graphicData>
                  </a:graphic>
                </wp:inline>
              </w:drawing>
            </w:r>
          </w:p>
          <w:p w14:paraId="54EEF349" w14:textId="1B1DB349" w:rsidR="009D74A3" w:rsidRDefault="009D74A3" w:rsidP="00227B81">
            <w:pPr>
              <w:pStyle w:val="paragraph"/>
              <w:spacing w:before="0" w:beforeAutospacing="0" w:after="0" w:afterAutospacing="0"/>
              <w:ind w:firstLine="495"/>
              <w:textAlignment w:val="baseline"/>
              <w:outlineLvl w:val="2"/>
              <w:rPr>
                <w:rStyle w:val="normaltextrun"/>
                <w:rFonts w:ascii="Times New Roman" w:hAnsi="Times New Roman" w:cs="Times New Roman"/>
              </w:rPr>
            </w:pPr>
            <w:r w:rsidRPr="009D74A3">
              <w:rPr>
                <w:rStyle w:val="normaltextrun"/>
                <w:rFonts w:ascii="Times New Roman" w:hAnsi="Times New Roman" w:cs="Times New Roman"/>
                <w:b/>
                <w:bCs/>
                <w:sz w:val="20"/>
                <w:szCs w:val="20"/>
              </w:rPr>
              <w:t>Fuente:</w:t>
            </w:r>
            <w:r w:rsidRPr="009D74A3">
              <w:rPr>
                <w:rStyle w:val="normaltextrun"/>
                <w:rFonts w:ascii="Times New Roman" w:hAnsi="Times New Roman" w:cs="Times New Roman"/>
                <w:sz w:val="20"/>
                <w:szCs w:val="20"/>
              </w:rPr>
              <w:t xml:space="preserve"> Secretaría Distrital de Hacienda</w:t>
            </w:r>
            <w:r w:rsidRPr="009D74A3">
              <w:rPr>
                <w:rStyle w:val="eop"/>
                <w:sz w:val="20"/>
                <w:szCs w:val="20"/>
              </w:rPr>
              <w:t> </w:t>
            </w:r>
          </w:p>
          <w:p w14:paraId="7ADA9551" w14:textId="77777777" w:rsidR="00FF7351" w:rsidRDefault="00FF7351" w:rsidP="009D74A3">
            <w:pPr>
              <w:pStyle w:val="paragraph"/>
              <w:spacing w:before="0" w:beforeAutospacing="0" w:after="0" w:afterAutospacing="0"/>
              <w:jc w:val="both"/>
              <w:textAlignment w:val="baseline"/>
              <w:outlineLvl w:val="2"/>
              <w:rPr>
                <w:rStyle w:val="normaltextrun"/>
                <w:rFonts w:ascii="Times New Roman" w:hAnsi="Times New Roman" w:cs="Times New Roman"/>
              </w:rPr>
            </w:pPr>
          </w:p>
          <w:p w14:paraId="6946FE45" w14:textId="447A81BD" w:rsidR="009D74A3" w:rsidRPr="009D74A3" w:rsidRDefault="009D74A3" w:rsidP="009D74A3">
            <w:pPr>
              <w:pStyle w:val="paragraph"/>
              <w:spacing w:before="0" w:beforeAutospacing="0" w:after="0" w:afterAutospacing="0"/>
              <w:jc w:val="both"/>
              <w:textAlignment w:val="baseline"/>
              <w:outlineLvl w:val="2"/>
            </w:pPr>
            <w:r w:rsidRPr="009D74A3">
              <w:rPr>
                <w:rStyle w:val="normaltextrun"/>
                <w:rFonts w:ascii="Times New Roman" w:hAnsi="Times New Roman" w:cs="Times New Roman"/>
              </w:rPr>
              <w:t xml:space="preserve">Ahora bien, en el </w:t>
            </w:r>
            <w:r w:rsidRPr="00227B81">
              <w:rPr>
                <w:rStyle w:val="normaltextrun"/>
                <w:rFonts w:ascii="Times New Roman" w:hAnsi="Times New Roman" w:cs="Times New Roman"/>
                <w:b/>
                <w:bCs/>
              </w:rPr>
              <w:t>gráfico 3</w:t>
            </w:r>
            <w:r w:rsidR="00227B81">
              <w:rPr>
                <w:rStyle w:val="normaltextrun"/>
                <w:rFonts w:ascii="Times New Roman" w:hAnsi="Times New Roman" w:cs="Times New Roman"/>
                <w:b/>
                <w:bCs/>
              </w:rPr>
              <w:t>1</w:t>
            </w:r>
            <w:r w:rsidRPr="009D74A3">
              <w:rPr>
                <w:rStyle w:val="normaltextrun"/>
                <w:rFonts w:ascii="Times New Roman" w:hAnsi="Times New Roman" w:cs="Times New Roman"/>
              </w:rPr>
              <w:t xml:space="preserve"> se incorpora un análisis para los 638.555 inmuebles con usos financiero, depósitos y parqueaderos, dotacionales, lotes y rurales para la vigencia 2024 asociados a las tarifas que les corresponde (eje x) y a la participación en el recaudo potencial del tributo (eje y). Así las cosas, los predios financieros representan el 0,9% del recaudo potencial, los depósitos y parqueaderos el 1,8%, los dotacionales el 5,3%, los lotes el 5</w:t>
            </w:r>
            <w:r w:rsidR="00E34F05">
              <w:rPr>
                <w:rStyle w:val="normaltextrun"/>
                <w:rFonts w:ascii="Times New Roman" w:hAnsi="Times New Roman" w:cs="Times New Roman"/>
              </w:rPr>
              <w:t>,</w:t>
            </w:r>
            <w:r w:rsidRPr="009D74A3">
              <w:rPr>
                <w:rStyle w:val="normaltextrun"/>
                <w:rFonts w:ascii="Times New Roman" w:hAnsi="Times New Roman" w:cs="Times New Roman"/>
              </w:rPr>
              <w:t>4% y los rurales el 0,1%. </w:t>
            </w:r>
            <w:r w:rsidRPr="009D74A3">
              <w:rPr>
                <w:rStyle w:val="eop"/>
              </w:rPr>
              <w:t> </w:t>
            </w:r>
          </w:p>
          <w:p w14:paraId="639584C4" w14:textId="77777777" w:rsidR="009D74A3" w:rsidRPr="009D74A3" w:rsidRDefault="009D74A3" w:rsidP="009D74A3">
            <w:pPr>
              <w:pStyle w:val="paragraph"/>
              <w:spacing w:before="0" w:beforeAutospacing="0" w:after="0" w:afterAutospacing="0"/>
              <w:jc w:val="both"/>
              <w:textAlignment w:val="baseline"/>
              <w:outlineLvl w:val="2"/>
            </w:pPr>
            <w:r w:rsidRPr="009D74A3">
              <w:rPr>
                <w:rStyle w:val="eop"/>
              </w:rPr>
              <w:t> </w:t>
            </w:r>
          </w:p>
          <w:p w14:paraId="7A133C06" w14:textId="0EE67A95" w:rsidR="009D74A3" w:rsidRPr="009D74A3" w:rsidRDefault="009D74A3" w:rsidP="009D74A3">
            <w:pPr>
              <w:pStyle w:val="paragraph"/>
              <w:spacing w:before="0" w:beforeAutospacing="0" w:after="0" w:afterAutospacing="0"/>
              <w:jc w:val="center"/>
              <w:textAlignment w:val="baseline"/>
              <w:outlineLvl w:val="2"/>
              <w:rPr>
                <w:i/>
                <w:iCs/>
                <w:color w:val="44546A"/>
              </w:rPr>
            </w:pPr>
            <w:r w:rsidRPr="009D74A3">
              <w:rPr>
                <w:rStyle w:val="normaltextrun"/>
                <w:rFonts w:ascii="Times New Roman" w:hAnsi="Times New Roman" w:cs="Times New Roman"/>
                <w:b/>
                <w:bCs/>
              </w:rPr>
              <w:t xml:space="preserve">Gráfico </w:t>
            </w:r>
            <w:r>
              <w:rPr>
                <w:rStyle w:val="normaltextrun"/>
                <w:rFonts w:ascii="Times New Roman" w:hAnsi="Times New Roman" w:cs="Times New Roman"/>
                <w:b/>
                <w:bCs/>
              </w:rPr>
              <w:t>31</w:t>
            </w:r>
            <w:r w:rsidRPr="009D74A3">
              <w:rPr>
                <w:rStyle w:val="normaltextrun"/>
                <w:rFonts w:ascii="Times New Roman" w:hAnsi="Times New Roman" w:cs="Times New Roman"/>
                <w:b/>
                <w:bCs/>
              </w:rPr>
              <w:t>.</w:t>
            </w:r>
            <w:r w:rsidRPr="009D74A3">
              <w:rPr>
                <w:rStyle w:val="eop"/>
                <w:i/>
                <w:iCs/>
              </w:rPr>
              <w:t> </w:t>
            </w:r>
          </w:p>
          <w:p w14:paraId="4EF2B6CD" w14:textId="77777777" w:rsidR="009D74A3" w:rsidRPr="009D74A3" w:rsidRDefault="009D74A3" w:rsidP="009D74A3">
            <w:pPr>
              <w:pStyle w:val="paragraph"/>
              <w:spacing w:before="0" w:beforeAutospacing="0" w:after="0" w:afterAutospacing="0"/>
              <w:jc w:val="center"/>
              <w:textAlignment w:val="baseline"/>
              <w:outlineLvl w:val="2"/>
              <w:rPr>
                <w:i/>
                <w:iCs/>
                <w:color w:val="44546A"/>
              </w:rPr>
            </w:pPr>
            <w:r w:rsidRPr="009D74A3">
              <w:rPr>
                <w:rStyle w:val="normaltextrun"/>
                <w:rFonts w:ascii="Times New Roman" w:hAnsi="Times New Roman" w:cs="Times New Roman"/>
                <w:b/>
                <w:bCs/>
              </w:rPr>
              <w:t> participación porcentual en el impuesto predial en 2024, de los financiero, depósitos y parqueaderos, dotacionales, lotes y rurales según la tarifa y el total de unidades.</w:t>
            </w:r>
            <w:r w:rsidRPr="009D74A3">
              <w:rPr>
                <w:rStyle w:val="eop"/>
                <w:i/>
                <w:iCs/>
              </w:rPr>
              <w:t> </w:t>
            </w:r>
          </w:p>
          <w:p w14:paraId="505BC3CB" w14:textId="54E16F94" w:rsidR="009D74A3" w:rsidRPr="009D74A3" w:rsidRDefault="009D74A3" w:rsidP="009D74A3">
            <w:pPr>
              <w:pStyle w:val="paragraph"/>
              <w:spacing w:before="0" w:beforeAutospacing="0" w:after="0" w:afterAutospacing="0"/>
              <w:jc w:val="center"/>
              <w:textAlignment w:val="baseline"/>
              <w:outlineLvl w:val="2"/>
              <w:rPr>
                <w:sz w:val="32"/>
                <w:szCs w:val="32"/>
              </w:rPr>
            </w:pPr>
            <w:r w:rsidRPr="009D74A3">
              <w:rPr>
                <w:rFonts w:eastAsiaTheme="minorHAnsi"/>
                <w:noProof/>
                <w:sz w:val="22"/>
                <w:szCs w:val="22"/>
              </w:rPr>
              <w:drawing>
                <wp:inline distT="0" distB="0" distL="0" distR="0" wp14:anchorId="1DE94DDC" wp14:editId="6C434E5F">
                  <wp:extent cx="6162675" cy="3062385"/>
                  <wp:effectExtent l="0" t="0" r="0" b="5080"/>
                  <wp:docPr id="49775156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173364" cy="3067697"/>
                          </a:xfrm>
                          <a:prstGeom prst="rect">
                            <a:avLst/>
                          </a:prstGeom>
                          <a:noFill/>
                          <a:ln>
                            <a:noFill/>
                          </a:ln>
                        </pic:spPr>
                      </pic:pic>
                    </a:graphicData>
                  </a:graphic>
                </wp:inline>
              </w:drawing>
            </w:r>
          </w:p>
          <w:p w14:paraId="6B731D1B" w14:textId="588D3C2A" w:rsidR="009D74A3" w:rsidRPr="009D74A3" w:rsidRDefault="009D74A3" w:rsidP="009D74A3">
            <w:pPr>
              <w:pStyle w:val="paragraph"/>
              <w:spacing w:before="0" w:beforeAutospacing="0" w:after="0" w:afterAutospacing="0"/>
              <w:textAlignment w:val="baseline"/>
              <w:outlineLvl w:val="2"/>
              <w:rPr>
                <w:sz w:val="32"/>
                <w:szCs w:val="32"/>
              </w:rPr>
            </w:pPr>
            <w:r w:rsidRPr="009D74A3">
              <w:rPr>
                <w:rStyle w:val="normaltextrun"/>
                <w:rFonts w:ascii="Times New Roman" w:hAnsi="Times New Roman" w:cs="Times New Roman"/>
                <w:b/>
                <w:bCs/>
                <w:sz w:val="20"/>
                <w:szCs w:val="20"/>
              </w:rPr>
              <w:t>Fuente:</w:t>
            </w:r>
            <w:r w:rsidRPr="009D74A3">
              <w:rPr>
                <w:rStyle w:val="normaltextrun"/>
                <w:rFonts w:ascii="Times New Roman" w:hAnsi="Times New Roman" w:cs="Times New Roman"/>
                <w:sz w:val="20"/>
                <w:szCs w:val="20"/>
              </w:rPr>
              <w:t xml:space="preserve"> Secretaría Distrital de Hacienda</w:t>
            </w:r>
            <w:r w:rsidR="00E34F05">
              <w:rPr>
                <w:rStyle w:val="normaltextrun"/>
                <w:rFonts w:ascii="Times New Roman" w:hAnsi="Times New Roman" w:cs="Times New Roman"/>
                <w:sz w:val="20"/>
                <w:szCs w:val="20"/>
              </w:rPr>
              <w:t>.</w:t>
            </w:r>
            <w:r w:rsidRPr="009D74A3">
              <w:rPr>
                <w:rStyle w:val="eop"/>
                <w:sz w:val="20"/>
                <w:szCs w:val="20"/>
              </w:rPr>
              <w:t> </w:t>
            </w:r>
          </w:p>
          <w:p w14:paraId="3A309742" w14:textId="77777777" w:rsidR="009D74A3" w:rsidRPr="009D74A3" w:rsidRDefault="009D74A3" w:rsidP="009D74A3">
            <w:pPr>
              <w:pStyle w:val="paragraph"/>
              <w:spacing w:before="0" w:beforeAutospacing="0" w:after="0" w:afterAutospacing="0"/>
              <w:jc w:val="both"/>
              <w:textAlignment w:val="baseline"/>
              <w:outlineLvl w:val="2"/>
              <w:rPr>
                <w:sz w:val="32"/>
                <w:szCs w:val="32"/>
              </w:rPr>
            </w:pPr>
            <w:r w:rsidRPr="009D74A3">
              <w:rPr>
                <w:rStyle w:val="eop"/>
                <w:sz w:val="22"/>
                <w:szCs w:val="22"/>
              </w:rPr>
              <w:t> </w:t>
            </w:r>
          </w:p>
          <w:p w14:paraId="7527A1F4" w14:textId="0A2BC3A0" w:rsidR="009D74A3" w:rsidRPr="009D74A3" w:rsidRDefault="002D651F" w:rsidP="009D74A3">
            <w:pPr>
              <w:jc w:val="both"/>
              <w:rPr>
                <w:rFonts w:ascii="Times New Roman" w:hAnsi="Times New Roman" w:cs="Times New Roman"/>
                <w:sz w:val="24"/>
                <w:szCs w:val="24"/>
              </w:rPr>
            </w:pPr>
            <w:r>
              <w:rPr>
                <w:rFonts w:ascii="Times New Roman" w:hAnsi="Times New Roman" w:cs="Times New Roman"/>
                <w:sz w:val="24"/>
                <w:szCs w:val="24"/>
              </w:rPr>
              <w:t>P</w:t>
            </w:r>
            <w:r w:rsidR="009D74A3" w:rsidRPr="009D74A3">
              <w:rPr>
                <w:rFonts w:ascii="Times New Roman" w:hAnsi="Times New Roman" w:cs="Times New Roman"/>
                <w:sz w:val="24"/>
                <w:szCs w:val="24"/>
              </w:rPr>
              <w:t>ara el año 2024 los 2.728.764 inmuebles obligados a pagar el impuesto predial tenían un impuesto a cargo potencial, sin tener en cuenta los límites de crecimiento ni el descuento por pronto pago, de $4.94 billones distribuidos de la siguiente forma: i) uso residencial $2,2 billones (45,1%),</w:t>
            </w:r>
            <w:r>
              <w:rPr>
                <w:rFonts w:ascii="Times New Roman" w:hAnsi="Times New Roman" w:cs="Times New Roman"/>
                <w:sz w:val="24"/>
                <w:szCs w:val="24"/>
              </w:rPr>
              <w:t xml:space="preserve"> </w:t>
            </w:r>
            <w:r w:rsidR="009D74A3" w:rsidRPr="009D74A3">
              <w:rPr>
                <w:rFonts w:ascii="Times New Roman" w:hAnsi="Times New Roman" w:cs="Times New Roman"/>
                <w:sz w:val="24"/>
                <w:szCs w:val="24"/>
              </w:rPr>
              <w:t>ii) uso comercial $1,87 billones (37,8%), iii) uso industrial $174 mil millones (3,5%), iv) lotes $264,4 mil millones (5,4%), v) dotacionales $260,7 mil millones (5,3%) y vi) otros usos $142,5 mil millones (2,88%).  </w:t>
            </w:r>
          </w:p>
          <w:p w14:paraId="0C7D0BD3" w14:textId="77777777" w:rsidR="009D74A3" w:rsidRPr="009D74A3" w:rsidRDefault="009D74A3" w:rsidP="009D74A3">
            <w:pPr>
              <w:jc w:val="both"/>
              <w:rPr>
                <w:rFonts w:ascii="Times New Roman" w:hAnsi="Times New Roman" w:cs="Times New Roman"/>
                <w:sz w:val="24"/>
                <w:szCs w:val="24"/>
              </w:rPr>
            </w:pPr>
            <w:r w:rsidRPr="009D74A3">
              <w:rPr>
                <w:rFonts w:ascii="Times New Roman" w:hAnsi="Times New Roman" w:cs="Times New Roman"/>
                <w:sz w:val="24"/>
                <w:szCs w:val="24"/>
              </w:rPr>
              <w:t> </w:t>
            </w:r>
          </w:p>
          <w:p w14:paraId="343B4CA2" w14:textId="2D256D70" w:rsidR="009D74A3" w:rsidRPr="009D74A3" w:rsidRDefault="009D74A3" w:rsidP="009D74A3">
            <w:pPr>
              <w:jc w:val="both"/>
              <w:rPr>
                <w:rFonts w:ascii="Times New Roman" w:hAnsi="Times New Roman" w:cs="Times New Roman"/>
                <w:sz w:val="24"/>
                <w:szCs w:val="24"/>
              </w:rPr>
            </w:pPr>
            <w:r w:rsidRPr="009D74A3">
              <w:rPr>
                <w:rFonts w:ascii="Times New Roman" w:hAnsi="Times New Roman" w:cs="Times New Roman"/>
                <w:sz w:val="24"/>
                <w:szCs w:val="24"/>
              </w:rPr>
              <w:t xml:space="preserve">En la </w:t>
            </w:r>
            <w:r w:rsidRPr="008E7D62">
              <w:rPr>
                <w:rFonts w:ascii="Times New Roman" w:hAnsi="Times New Roman" w:cs="Times New Roman"/>
                <w:b/>
                <w:bCs/>
                <w:sz w:val="24"/>
                <w:szCs w:val="24"/>
              </w:rPr>
              <w:t>tabla</w:t>
            </w:r>
            <w:r w:rsidR="008E7D62" w:rsidRPr="008E7D62">
              <w:rPr>
                <w:rFonts w:ascii="Times New Roman" w:hAnsi="Times New Roman" w:cs="Times New Roman"/>
                <w:b/>
                <w:bCs/>
                <w:sz w:val="24"/>
                <w:szCs w:val="24"/>
              </w:rPr>
              <w:t xml:space="preserve"> </w:t>
            </w:r>
            <w:r w:rsidR="00935EA4">
              <w:rPr>
                <w:rFonts w:ascii="Times New Roman" w:hAnsi="Times New Roman" w:cs="Times New Roman"/>
                <w:b/>
                <w:bCs/>
                <w:sz w:val="24"/>
                <w:szCs w:val="24"/>
              </w:rPr>
              <w:t>10</w:t>
            </w:r>
            <w:r w:rsidRPr="009D74A3">
              <w:rPr>
                <w:rFonts w:ascii="Times New Roman" w:hAnsi="Times New Roman" w:cs="Times New Roman"/>
                <w:sz w:val="24"/>
                <w:szCs w:val="24"/>
              </w:rPr>
              <w:t xml:space="preserve"> se presenta el número de predios por tipo de uso del suelo, el valor del recaudo potencial para cada uno de ellos en el año 2024 y su porcentaje de participación frente al total.  </w:t>
            </w:r>
          </w:p>
          <w:p w14:paraId="61F7B86B" w14:textId="77777777" w:rsidR="009D74A3" w:rsidRPr="009D74A3" w:rsidRDefault="009D74A3" w:rsidP="009D74A3">
            <w:pPr>
              <w:pStyle w:val="paragraph"/>
              <w:spacing w:before="0" w:beforeAutospacing="0" w:after="0" w:afterAutospacing="0"/>
              <w:jc w:val="both"/>
              <w:textAlignment w:val="baseline"/>
              <w:outlineLvl w:val="2"/>
            </w:pPr>
            <w:r w:rsidRPr="009D74A3">
              <w:rPr>
                <w:rStyle w:val="eop"/>
                <w:sz w:val="22"/>
                <w:szCs w:val="22"/>
              </w:rPr>
              <w:t> </w:t>
            </w:r>
          </w:p>
          <w:p w14:paraId="776ACB57" w14:textId="4454FAA8" w:rsidR="009D74A3" w:rsidRPr="009D74A3" w:rsidRDefault="009D74A3" w:rsidP="009D74A3">
            <w:pPr>
              <w:pStyle w:val="paragraph"/>
              <w:spacing w:before="0" w:beforeAutospacing="0" w:after="0" w:afterAutospacing="0"/>
              <w:jc w:val="center"/>
              <w:textAlignment w:val="baseline"/>
              <w:outlineLvl w:val="2"/>
            </w:pPr>
            <w:r w:rsidRPr="009D74A3">
              <w:rPr>
                <w:rStyle w:val="normaltextrun"/>
                <w:rFonts w:ascii="Times New Roman" w:hAnsi="Times New Roman" w:cs="Times New Roman"/>
                <w:b/>
                <w:bCs/>
              </w:rPr>
              <w:t xml:space="preserve">Tabla </w:t>
            </w:r>
            <w:r w:rsidR="00935EA4">
              <w:rPr>
                <w:rStyle w:val="normaltextrun"/>
                <w:rFonts w:ascii="Times New Roman" w:hAnsi="Times New Roman" w:cs="Times New Roman"/>
                <w:b/>
                <w:bCs/>
              </w:rPr>
              <w:t>10</w:t>
            </w:r>
          </w:p>
          <w:p w14:paraId="5707CD14" w14:textId="5B7DA47C" w:rsidR="009D74A3" w:rsidRPr="009D74A3" w:rsidRDefault="009D74A3" w:rsidP="009D74A3">
            <w:pPr>
              <w:pStyle w:val="paragraph"/>
              <w:spacing w:before="0" w:beforeAutospacing="0" w:after="0" w:afterAutospacing="0"/>
              <w:jc w:val="center"/>
              <w:textAlignment w:val="baseline"/>
              <w:outlineLvl w:val="2"/>
            </w:pPr>
            <w:r w:rsidRPr="009D74A3">
              <w:rPr>
                <w:rStyle w:val="normaltextrun"/>
                <w:rFonts w:ascii="Times New Roman" w:hAnsi="Times New Roman" w:cs="Times New Roman"/>
                <w:b/>
                <w:bCs/>
              </w:rPr>
              <w:t>Distribución del Impuesto Predial por Destino hacendario y estrato.</w:t>
            </w:r>
          </w:p>
          <w:tbl>
            <w:tblPr>
              <w:tblW w:w="7125" w:type="dxa"/>
              <w:jc w:val="center"/>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2211"/>
              <w:gridCol w:w="789"/>
              <w:gridCol w:w="1320"/>
              <w:gridCol w:w="735"/>
              <w:gridCol w:w="1185"/>
              <w:gridCol w:w="885"/>
            </w:tblGrid>
            <w:tr w:rsidR="009D74A3" w:rsidRPr="009D74A3" w14:paraId="0904E116" w14:textId="77777777" w:rsidTr="00740130">
              <w:trPr>
                <w:trHeight w:val="570"/>
                <w:tblHeader/>
                <w:jc w:val="center"/>
              </w:trPr>
              <w:tc>
                <w:tcPr>
                  <w:tcW w:w="2211" w:type="dxa"/>
                  <w:tcBorders>
                    <w:top w:val="single" w:sz="6" w:space="0" w:color="auto"/>
                    <w:left w:val="single" w:sz="6" w:space="0" w:color="auto"/>
                    <w:bottom w:val="single" w:sz="6" w:space="0" w:color="auto"/>
                    <w:right w:val="single" w:sz="6" w:space="0" w:color="auto"/>
                  </w:tcBorders>
                  <w:shd w:val="clear" w:color="auto" w:fill="002060"/>
                  <w:vAlign w:val="center"/>
                  <w:hideMark/>
                </w:tcPr>
                <w:p w14:paraId="6153577F" w14:textId="7E1C2161" w:rsidR="009D74A3" w:rsidRPr="009D74A3" w:rsidRDefault="009D74A3" w:rsidP="009D74A3">
                  <w:pPr>
                    <w:pStyle w:val="paragraph"/>
                    <w:spacing w:before="0" w:beforeAutospacing="0" w:after="0" w:afterAutospacing="0"/>
                    <w:jc w:val="center"/>
                    <w:textAlignment w:val="baseline"/>
                    <w:outlineLvl w:val="2"/>
                    <w:rPr>
                      <w:sz w:val="16"/>
                      <w:szCs w:val="16"/>
                    </w:rPr>
                  </w:pPr>
                  <w:r w:rsidRPr="009D74A3">
                    <w:rPr>
                      <w:rStyle w:val="normaltextrun"/>
                      <w:rFonts w:ascii="Times New Roman" w:hAnsi="Times New Roman" w:cs="Times New Roman"/>
                      <w:b/>
                      <w:bCs/>
                      <w:color w:val="FFFFFF"/>
                      <w:sz w:val="16"/>
                      <w:szCs w:val="16"/>
                    </w:rPr>
                    <w:t>Destino Hacendario</w:t>
                  </w:r>
                </w:p>
              </w:tc>
              <w:tc>
                <w:tcPr>
                  <w:tcW w:w="789" w:type="dxa"/>
                  <w:tcBorders>
                    <w:top w:val="single" w:sz="6" w:space="0" w:color="auto"/>
                    <w:left w:val="single" w:sz="6" w:space="0" w:color="auto"/>
                    <w:bottom w:val="single" w:sz="6" w:space="0" w:color="auto"/>
                    <w:right w:val="single" w:sz="6" w:space="0" w:color="auto"/>
                  </w:tcBorders>
                  <w:shd w:val="clear" w:color="auto" w:fill="002060"/>
                  <w:vAlign w:val="center"/>
                  <w:hideMark/>
                </w:tcPr>
                <w:p w14:paraId="55509E2B" w14:textId="18397B81" w:rsidR="009D74A3" w:rsidRPr="009D74A3" w:rsidRDefault="009D74A3" w:rsidP="009D74A3">
                  <w:pPr>
                    <w:pStyle w:val="paragraph"/>
                    <w:spacing w:before="0" w:beforeAutospacing="0" w:after="0" w:afterAutospacing="0"/>
                    <w:jc w:val="center"/>
                    <w:textAlignment w:val="baseline"/>
                    <w:outlineLvl w:val="2"/>
                    <w:rPr>
                      <w:sz w:val="16"/>
                      <w:szCs w:val="16"/>
                    </w:rPr>
                  </w:pPr>
                  <w:r w:rsidRPr="009D74A3">
                    <w:rPr>
                      <w:rStyle w:val="normaltextrun"/>
                      <w:rFonts w:ascii="Times New Roman" w:hAnsi="Times New Roman" w:cs="Times New Roman"/>
                      <w:b/>
                      <w:bCs/>
                      <w:color w:val="FFFFFF"/>
                      <w:sz w:val="16"/>
                      <w:szCs w:val="16"/>
                    </w:rPr>
                    <w:t>Estrato</w:t>
                  </w:r>
                </w:p>
              </w:tc>
              <w:tc>
                <w:tcPr>
                  <w:tcW w:w="1320" w:type="dxa"/>
                  <w:tcBorders>
                    <w:top w:val="single" w:sz="6" w:space="0" w:color="auto"/>
                    <w:left w:val="single" w:sz="6" w:space="0" w:color="auto"/>
                    <w:bottom w:val="single" w:sz="6" w:space="0" w:color="auto"/>
                    <w:right w:val="single" w:sz="6" w:space="0" w:color="auto"/>
                  </w:tcBorders>
                  <w:shd w:val="clear" w:color="auto" w:fill="002060"/>
                  <w:vAlign w:val="center"/>
                  <w:hideMark/>
                </w:tcPr>
                <w:p w14:paraId="10D0BB34" w14:textId="7043C1AD" w:rsidR="009D74A3" w:rsidRPr="009D74A3" w:rsidRDefault="009D74A3" w:rsidP="009D74A3">
                  <w:pPr>
                    <w:pStyle w:val="paragraph"/>
                    <w:spacing w:before="0" w:beforeAutospacing="0" w:after="0" w:afterAutospacing="0"/>
                    <w:jc w:val="center"/>
                    <w:textAlignment w:val="baseline"/>
                    <w:outlineLvl w:val="2"/>
                    <w:rPr>
                      <w:sz w:val="16"/>
                      <w:szCs w:val="16"/>
                    </w:rPr>
                  </w:pPr>
                  <w:r w:rsidRPr="009D74A3">
                    <w:rPr>
                      <w:rStyle w:val="normaltextrun"/>
                      <w:rFonts w:ascii="Times New Roman" w:hAnsi="Times New Roman" w:cs="Times New Roman"/>
                      <w:b/>
                      <w:bCs/>
                      <w:color w:val="FFFFFF"/>
                      <w:sz w:val="16"/>
                      <w:szCs w:val="16"/>
                    </w:rPr>
                    <w:t>Recaudo potencial 2024</w:t>
                  </w:r>
                </w:p>
              </w:tc>
              <w:tc>
                <w:tcPr>
                  <w:tcW w:w="735" w:type="dxa"/>
                  <w:tcBorders>
                    <w:top w:val="single" w:sz="6" w:space="0" w:color="auto"/>
                    <w:left w:val="single" w:sz="6" w:space="0" w:color="auto"/>
                    <w:bottom w:val="single" w:sz="6" w:space="0" w:color="auto"/>
                    <w:right w:val="single" w:sz="6" w:space="0" w:color="auto"/>
                  </w:tcBorders>
                  <w:shd w:val="clear" w:color="auto" w:fill="002060"/>
                  <w:vAlign w:val="center"/>
                  <w:hideMark/>
                </w:tcPr>
                <w:p w14:paraId="32AA7CBA" w14:textId="726A046D" w:rsidR="009D74A3" w:rsidRPr="009D74A3" w:rsidRDefault="009D74A3" w:rsidP="009D74A3">
                  <w:pPr>
                    <w:pStyle w:val="paragraph"/>
                    <w:spacing w:before="0" w:beforeAutospacing="0" w:after="0" w:afterAutospacing="0"/>
                    <w:jc w:val="center"/>
                    <w:textAlignment w:val="baseline"/>
                    <w:outlineLvl w:val="2"/>
                    <w:rPr>
                      <w:sz w:val="16"/>
                      <w:szCs w:val="16"/>
                    </w:rPr>
                  </w:pPr>
                  <w:r w:rsidRPr="009D74A3">
                    <w:rPr>
                      <w:rStyle w:val="normaltextrun"/>
                      <w:rFonts w:ascii="Times New Roman" w:hAnsi="Times New Roman" w:cs="Times New Roman"/>
                      <w:b/>
                      <w:bCs/>
                      <w:color w:val="FFFFFF"/>
                      <w:sz w:val="16"/>
                      <w:szCs w:val="16"/>
                    </w:rPr>
                    <w:t>%</w:t>
                  </w:r>
                </w:p>
                <w:p w14:paraId="517FC64F" w14:textId="6838D018" w:rsidR="009D74A3" w:rsidRPr="009D74A3" w:rsidRDefault="009D74A3" w:rsidP="009D74A3">
                  <w:pPr>
                    <w:pStyle w:val="paragraph"/>
                    <w:spacing w:before="0" w:beforeAutospacing="0" w:after="0" w:afterAutospacing="0"/>
                    <w:jc w:val="center"/>
                    <w:textAlignment w:val="baseline"/>
                    <w:outlineLvl w:val="2"/>
                    <w:rPr>
                      <w:sz w:val="16"/>
                      <w:szCs w:val="16"/>
                    </w:rPr>
                  </w:pPr>
                </w:p>
              </w:tc>
              <w:tc>
                <w:tcPr>
                  <w:tcW w:w="1185" w:type="dxa"/>
                  <w:tcBorders>
                    <w:top w:val="single" w:sz="6" w:space="0" w:color="auto"/>
                    <w:left w:val="single" w:sz="6" w:space="0" w:color="auto"/>
                    <w:bottom w:val="single" w:sz="6" w:space="0" w:color="auto"/>
                    <w:right w:val="single" w:sz="6" w:space="0" w:color="auto"/>
                  </w:tcBorders>
                  <w:shd w:val="clear" w:color="auto" w:fill="002060"/>
                  <w:vAlign w:val="center"/>
                  <w:hideMark/>
                </w:tcPr>
                <w:p w14:paraId="2DE79D44" w14:textId="6694045B" w:rsidR="009D74A3" w:rsidRPr="009D74A3" w:rsidRDefault="009D74A3" w:rsidP="009D74A3">
                  <w:pPr>
                    <w:pStyle w:val="paragraph"/>
                    <w:spacing w:before="0" w:beforeAutospacing="0" w:after="0" w:afterAutospacing="0"/>
                    <w:jc w:val="center"/>
                    <w:textAlignment w:val="baseline"/>
                    <w:outlineLvl w:val="2"/>
                    <w:rPr>
                      <w:sz w:val="16"/>
                      <w:szCs w:val="16"/>
                    </w:rPr>
                  </w:pPr>
                  <w:r w:rsidRPr="009D74A3">
                    <w:rPr>
                      <w:rStyle w:val="normaltextrun"/>
                      <w:rFonts w:ascii="Times New Roman" w:hAnsi="Times New Roman" w:cs="Times New Roman"/>
                      <w:b/>
                      <w:bCs/>
                      <w:color w:val="FFFFFF"/>
                      <w:sz w:val="16"/>
                      <w:szCs w:val="16"/>
                    </w:rPr>
                    <w:t>Predios</w:t>
                  </w:r>
                </w:p>
              </w:tc>
              <w:tc>
                <w:tcPr>
                  <w:tcW w:w="885" w:type="dxa"/>
                  <w:tcBorders>
                    <w:top w:val="single" w:sz="6" w:space="0" w:color="auto"/>
                    <w:left w:val="single" w:sz="6" w:space="0" w:color="auto"/>
                    <w:bottom w:val="single" w:sz="6" w:space="0" w:color="auto"/>
                    <w:right w:val="single" w:sz="6" w:space="0" w:color="auto"/>
                  </w:tcBorders>
                  <w:shd w:val="clear" w:color="auto" w:fill="002060"/>
                  <w:vAlign w:val="center"/>
                  <w:hideMark/>
                </w:tcPr>
                <w:p w14:paraId="29890801" w14:textId="5777F684" w:rsidR="009D74A3" w:rsidRPr="009D74A3" w:rsidRDefault="009D74A3" w:rsidP="009D74A3">
                  <w:pPr>
                    <w:pStyle w:val="paragraph"/>
                    <w:spacing w:before="0" w:beforeAutospacing="0" w:after="0" w:afterAutospacing="0"/>
                    <w:jc w:val="center"/>
                    <w:textAlignment w:val="baseline"/>
                    <w:outlineLvl w:val="2"/>
                    <w:rPr>
                      <w:sz w:val="16"/>
                      <w:szCs w:val="16"/>
                    </w:rPr>
                  </w:pPr>
                  <w:r w:rsidRPr="009D74A3">
                    <w:rPr>
                      <w:rStyle w:val="normaltextrun"/>
                      <w:rFonts w:ascii="Times New Roman" w:hAnsi="Times New Roman" w:cs="Times New Roman"/>
                      <w:b/>
                      <w:bCs/>
                      <w:color w:val="FFFFFF"/>
                      <w:sz w:val="16"/>
                      <w:szCs w:val="16"/>
                    </w:rPr>
                    <w:t>%</w:t>
                  </w:r>
                </w:p>
              </w:tc>
            </w:tr>
            <w:tr w:rsidR="009D74A3" w:rsidRPr="009D74A3" w14:paraId="2E2E2584" w14:textId="77777777" w:rsidTr="00740130">
              <w:trPr>
                <w:trHeight w:val="345"/>
                <w:jc w:val="center"/>
              </w:trPr>
              <w:tc>
                <w:tcPr>
                  <w:tcW w:w="2211" w:type="dxa"/>
                  <w:tcBorders>
                    <w:top w:val="single" w:sz="6" w:space="0" w:color="auto"/>
                    <w:left w:val="single" w:sz="6" w:space="0" w:color="8091A9"/>
                    <w:bottom w:val="single" w:sz="6" w:space="0" w:color="8091A9"/>
                    <w:right w:val="single" w:sz="6" w:space="0" w:color="8091A9"/>
                  </w:tcBorders>
                  <w:vAlign w:val="center"/>
                  <w:hideMark/>
                </w:tcPr>
                <w:p w14:paraId="1B3BD0DA" w14:textId="30390F8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Residencial</w:t>
                  </w:r>
                </w:p>
              </w:tc>
              <w:tc>
                <w:tcPr>
                  <w:tcW w:w="789" w:type="dxa"/>
                  <w:tcBorders>
                    <w:top w:val="single" w:sz="6" w:space="0" w:color="auto"/>
                    <w:left w:val="single" w:sz="6" w:space="0" w:color="8091A9"/>
                    <w:bottom w:val="single" w:sz="6" w:space="0" w:color="8091A9"/>
                    <w:right w:val="single" w:sz="6" w:space="0" w:color="8091A9"/>
                  </w:tcBorders>
                  <w:vAlign w:val="center"/>
                  <w:hideMark/>
                </w:tcPr>
                <w:p w14:paraId="60C7F616" w14:textId="18158543"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0</w:t>
                  </w:r>
                </w:p>
              </w:tc>
              <w:tc>
                <w:tcPr>
                  <w:tcW w:w="1320" w:type="dxa"/>
                  <w:tcBorders>
                    <w:top w:val="single" w:sz="6" w:space="0" w:color="auto"/>
                    <w:left w:val="single" w:sz="6" w:space="0" w:color="8091A9"/>
                    <w:bottom w:val="single" w:sz="6" w:space="0" w:color="8091A9"/>
                    <w:right w:val="single" w:sz="6" w:space="0" w:color="8091A9"/>
                  </w:tcBorders>
                  <w:vAlign w:val="center"/>
                  <w:hideMark/>
                </w:tcPr>
                <w:p w14:paraId="7238A15A" w14:textId="0CA61F4E"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$ 1.647</w:t>
                  </w:r>
                </w:p>
              </w:tc>
              <w:tc>
                <w:tcPr>
                  <w:tcW w:w="735" w:type="dxa"/>
                  <w:tcBorders>
                    <w:top w:val="single" w:sz="6" w:space="0" w:color="auto"/>
                    <w:left w:val="single" w:sz="6" w:space="0" w:color="8091A9"/>
                    <w:bottom w:val="single" w:sz="6" w:space="0" w:color="8091A9"/>
                    <w:right w:val="single" w:sz="6" w:space="0" w:color="8091A9"/>
                  </w:tcBorders>
                  <w:vAlign w:val="bottom"/>
                  <w:hideMark/>
                </w:tcPr>
                <w:p w14:paraId="0192E11A" w14:textId="5C0B9D25"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0,0%</w:t>
                  </w:r>
                </w:p>
              </w:tc>
              <w:tc>
                <w:tcPr>
                  <w:tcW w:w="1185" w:type="dxa"/>
                  <w:tcBorders>
                    <w:top w:val="single" w:sz="6" w:space="0" w:color="auto"/>
                    <w:left w:val="single" w:sz="6" w:space="0" w:color="8091A9"/>
                    <w:bottom w:val="single" w:sz="6" w:space="0" w:color="8091A9"/>
                    <w:right w:val="single" w:sz="6" w:space="0" w:color="8091A9"/>
                  </w:tcBorders>
                  <w:vAlign w:val="center"/>
                  <w:hideMark/>
                </w:tcPr>
                <w:p w14:paraId="7AD24908" w14:textId="44987BEB"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838</w:t>
                  </w:r>
                </w:p>
              </w:tc>
              <w:tc>
                <w:tcPr>
                  <w:tcW w:w="885" w:type="dxa"/>
                  <w:tcBorders>
                    <w:top w:val="single" w:sz="6" w:space="0" w:color="auto"/>
                    <w:left w:val="single" w:sz="6" w:space="0" w:color="8091A9"/>
                    <w:bottom w:val="single" w:sz="6" w:space="0" w:color="8091A9"/>
                    <w:right w:val="single" w:sz="6" w:space="0" w:color="8091A9"/>
                  </w:tcBorders>
                  <w:vAlign w:val="center"/>
                  <w:hideMark/>
                </w:tcPr>
                <w:p w14:paraId="7048A6A6" w14:textId="28D6BA4B"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0,0%</w:t>
                  </w:r>
                </w:p>
              </w:tc>
            </w:tr>
            <w:tr w:rsidR="009D74A3" w:rsidRPr="009D74A3" w14:paraId="42CFCD74" w14:textId="77777777" w:rsidTr="00740130">
              <w:trPr>
                <w:trHeight w:val="270"/>
                <w:jc w:val="center"/>
              </w:trPr>
              <w:tc>
                <w:tcPr>
                  <w:tcW w:w="2211" w:type="dxa"/>
                  <w:tcBorders>
                    <w:top w:val="single" w:sz="6" w:space="0" w:color="8091A9"/>
                    <w:left w:val="single" w:sz="6" w:space="0" w:color="8091A9"/>
                    <w:bottom w:val="single" w:sz="6" w:space="0" w:color="8091A9"/>
                    <w:right w:val="single" w:sz="6" w:space="0" w:color="8091A9"/>
                  </w:tcBorders>
                  <w:vAlign w:val="center"/>
                  <w:hideMark/>
                </w:tcPr>
                <w:p w14:paraId="3B62127E" w14:textId="50B59381"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Residencial</w:t>
                  </w:r>
                </w:p>
              </w:tc>
              <w:tc>
                <w:tcPr>
                  <w:tcW w:w="789" w:type="dxa"/>
                  <w:tcBorders>
                    <w:top w:val="single" w:sz="6" w:space="0" w:color="8091A9"/>
                    <w:left w:val="single" w:sz="6" w:space="0" w:color="8091A9"/>
                    <w:bottom w:val="single" w:sz="6" w:space="0" w:color="8091A9"/>
                    <w:right w:val="single" w:sz="6" w:space="0" w:color="8091A9"/>
                  </w:tcBorders>
                  <w:vAlign w:val="center"/>
                  <w:hideMark/>
                </w:tcPr>
                <w:p w14:paraId="3C6C47F0" w14:textId="60E8A7E8"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1</w:t>
                  </w:r>
                </w:p>
              </w:tc>
              <w:tc>
                <w:tcPr>
                  <w:tcW w:w="1320" w:type="dxa"/>
                  <w:tcBorders>
                    <w:top w:val="single" w:sz="6" w:space="0" w:color="8091A9"/>
                    <w:left w:val="single" w:sz="6" w:space="0" w:color="8091A9"/>
                    <w:bottom w:val="single" w:sz="6" w:space="0" w:color="8091A9"/>
                    <w:right w:val="single" w:sz="6" w:space="0" w:color="8091A9"/>
                  </w:tcBorders>
                  <w:vAlign w:val="center"/>
                  <w:hideMark/>
                </w:tcPr>
                <w:p w14:paraId="211085B3" w14:textId="587E6CA3"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$ 13.578</w:t>
                  </w:r>
                </w:p>
              </w:tc>
              <w:tc>
                <w:tcPr>
                  <w:tcW w:w="735" w:type="dxa"/>
                  <w:tcBorders>
                    <w:top w:val="single" w:sz="6" w:space="0" w:color="8091A9"/>
                    <w:left w:val="single" w:sz="6" w:space="0" w:color="8091A9"/>
                    <w:bottom w:val="single" w:sz="6" w:space="0" w:color="8091A9"/>
                    <w:right w:val="single" w:sz="6" w:space="0" w:color="8091A9"/>
                  </w:tcBorders>
                  <w:vAlign w:val="bottom"/>
                  <w:hideMark/>
                </w:tcPr>
                <w:p w14:paraId="11E5F0C2" w14:textId="051A7EA3"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0,3%</w:t>
                  </w:r>
                </w:p>
              </w:tc>
              <w:tc>
                <w:tcPr>
                  <w:tcW w:w="1185" w:type="dxa"/>
                  <w:tcBorders>
                    <w:top w:val="single" w:sz="6" w:space="0" w:color="8091A9"/>
                    <w:left w:val="single" w:sz="6" w:space="0" w:color="8091A9"/>
                    <w:bottom w:val="single" w:sz="6" w:space="0" w:color="8091A9"/>
                    <w:right w:val="single" w:sz="6" w:space="0" w:color="8091A9"/>
                  </w:tcBorders>
                  <w:vAlign w:val="center"/>
                  <w:hideMark/>
                </w:tcPr>
                <w:p w14:paraId="3D51F5F4" w14:textId="6478E963"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125.184</w:t>
                  </w:r>
                </w:p>
              </w:tc>
              <w:tc>
                <w:tcPr>
                  <w:tcW w:w="885" w:type="dxa"/>
                  <w:tcBorders>
                    <w:top w:val="single" w:sz="6" w:space="0" w:color="8091A9"/>
                    <w:left w:val="single" w:sz="6" w:space="0" w:color="8091A9"/>
                    <w:bottom w:val="single" w:sz="6" w:space="0" w:color="8091A9"/>
                    <w:right w:val="single" w:sz="6" w:space="0" w:color="8091A9"/>
                  </w:tcBorders>
                  <w:vAlign w:val="center"/>
                  <w:hideMark/>
                </w:tcPr>
                <w:p w14:paraId="0C556351" w14:textId="0D9E6152"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4,6%</w:t>
                  </w:r>
                </w:p>
              </w:tc>
            </w:tr>
            <w:tr w:rsidR="009D74A3" w:rsidRPr="009D74A3" w14:paraId="13F19695" w14:textId="77777777" w:rsidTr="00740130">
              <w:trPr>
                <w:trHeight w:val="165"/>
                <w:jc w:val="center"/>
              </w:trPr>
              <w:tc>
                <w:tcPr>
                  <w:tcW w:w="2211" w:type="dxa"/>
                  <w:tcBorders>
                    <w:top w:val="single" w:sz="6" w:space="0" w:color="8091A9"/>
                    <w:left w:val="single" w:sz="6" w:space="0" w:color="8091A9"/>
                    <w:bottom w:val="single" w:sz="6" w:space="0" w:color="8091A9"/>
                    <w:right w:val="single" w:sz="6" w:space="0" w:color="8091A9"/>
                  </w:tcBorders>
                  <w:vAlign w:val="center"/>
                  <w:hideMark/>
                </w:tcPr>
                <w:p w14:paraId="3909A95E" w14:textId="10083EEA"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Residencial</w:t>
                  </w:r>
                </w:p>
              </w:tc>
              <w:tc>
                <w:tcPr>
                  <w:tcW w:w="789" w:type="dxa"/>
                  <w:tcBorders>
                    <w:top w:val="single" w:sz="6" w:space="0" w:color="8091A9"/>
                    <w:left w:val="single" w:sz="6" w:space="0" w:color="8091A9"/>
                    <w:bottom w:val="single" w:sz="6" w:space="0" w:color="8091A9"/>
                    <w:right w:val="single" w:sz="6" w:space="0" w:color="8091A9"/>
                  </w:tcBorders>
                  <w:vAlign w:val="center"/>
                  <w:hideMark/>
                </w:tcPr>
                <w:p w14:paraId="42B346E7" w14:textId="27624C5C"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2</w:t>
                  </w:r>
                </w:p>
              </w:tc>
              <w:tc>
                <w:tcPr>
                  <w:tcW w:w="1320" w:type="dxa"/>
                  <w:tcBorders>
                    <w:top w:val="single" w:sz="6" w:space="0" w:color="8091A9"/>
                    <w:left w:val="single" w:sz="6" w:space="0" w:color="8091A9"/>
                    <w:bottom w:val="single" w:sz="6" w:space="0" w:color="8091A9"/>
                    <w:right w:val="single" w:sz="6" w:space="0" w:color="8091A9"/>
                  </w:tcBorders>
                  <w:vAlign w:val="center"/>
                  <w:hideMark/>
                </w:tcPr>
                <w:p w14:paraId="72B3D7E4" w14:textId="0118257D"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$ 133.023</w:t>
                  </w:r>
                </w:p>
              </w:tc>
              <w:tc>
                <w:tcPr>
                  <w:tcW w:w="735" w:type="dxa"/>
                  <w:tcBorders>
                    <w:top w:val="single" w:sz="6" w:space="0" w:color="8091A9"/>
                    <w:left w:val="single" w:sz="6" w:space="0" w:color="8091A9"/>
                    <w:bottom w:val="single" w:sz="6" w:space="0" w:color="8091A9"/>
                    <w:right w:val="single" w:sz="6" w:space="0" w:color="8091A9"/>
                  </w:tcBorders>
                  <w:vAlign w:val="bottom"/>
                  <w:hideMark/>
                </w:tcPr>
                <w:p w14:paraId="786E4D12" w14:textId="1662EB81"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2,7%</w:t>
                  </w:r>
                </w:p>
              </w:tc>
              <w:tc>
                <w:tcPr>
                  <w:tcW w:w="1185" w:type="dxa"/>
                  <w:tcBorders>
                    <w:top w:val="single" w:sz="6" w:space="0" w:color="8091A9"/>
                    <w:left w:val="single" w:sz="6" w:space="0" w:color="8091A9"/>
                    <w:bottom w:val="single" w:sz="6" w:space="0" w:color="8091A9"/>
                    <w:right w:val="single" w:sz="6" w:space="0" w:color="8091A9"/>
                  </w:tcBorders>
                  <w:vAlign w:val="center"/>
                  <w:hideMark/>
                </w:tcPr>
                <w:p w14:paraId="3A8FA67F" w14:textId="6BF1651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558.026</w:t>
                  </w:r>
                </w:p>
              </w:tc>
              <w:tc>
                <w:tcPr>
                  <w:tcW w:w="885" w:type="dxa"/>
                  <w:tcBorders>
                    <w:top w:val="single" w:sz="6" w:space="0" w:color="8091A9"/>
                    <w:left w:val="single" w:sz="6" w:space="0" w:color="8091A9"/>
                    <w:bottom w:val="single" w:sz="6" w:space="0" w:color="8091A9"/>
                    <w:right w:val="single" w:sz="6" w:space="0" w:color="8091A9"/>
                  </w:tcBorders>
                  <w:vAlign w:val="center"/>
                  <w:hideMark/>
                </w:tcPr>
                <w:p w14:paraId="33F332D3" w14:textId="26C015A9"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20,4%</w:t>
                  </w:r>
                </w:p>
              </w:tc>
            </w:tr>
            <w:tr w:rsidR="009D74A3" w:rsidRPr="009D74A3" w14:paraId="5C2AFCF8" w14:textId="77777777" w:rsidTr="00740130">
              <w:trPr>
                <w:trHeight w:val="195"/>
                <w:jc w:val="center"/>
              </w:trPr>
              <w:tc>
                <w:tcPr>
                  <w:tcW w:w="2211" w:type="dxa"/>
                  <w:tcBorders>
                    <w:top w:val="single" w:sz="6" w:space="0" w:color="8091A9"/>
                    <w:left w:val="single" w:sz="6" w:space="0" w:color="8091A9"/>
                    <w:bottom w:val="single" w:sz="6" w:space="0" w:color="8091A9"/>
                    <w:right w:val="single" w:sz="6" w:space="0" w:color="8091A9"/>
                  </w:tcBorders>
                  <w:vAlign w:val="center"/>
                  <w:hideMark/>
                </w:tcPr>
                <w:p w14:paraId="362A8202" w14:textId="320BBEA6"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Residencial</w:t>
                  </w:r>
                </w:p>
              </w:tc>
              <w:tc>
                <w:tcPr>
                  <w:tcW w:w="789" w:type="dxa"/>
                  <w:tcBorders>
                    <w:top w:val="single" w:sz="6" w:space="0" w:color="8091A9"/>
                    <w:left w:val="single" w:sz="6" w:space="0" w:color="8091A9"/>
                    <w:bottom w:val="single" w:sz="6" w:space="0" w:color="8091A9"/>
                    <w:right w:val="single" w:sz="6" w:space="0" w:color="8091A9"/>
                  </w:tcBorders>
                  <w:vAlign w:val="center"/>
                  <w:hideMark/>
                </w:tcPr>
                <w:p w14:paraId="17CA6331" w14:textId="079DC05F"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3</w:t>
                  </w:r>
                </w:p>
              </w:tc>
              <w:tc>
                <w:tcPr>
                  <w:tcW w:w="1320" w:type="dxa"/>
                  <w:tcBorders>
                    <w:top w:val="single" w:sz="6" w:space="0" w:color="8091A9"/>
                    <w:left w:val="single" w:sz="6" w:space="0" w:color="8091A9"/>
                    <w:bottom w:val="single" w:sz="6" w:space="0" w:color="8091A9"/>
                    <w:right w:val="single" w:sz="6" w:space="0" w:color="8091A9"/>
                  </w:tcBorders>
                  <w:vAlign w:val="center"/>
                  <w:hideMark/>
                </w:tcPr>
                <w:p w14:paraId="4A4C07D2" w14:textId="49E9BCBA"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$ 546.551</w:t>
                  </w:r>
                </w:p>
              </w:tc>
              <w:tc>
                <w:tcPr>
                  <w:tcW w:w="735" w:type="dxa"/>
                  <w:tcBorders>
                    <w:top w:val="single" w:sz="6" w:space="0" w:color="8091A9"/>
                    <w:left w:val="single" w:sz="6" w:space="0" w:color="8091A9"/>
                    <w:bottom w:val="single" w:sz="6" w:space="0" w:color="8091A9"/>
                    <w:right w:val="single" w:sz="6" w:space="0" w:color="8091A9"/>
                  </w:tcBorders>
                  <w:vAlign w:val="bottom"/>
                  <w:hideMark/>
                </w:tcPr>
                <w:p w14:paraId="61D4E5E5" w14:textId="26F9F899"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11,1%</w:t>
                  </w:r>
                </w:p>
              </w:tc>
              <w:tc>
                <w:tcPr>
                  <w:tcW w:w="1185" w:type="dxa"/>
                  <w:tcBorders>
                    <w:top w:val="single" w:sz="6" w:space="0" w:color="8091A9"/>
                    <w:left w:val="single" w:sz="6" w:space="0" w:color="8091A9"/>
                    <w:bottom w:val="single" w:sz="6" w:space="0" w:color="8091A9"/>
                    <w:right w:val="single" w:sz="6" w:space="0" w:color="8091A9"/>
                  </w:tcBorders>
                  <w:vAlign w:val="center"/>
                  <w:hideMark/>
                </w:tcPr>
                <w:p w14:paraId="3F845D88" w14:textId="5EC2D4EE"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615.415</w:t>
                  </w:r>
                </w:p>
              </w:tc>
              <w:tc>
                <w:tcPr>
                  <w:tcW w:w="885" w:type="dxa"/>
                  <w:tcBorders>
                    <w:top w:val="single" w:sz="6" w:space="0" w:color="8091A9"/>
                    <w:left w:val="single" w:sz="6" w:space="0" w:color="8091A9"/>
                    <w:bottom w:val="single" w:sz="6" w:space="0" w:color="8091A9"/>
                    <w:right w:val="single" w:sz="6" w:space="0" w:color="8091A9"/>
                  </w:tcBorders>
                  <w:vAlign w:val="center"/>
                  <w:hideMark/>
                </w:tcPr>
                <w:p w14:paraId="5404EDFE" w14:textId="736F9602"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22,6%</w:t>
                  </w:r>
                </w:p>
              </w:tc>
            </w:tr>
            <w:tr w:rsidR="009D74A3" w:rsidRPr="009D74A3" w14:paraId="5E88D575" w14:textId="77777777" w:rsidTr="00740130">
              <w:trPr>
                <w:trHeight w:val="255"/>
                <w:jc w:val="center"/>
              </w:trPr>
              <w:tc>
                <w:tcPr>
                  <w:tcW w:w="2211" w:type="dxa"/>
                  <w:tcBorders>
                    <w:top w:val="single" w:sz="6" w:space="0" w:color="8091A9"/>
                    <w:left w:val="single" w:sz="6" w:space="0" w:color="8091A9"/>
                    <w:bottom w:val="single" w:sz="6" w:space="0" w:color="8091A9"/>
                    <w:right w:val="single" w:sz="6" w:space="0" w:color="8091A9"/>
                  </w:tcBorders>
                  <w:vAlign w:val="center"/>
                  <w:hideMark/>
                </w:tcPr>
                <w:p w14:paraId="78378BCF" w14:textId="1ADACBFB"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Residencial</w:t>
                  </w:r>
                </w:p>
              </w:tc>
              <w:tc>
                <w:tcPr>
                  <w:tcW w:w="789" w:type="dxa"/>
                  <w:tcBorders>
                    <w:top w:val="single" w:sz="6" w:space="0" w:color="8091A9"/>
                    <w:left w:val="single" w:sz="6" w:space="0" w:color="8091A9"/>
                    <w:bottom w:val="single" w:sz="6" w:space="0" w:color="8091A9"/>
                    <w:right w:val="single" w:sz="6" w:space="0" w:color="8091A9"/>
                  </w:tcBorders>
                  <w:vAlign w:val="center"/>
                  <w:hideMark/>
                </w:tcPr>
                <w:p w14:paraId="05FB7C9D" w14:textId="56D01C65"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4</w:t>
                  </w:r>
                </w:p>
              </w:tc>
              <w:tc>
                <w:tcPr>
                  <w:tcW w:w="1320" w:type="dxa"/>
                  <w:tcBorders>
                    <w:top w:val="single" w:sz="6" w:space="0" w:color="8091A9"/>
                    <w:left w:val="single" w:sz="6" w:space="0" w:color="8091A9"/>
                    <w:bottom w:val="single" w:sz="6" w:space="0" w:color="8091A9"/>
                    <w:right w:val="single" w:sz="6" w:space="0" w:color="8091A9"/>
                  </w:tcBorders>
                  <w:vAlign w:val="center"/>
                  <w:hideMark/>
                </w:tcPr>
                <w:p w14:paraId="1BE8429E" w14:textId="08DE4216"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$ 606.076</w:t>
                  </w:r>
                </w:p>
              </w:tc>
              <w:tc>
                <w:tcPr>
                  <w:tcW w:w="735" w:type="dxa"/>
                  <w:tcBorders>
                    <w:top w:val="single" w:sz="6" w:space="0" w:color="8091A9"/>
                    <w:left w:val="single" w:sz="6" w:space="0" w:color="8091A9"/>
                    <w:bottom w:val="single" w:sz="6" w:space="0" w:color="8091A9"/>
                    <w:right w:val="single" w:sz="6" w:space="0" w:color="8091A9"/>
                  </w:tcBorders>
                  <w:vAlign w:val="bottom"/>
                  <w:hideMark/>
                </w:tcPr>
                <w:p w14:paraId="385067FD" w14:textId="5199EEFA"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12,3%</w:t>
                  </w:r>
                </w:p>
              </w:tc>
              <w:tc>
                <w:tcPr>
                  <w:tcW w:w="1185" w:type="dxa"/>
                  <w:tcBorders>
                    <w:top w:val="single" w:sz="6" w:space="0" w:color="8091A9"/>
                    <w:left w:val="single" w:sz="6" w:space="0" w:color="8091A9"/>
                    <w:bottom w:val="single" w:sz="6" w:space="0" w:color="8091A9"/>
                    <w:right w:val="single" w:sz="6" w:space="0" w:color="8091A9"/>
                  </w:tcBorders>
                  <w:vAlign w:val="center"/>
                  <w:hideMark/>
                </w:tcPr>
                <w:p w14:paraId="7FB21E69" w14:textId="1971D460"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310.760</w:t>
                  </w:r>
                </w:p>
              </w:tc>
              <w:tc>
                <w:tcPr>
                  <w:tcW w:w="885" w:type="dxa"/>
                  <w:tcBorders>
                    <w:top w:val="single" w:sz="6" w:space="0" w:color="8091A9"/>
                    <w:left w:val="single" w:sz="6" w:space="0" w:color="8091A9"/>
                    <w:bottom w:val="single" w:sz="6" w:space="0" w:color="8091A9"/>
                    <w:right w:val="single" w:sz="6" w:space="0" w:color="8091A9"/>
                  </w:tcBorders>
                  <w:vAlign w:val="center"/>
                  <w:hideMark/>
                </w:tcPr>
                <w:p w14:paraId="6F45A99D" w14:textId="3EED1B66"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11,4%</w:t>
                  </w:r>
                </w:p>
              </w:tc>
            </w:tr>
            <w:tr w:rsidR="009D74A3" w:rsidRPr="009D74A3" w14:paraId="1809C8F2" w14:textId="77777777" w:rsidTr="00740130">
              <w:trPr>
                <w:trHeight w:val="255"/>
                <w:jc w:val="center"/>
              </w:trPr>
              <w:tc>
                <w:tcPr>
                  <w:tcW w:w="2211" w:type="dxa"/>
                  <w:tcBorders>
                    <w:top w:val="single" w:sz="6" w:space="0" w:color="8091A9"/>
                    <w:left w:val="single" w:sz="6" w:space="0" w:color="8091A9"/>
                    <w:bottom w:val="single" w:sz="6" w:space="0" w:color="8091A9"/>
                    <w:right w:val="single" w:sz="6" w:space="0" w:color="8091A9"/>
                  </w:tcBorders>
                  <w:vAlign w:val="center"/>
                  <w:hideMark/>
                </w:tcPr>
                <w:p w14:paraId="4271D939" w14:textId="2940FE8F"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Residencial</w:t>
                  </w:r>
                </w:p>
              </w:tc>
              <w:tc>
                <w:tcPr>
                  <w:tcW w:w="789" w:type="dxa"/>
                  <w:tcBorders>
                    <w:top w:val="single" w:sz="6" w:space="0" w:color="8091A9"/>
                    <w:left w:val="single" w:sz="6" w:space="0" w:color="8091A9"/>
                    <w:bottom w:val="single" w:sz="6" w:space="0" w:color="8091A9"/>
                    <w:right w:val="single" w:sz="6" w:space="0" w:color="8091A9"/>
                  </w:tcBorders>
                  <w:vAlign w:val="center"/>
                  <w:hideMark/>
                </w:tcPr>
                <w:p w14:paraId="24A732E1" w14:textId="3D727A02"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5</w:t>
                  </w:r>
                </w:p>
              </w:tc>
              <w:tc>
                <w:tcPr>
                  <w:tcW w:w="1320" w:type="dxa"/>
                  <w:tcBorders>
                    <w:top w:val="single" w:sz="6" w:space="0" w:color="8091A9"/>
                    <w:left w:val="single" w:sz="6" w:space="0" w:color="8091A9"/>
                    <w:bottom w:val="single" w:sz="6" w:space="0" w:color="8091A9"/>
                    <w:right w:val="single" w:sz="6" w:space="0" w:color="8091A9"/>
                  </w:tcBorders>
                  <w:vAlign w:val="center"/>
                  <w:hideMark/>
                </w:tcPr>
                <w:p w14:paraId="3D57AD0B" w14:textId="6BBF7232"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$ 371.989</w:t>
                  </w:r>
                </w:p>
              </w:tc>
              <w:tc>
                <w:tcPr>
                  <w:tcW w:w="735" w:type="dxa"/>
                  <w:tcBorders>
                    <w:top w:val="single" w:sz="6" w:space="0" w:color="8091A9"/>
                    <w:left w:val="single" w:sz="6" w:space="0" w:color="8091A9"/>
                    <w:bottom w:val="single" w:sz="6" w:space="0" w:color="8091A9"/>
                    <w:right w:val="single" w:sz="6" w:space="0" w:color="8091A9"/>
                  </w:tcBorders>
                  <w:vAlign w:val="bottom"/>
                  <w:hideMark/>
                </w:tcPr>
                <w:p w14:paraId="67964786" w14:textId="2A8CCF58"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7,5%</w:t>
                  </w:r>
                </w:p>
              </w:tc>
              <w:tc>
                <w:tcPr>
                  <w:tcW w:w="1185" w:type="dxa"/>
                  <w:tcBorders>
                    <w:top w:val="single" w:sz="6" w:space="0" w:color="8091A9"/>
                    <w:left w:val="single" w:sz="6" w:space="0" w:color="8091A9"/>
                    <w:bottom w:val="single" w:sz="6" w:space="0" w:color="8091A9"/>
                    <w:right w:val="single" w:sz="6" w:space="0" w:color="8091A9"/>
                  </w:tcBorders>
                  <w:vAlign w:val="center"/>
                  <w:hideMark/>
                </w:tcPr>
                <w:p w14:paraId="0B42D94B" w14:textId="76FB1B16"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102.643</w:t>
                  </w:r>
                </w:p>
              </w:tc>
              <w:tc>
                <w:tcPr>
                  <w:tcW w:w="885" w:type="dxa"/>
                  <w:tcBorders>
                    <w:top w:val="single" w:sz="6" w:space="0" w:color="8091A9"/>
                    <w:left w:val="single" w:sz="6" w:space="0" w:color="8091A9"/>
                    <w:bottom w:val="single" w:sz="6" w:space="0" w:color="8091A9"/>
                    <w:right w:val="single" w:sz="6" w:space="0" w:color="8091A9"/>
                  </w:tcBorders>
                  <w:vAlign w:val="center"/>
                  <w:hideMark/>
                </w:tcPr>
                <w:p w14:paraId="1E96BE28" w14:textId="1A4B1D12"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3,8%</w:t>
                  </w:r>
                </w:p>
              </w:tc>
            </w:tr>
            <w:tr w:rsidR="009D74A3" w:rsidRPr="009D74A3" w14:paraId="695B8C30" w14:textId="77777777" w:rsidTr="00740130">
              <w:trPr>
                <w:trHeight w:val="255"/>
                <w:jc w:val="center"/>
              </w:trPr>
              <w:tc>
                <w:tcPr>
                  <w:tcW w:w="2211" w:type="dxa"/>
                  <w:tcBorders>
                    <w:top w:val="single" w:sz="6" w:space="0" w:color="8091A9"/>
                    <w:left w:val="single" w:sz="6" w:space="0" w:color="8091A9"/>
                    <w:bottom w:val="single" w:sz="6" w:space="0" w:color="8091A9"/>
                    <w:right w:val="single" w:sz="6" w:space="0" w:color="8091A9"/>
                  </w:tcBorders>
                  <w:vAlign w:val="center"/>
                  <w:hideMark/>
                </w:tcPr>
                <w:p w14:paraId="4A6E992C" w14:textId="4EA6FB9A"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Residencial</w:t>
                  </w:r>
                </w:p>
              </w:tc>
              <w:tc>
                <w:tcPr>
                  <w:tcW w:w="789" w:type="dxa"/>
                  <w:tcBorders>
                    <w:top w:val="single" w:sz="6" w:space="0" w:color="8091A9"/>
                    <w:left w:val="single" w:sz="6" w:space="0" w:color="8091A9"/>
                    <w:bottom w:val="single" w:sz="6" w:space="0" w:color="8091A9"/>
                    <w:right w:val="single" w:sz="6" w:space="0" w:color="8091A9"/>
                  </w:tcBorders>
                  <w:vAlign w:val="center"/>
                  <w:hideMark/>
                </w:tcPr>
                <w:p w14:paraId="0FF6FBBD" w14:textId="770F2865"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6</w:t>
                  </w:r>
                </w:p>
              </w:tc>
              <w:tc>
                <w:tcPr>
                  <w:tcW w:w="1320" w:type="dxa"/>
                  <w:tcBorders>
                    <w:top w:val="single" w:sz="6" w:space="0" w:color="8091A9"/>
                    <w:left w:val="single" w:sz="6" w:space="0" w:color="8091A9"/>
                    <w:bottom w:val="single" w:sz="6" w:space="0" w:color="8091A9"/>
                    <w:right w:val="single" w:sz="6" w:space="0" w:color="8091A9"/>
                  </w:tcBorders>
                  <w:vAlign w:val="center"/>
                  <w:hideMark/>
                </w:tcPr>
                <w:p w14:paraId="11243178" w14:textId="1B8DA8A6"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$ 557.195</w:t>
                  </w:r>
                </w:p>
              </w:tc>
              <w:tc>
                <w:tcPr>
                  <w:tcW w:w="735" w:type="dxa"/>
                  <w:tcBorders>
                    <w:top w:val="single" w:sz="6" w:space="0" w:color="8091A9"/>
                    <w:left w:val="single" w:sz="6" w:space="0" w:color="8091A9"/>
                    <w:bottom w:val="single" w:sz="6" w:space="0" w:color="8091A9"/>
                    <w:right w:val="single" w:sz="6" w:space="0" w:color="8091A9"/>
                  </w:tcBorders>
                  <w:vAlign w:val="bottom"/>
                  <w:hideMark/>
                </w:tcPr>
                <w:p w14:paraId="348A77BA" w14:textId="248BA8D2"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11,3%</w:t>
                  </w:r>
                </w:p>
              </w:tc>
              <w:tc>
                <w:tcPr>
                  <w:tcW w:w="1185" w:type="dxa"/>
                  <w:tcBorders>
                    <w:top w:val="single" w:sz="6" w:space="0" w:color="8091A9"/>
                    <w:left w:val="single" w:sz="6" w:space="0" w:color="8091A9"/>
                    <w:bottom w:val="single" w:sz="6" w:space="0" w:color="8091A9"/>
                    <w:right w:val="single" w:sz="6" w:space="0" w:color="8091A9"/>
                  </w:tcBorders>
                  <w:vAlign w:val="center"/>
                  <w:hideMark/>
                </w:tcPr>
                <w:p w14:paraId="3F1FD7B6" w14:textId="1CD842D4"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78.821</w:t>
                  </w:r>
                </w:p>
              </w:tc>
              <w:tc>
                <w:tcPr>
                  <w:tcW w:w="885" w:type="dxa"/>
                  <w:tcBorders>
                    <w:top w:val="single" w:sz="6" w:space="0" w:color="8091A9"/>
                    <w:left w:val="single" w:sz="6" w:space="0" w:color="8091A9"/>
                    <w:bottom w:val="single" w:sz="6" w:space="0" w:color="8091A9"/>
                    <w:right w:val="single" w:sz="6" w:space="0" w:color="8091A9"/>
                  </w:tcBorders>
                  <w:vAlign w:val="center"/>
                  <w:hideMark/>
                </w:tcPr>
                <w:p w14:paraId="43A34359" w14:textId="2F887DE2"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2,9%</w:t>
                  </w:r>
                </w:p>
              </w:tc>
            </w:tr>
            <w:tr w:rsidR="009D74A3" w:rsidRPr="009D74A3" w14:paraId="044319DE" w14:textId="77777777" w:rsidTr="00740130">
              <w:trPr>
                <w:trHeight w:val="255"/>
                <w:jc w:val="center"/>
              </w:trPr>
              <w:tc>
                <w:tcPr>
                  <w:tcW w:w="2211" w:type="dxa"/>
                  <w:tcBorders>
                    <w:top w:val="single" w:sz="6" w:space="0" w:color="8091A9"/>
                    <w:left w:val="single" w:sz="6" w:space="0" w:color="8091A9"/>
                    <w:bottom w:val="single" w:sz="6" w:space="0" w:color="8091A9"/>
                    <w:right w:val="single" w:sz="6" w:space="0" w:color="8091A9"/>
                  </w:tcBorders>
                  <w:vAlign w:val="center"/>
                  <w:hideMark/>
                </w:tcPr>
                <w:p w14:paraId="781E0BFD" w14:textId="225209CA"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Comercial</w:t>
                  </w:r>
                </w:p>
              </w:tc>
              <w:tc>
                <w:tcPr>
                  <w:tcW w:w="789" w:type="dxa"/>
                  <w:tcBorders>
                    <w:top w:val="single" w:sz="6" w:space="0" w:color="8091A9"/>
                    <w:left w:val="single" w:sz="6" w:space="0" w:color="8091A9"/>
                    <w:bottom w:val="single" w:sz="6" w:space="0" w:color="8091A9"/>
                    <w:right w:val="single" w:sz="6" w:space="0" w:color="8091A9"/>
                  </w:tcBorders>
                  <w:vAlign w:val="center"/>
                  <w:hideMark/>
                </w:tcPr>
                <w:p w14:paraId="33BEE119" w14:textId="404E572F"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0</w:t>
                  </w:r>
                </w:p>
              </w:tc>
              <w:tc>
                <w:tcPr>
                  <w:tcW w:w="1320" w:type="dxa"/>
                  <w:tcBorders>
                    <w:top w:val="single" w:sz="6" w:space="0" w:color="8091A9"/>
                    <w:left w:val="single" w:sz="6" w:space="0" w:color="8091A9"/>
                    <w:bottom w:val="single" w:sz="6" w:space="0" w:color="8091A9"/>
                    <w:right w:val="single" w:sz="6" w:space="0" w:color="8091A9"/>
                  </w:tcBorders>
                  <w:vAlign w:val="center"/>
                  <w:hideMark/>
                </w:tcPr>
                <w:p w14:paraId="3CCE3D0C" w14:textId="187386E2"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$ 1.870.172</w:t>
                  </w:r>
                </w:p>
              </w:tc>
              <w:tc>
                <w:tcPr>
                  <w:tcW w:w="735" w:type="dxa"/>
                  <w:tcBorders>
                    <w:top w:val="single" w:sz="6" w:space="0" w:color="8091A9"/>
                    <w:left w:val="single" w:sz="6" w:space="0" w:color="8091A9"/>
                    <w:bottom w:val="single" w:sz="6" w:space="0" w:color="8091A9"/>
                    <w:right w:val="single" w:sz="6" w:space="0" w:color="8091A9"/>
                  </w:tcBorders>
                  <w:vAlign w:val="bottom"/>
                  <w:hideMark/>
                </w:tcPr>
                <w:p w14:paraId="4F08BB58" w14:textId="230A59A8"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37,8%</w:t>
                  </w:r>
                </w:p>
              </w:tc>
              <w:tc>
                <w:tcPr>
                  <w:tcW w:w="1185" w:type="dxa"/>
                  <w:tcBorders>
                    <w:top w:val="single" w:sz="6" w:space="0" w:color="8091A9"/>
                    <w:left w:val="single" w:sz="6" w:space="0" w:color="8091A9"/>
                    <w:bottom w:val="single" w:sz="6" w:space="0" w:color="8091A9"/>
                    <w:right w:val="single" w:sz="6" w:space="0" w:color="8091A9"/>
                  </w:tcBorders>
                  <w:vAlign w:val="center"/>
                  <w:hideMark/>
                </w:tcPr>
                <w:p w14:paraId="1D07EB79" w14:textId="5F1E356E"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286.234</w:t>
                  </w:r>
                </w:p>
              </w:tc>
              <w:tc>
                <w:tcPr>
                  <w:tcW w:w="885" w:type="dxa"/>
                  <w:tcBorders>
                    <w:top w:val="single" w:sz="6" w:space="0" w:color="8091A9"/>
                    <w:left w:val="single" w:sz="6" w:space="0" w:color="8091A9"/>
                    <w:bottom w:val="single" w:sz="6" w:space="0" w:color="8091A9"/>
                    <w:right w:val="single" w:sz="6" w:space="0" w:color="8091A9"/>
                  </w:tcBorders>
                  <w:vAlign w:val="center"/>
                  <w:hideMark/>
                </w:tcPr>
                <w:p w14:paraId="53E145E4" w14:textId="24F4AE08"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10,5%</w:t>
                  </w:r>
                </w:p>
              </w:tc>
            </w:tr>
            <w:tr w:rsidR="009D74A3" w:rsidRPr="009D74A3" w14:paraId="7954F704" w14:textId="77777777" w:rsidTr="00740130">
              <w:trPr>
                <w:trHeight w:val="255"/>
                <w:jc w:val="center"/>
              </w:trPr>
              <w:tc>
                <w:tcPr>
                  <w:tcW w:w="2211" w:type="dxa"/>
                  <w:tcBorders>
                    <w:top w:val="single" w:sz="6" w:space="0" w:color="8091A9"/>
                    <w:left w:val="single" w:sz="6" w:space="0" w:color="8091A9"/>
                    <w:bottom w:val="single" w:sz="6" w:space="0" w:color="8091A9"/>
                    <w:right w:val="single" w:sz="6" w:space="0" w:color="8091A9"/>
                  </w:tcBorders>
                  <w:vAlign w:val="center"/>
                  <w:hideMark/>
                </w:tcPr>
                <w:p w14:paraId="1D440B8E" w14:textId="59C5200D"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Financiero</w:t>
                  </w:r>
                </w:p>
              </w:tc>
              <w:tc>
                <w:tcPr>
                  <w:tcW w:w="789" w:type="dxa"/>
                  <w:tcBorders>
                    <w:top w:val="single" w:sz="6" w:space="0" w:color="8091A9"/>
                    <w:left w:val="single" w:sz="6" w:space="0" w:color="8091A9"/>
                    <w:bottom w:val="single" w:sz="6" w:space="0" w:color="8091A9"/>
                    <w:right w:val="single" w:sz="6" w:space="0" w:color="8091A9"/>
                  </w:tcBorders>
                  <w:vAlign w:val="center"/>
                  <w:hideMark/>
                </w:tcPr>
                <w:p w14:paraId="567BF903" w14:textId="7A6B86EF"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0</w:t>
                  </w:r>
                </w:p>
              </w:tc>
              <w:tc>
                <w:tcPr>
                  <w:tcW w:w="1320" w:type="dxa"/>
                  <w:tcBorders>
                    <w:top w:val="single" w:sz="6" w:space="0" w:color="8091A9"/>
                    <w:left w:val="single" w:sz="6" w:space="0" w:color="8091A9"/>
                    <w:bottom w:val="single" w:sz="6" w:space="0" w:color="8091A9"/>
                    <w:right w:val="single" w:sz="6" w:space="0" w:color="8091A9"/>
                  </w:tcBorders>
                  <w:vAlign w:val="center"/>
                  <w:hideMark/>
                </w:tcPr>
                <w:p w14:paraId="6D0CCB4B" w14:textId="0A2474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$ 43.659</w:t>
                  </w:r>
                </w:p>
              </w:tc>
              <w:tc>
                <w:tcPr>
                  <w:tcW w:w="735" w:type="dxa"/>
                  <w:tcBorders>
                    <w:top w:val="single" w:sz="6" w:space="0" w:color="8091A9"/>
                    <w:left w:val="single" w:sz="6" w:space="0" w:color="8091A9"/>
                    <w:bottom w:val="single" w:sz="6" w:space="0" w:color="8091A9"/>
                    <w:right w:val="single" w:sz="6" w:space="0" w:color="8091A9"/>
                  </w:tcBorders>
                  <w:vAlign w:val="bottom"/>
                  <w:hideMark/>
                </w:tcPr>
                <w:p w14:paraId="1EDFE8F8" w14:textId="3394B39A"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0,9%</w:t>
                  </w:r>
                </w:p>
              </w:tc>
              <w:tc>
                <w:tcPr>
                  <w:tcW w:w="1185" w:type="dxa"/>
                  <w:tcBorders>
                    <w:top w:val="single" w:sz="6" w:space="0" w:color="8091A9"/>
                    <w:left w:val="single" w:sz="6" w:space="0" w:color="8091A9"/>
                    <w:bottom w:val="single" w:sz="6" w:space="0" w:color="8091A9"/>
                    <w:right w:val="single" w:sz="6" w:space="0" w:color="8091A9"/>
                  </w:tcBorders>
                  <w:vAlign w:val="center"/>
                  <w:hideMark/>
                </w:tcPr>
                <w:p w14:paraId="0EF93B27" w14:textId="6ABAE18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1.765</w:t>
                  </w:r>
                </w:p>
              </w:tc>
              <w:tc>
                <w:tcPr>
                  <w:tcW w:w="885" w:type="dxa"/>
                  <w:tcBorders>
                    <w:top w:val="single" w:sz="6" w:space="0" w:color="8091A9"/>
                    <w:left w:val="single" w:sz="6" w:space="0" w:color="8091A9"/>
                    <w:bottom w:val="single" w:sz="6" w:space="0" w:color="8091A9"/>
                    <w:right w:val="single" w:sz="6" w:space="0" w:color="8091A9"/>
                  </w:tcBorders>
                  <w:vAlign w:val="center"/>
                  <w:hideMark/>
                </w:tcPr>
                <w:p w14:paraId="0A5EFE78" w14:textId="1E6AD5EE"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0,1%</w:t>
                  </w:r>
                </w:p>
              </w:tc>
            </w:tr>
            <w:tr w:rsidR="009D74A3" w:rsidRPr="009D74A3" w14:paraId="102065E3" w14:textId="77777777" w:rsidTr="00740130">
              <w:trPr>
                <w:trHeight w:val="225"/>
                <w:jc w:val="center"/>
              </w:trPr>
              <w:tc>
                <w:tcPr>
                  <w:tcW w:w="2211" w:type="dxa"/>
                  <w:tcBorders>
                    <w:top w:val="single" w:sz="6" w:space="0" w:color="8091A9"/>
                    <w:left w:val="single" w:sz="6" w:space="0" w:color="8091A9"/>
                    <w:bottom w:val="single" w:sz="6" w:space="0" w:color="8091A9"/>
                    <w:right w:val="single" w:sz="6" w:space="0" w:color="8091A9"/>
                  </w:tcBorders>
                  <w:vAlign w:val="center"/>
                  <w:hideMark/>
                </w:tcPr>
                <w:p w14:paraId="4B9541D9" w14:textId="039DD5CB"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Industrial</w:t>
                  </w:r>
                </w:p>
              </w:tc>
              <w:tc>
                <w:tcPr>
                  <w:tcW w:w="789" w:type="dxa"/>
                  <w:tcBorders>
                    <w:top w:val="single" w:sz="6" w:space="0" w:color="8091A9"/>
                    <w:left w:val="single" w:sz="6" w:space="0" w:color="8091A9"/>
                    <w:bottom w:val="single" w:sz="6" w:space="0" w:color="8091A9"/>
                    <w:right w:val="single" w:sz="6" w:space="0" w:color="8091A9"/>
                  </w:tcBorders>
                  <w:vAlign w:val="center"/>
                  <w:hideMark/>
                </w:tcPr>
                <w:p w14:paraId="380C032A" w14:textId="591F876A"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0</w:t>
                  </w:r>
                </w:p>
              </w:tc>
              <w:tc>
                <w:tcPr>
                  <w:tcW w:w="1320" w:type="dxa"/>
                  <w:tcBorders>
                    <w:top w:val="single" w:sz="6" w:space="0" w:color="8091A9"/>
                    <w:left w:val="single" w:sz="6" w:space="0" w:color="8091A9"/>
                    <w:bottom w:val="single" w:sz="6" w:space="0" w:color="8091A9"/>
                    <w:right w:val="single" w:sz="6" w:space="0" w:color="8091A9"/>
                  </w:tcBorders>
                  <w:vAlign w:val="center"/>
                  <w:hideMark/>
                </w:tcPr>
                <w:p w14:paraId="3FE23A39" w14:textId="299ACFF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$ 174.394</w:t>
                  </w:r>
                </w:p>
              </w:tc>
              <w:tc>
                <w:tcPr>
                  <w:tcW w:w="735" w:type="dxa"/>
                  <w:tcBorders>
                    <w:top w:val="single" w:sz="6" w:space="0" w:color="8091A9"/>
                    <w:left w:val="single" w:sz="6" w:space="0" w:color="8091A9"/>
                    <w:bottom w:val="single" w:sz="6" w:space="0" w:color="8091A9"/>
                    <w:right w:val="single" w:sz="6" w:space="0" w:color="8091A9"/>
                  </w:tcBorders>
                  <w:vAlign w:val="bottom"/>
                  <w:hideMark/>
                </w:tcPr>
                <w:p w14:paraId="64E07FFC" w14:textId="33290422"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3,5%</w:t>
                  </w:r>
                </w:p>
              </w:tc>
              <w:tc>
                <w:tcPr>
                  <w:tcW w:w="1185" w:type="dxa"/>
                  <w:tcBorders>
                    <w:top w:val="single" w:sz="6" w:space="0" w:color="8091A9"/>
                    <w:left w:val="single" w:sz="6" w:space="0" w:color="8091A9"/>
                    <w:bottom w:val="single" w:sz="6" w:space="0" w:color="8091A9"/>
                    <w:right w:val="single" w:sz="6" w:space="0" w:color="8091A9"/>
                  </w:tcBorders>
                  <w:vAlign w:val="center"/>
                  <w:hideMark/>
                </w:tcPr>
                <w:p w14:paraId="139ADA3D" w14:textId="4790582E"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12.233</w:t>
                  </w:r>
                </w:p>
              </w:tc>
              <w:tc>
                <w:tcPr>
                  <w:tcW w:w="885" w:type="dxa"/>
                  <w:tcBorders>
                    <w:top w:val="single" w:sz="6" w:space="0" w:color="8091A9"/>
                    <w:left w:val="single" w:sz="6" w:space="0" w:color="8091A9"/>
                    <w:bottom w:val="single" w:sz="6" w:space="0" w:color="8091A9"/>
                    <w:right w:val="single" w:sz="6" w:space="0" w:color="8091A9"/>
                  </w:tcBorders>
                  <w:vAlign w:val="center"/>
                  <w:hideMark/>
                </w:tcPr>
                <w:p w14:paraId="36B31B05" w14:textId="0793AFA9"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0,4%</w:t>
                  </w:r>
                </w:p>
              </w:tc>
            </w:tr>
            <w:tr w:rsidR="009D74A3" w:rsidRPr="009D74A3" w14:paraId="0FA09D09" w14:textId="77777777" w:rsidTr="00740130">
              <w:trPr>
                <w:trHeight w:val="285"/>
                <w:jc w:val="center"/>
              </w:trPr>
              <w:tc>
                <w:tcPr>
                  <w:tcW w:w="2211" w:type="dxa"/>
                  <w:tcBorders>
                    <w:top w:val="single" w:sz="6" w:space="0" w:color="8091A9"/>
                    <w:left w:val="single" w:sz="6" w:space="0" w:color="8091A9"/>
                    <w:bottom w:val="single" w:sz="6" w:space="0" w:color="8091A9"/>
                    <w:right w:val="single" w:sz="6" w:space="0" w:color="8091A9"/>
                  </w:tcBorders>
                  <w:vAlign w:val="center"/>
                  <w:hideMark/>
                </w:tcPr>
                <w:p w14:paraId="45F16B7D" w14:textId="47C69CCB"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Depósito y/ parqueadero</w:t>
                  </w:r>
                </w:p>
              </w:tc>
              <w:tc>
                <w:tcPr>
                  <w:tcW w:w="789" w:type="dxa"/>
                  <w:tcBorders>
                    <w:top w:val="single" w:sz="6" w:space="0" w:color="8091A9"/>
                    <w:left w:val="single" w:sz="6" w:space="0" w:color="8091A9"/>
                    <w:bottom w:val="single" w:sz="6" w:space="0" w:color="8091A9"/>
                    <w:right w:val="single" w:sz="6" w:space="0" w:color="8091A9"/>
                  </w:tcBorders>
                  <w:vAlign w:val="center"/>
                  <w:hideMark/>
                </w:tcPr>
                <w:p w14:paraId="59B572D3" w14:textId="2979ECA4"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0</w:t>
                  </w:r>
                </w:p>
              </w:tc>
              <w:tc>
                <w:tcPr>
                  <w:tcW w:w="1320" w:type="dxa"/>
                  <w:tcBorders>
                    <w:top w:val="single" w:sz="6" w:space="0" w:color="8091A9"/>
                    <w:left w:val="single" w:sz="6" w:space="0" w:color="8091A9"/>
                    <w:bottom w:val="single" w:sz="6" w:space="0" w:color="8091A9"/>
                    <w:right w:val="single" w:sz="6" w:space="0" w:color="8091A9"/>
                  </w:tcBorders>
                  <w:vAlign w:val="center"/>
                  <w:hideMark/>
                </w:tcPr>
                <w:p w14:paraId="2102EF62" w14:textId="457821B3"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$ 86.619</w:t>
                  </w:r>
                </w:p>
              </w:tc>
              <w:tc>
                <w:tcPr>
                  <w:tcW w:w="735" w:type="dxa"/>
                  <w:tcBorders>
                    <w:top w:val="single" w:sz="6" w:space="0" w:color="8091A9"/>
                    <w:left w:val="single" w:sz="6" w:space="0" w:color="8091A9"/>
                    <w:bottom w:val="single" w:sz="6" w:space="0" w:color="8091A9"/>
                    <w:right w:val="single" w:sz="6" w:space="0" w:color="8091A9"/>
                  </w:tcBorders>
                  <w:vAlign w:val="bottom"/>
                  <w:hideMark/>
                </w:tcPr>
                <w:p w14:paraId="08A63734" w14:textId="2CB1ACDD"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1,8%</w:t>
                  </w:r>
                </w:p>
              </w:tc>
              <w:tc>
                <w:tcPr>
                  <w:tcW w:w="1185" w:type="dxa"/>
                  <w:tcBorders>
                    <w:top w:val="single" w:sz="6" w:space="0" w:color="8091A9"/>
                    <w:left w:val="single" w:sz="6" w:space="0" w:color="8091A9"/>
                    <w:bottom w:val="single" w:sz="6" w:space="0" w:color="8091A9"/>
                    <w:right w:val="single" w:sz="6" w:space="0" w:color="8091A9"/>
                  </w:tcBorders>
                  <w:vAlign w:val="center"/>
                  <w:hideMark/>
                </w:tcPr>
                <w:p w14:paraId="6BA08CFF" w14:textId="37417626"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584.379</w:t>
                  </w:r>
                </w:p>
              </w:tc>
              <w:tc>
                <w:tcPr>
                  <w:tcW w:w="885" w:type="dxa"/>
                  <w:tcBorders>
                    <w:top w:val="single" w:sz="6" w:space="0" w:color="8091A9"/>
                    <w:left w:val="single" w:sz="6" w:space="0" w:color="8091A9"/>
                    <w:bottom w:val="single" w:sz="6" w:space="0" w:color="8091A9"/>
                    <w:right w:val="single" w:sz="6" w:space="0" w:color="8091A9"/>
                  </w:tcBorders>
                  <w:vAlign w:val="center"/>
                  <w:hideMark/>
                </w:tcPr>
                <w:p w14:paraId="094DFAF1" w14:textId="655E5DCE"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21,4%</w:t>
                  </w:r>
                </w:p>
              </w:tc>
            </w:tr>
            <w:tr w:rsidR="009D74A3" w:rsidRPr="009D74A3" w14:paraId="207A8870" w14:textId="77777777" w:rsidTr="00740130">
              <w:trPr>
                <w:trHeight w:val="120"/>
                <w:jc w:val="center"/>
              </w:trPr>
              <w:tc>
                <w:tcPr>
                  <w:tcW w:w="2211" w:type="dxa"/>
                  <w:tcBorders>
                    <w:top w:val="single" w:sz="6" w:space="0" w:color="8091A9"/>
                    <w:left w:val="single" w:sz="6" w:space="0" w:color="8091A9"/>
                    <w:bottom w:val="single" w:sz="6" w:space="0" w:color="8091A9"/>
                    <w:right w:val="single" w:sz="6" w:space="0" w:color="8091A9"/>
                  </w:tcBorders>
                  <w:vAlign w:val="center"/>
                  <w:hideMark/>
                </w:tcPr>
                <w:p w14:paraId="1FB51F90" w14:textId="7041850B"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Dotacional</w:t>
                  </w:r>
                </w:p>
              </w:tc>
              <w:tc>
                <w:tcPr>
                  <w:tcW w:w="789" w:type="dxa"/>
                  <w:tcBorders>
                    <w:top w:val="single" w:sz="6" w:space="0" w:color="8091A9"/>
                    <w:left w:val="single" w:sz="6" w:space="0" w:color="8091A9"/>
                    <w:bottom w:val="single" w:sz="6" w:space="0" w:color="8091A9"/>
                    <w:right w:val="single" w:sz="6" w:space="0" w:color="8091A9"/>
                  </w:tcBorders>
                  <w:vAlign w:val="center"/>
                  <w:hideMark/>
                </w:tcPr>
                <w:p w14:paraId="0288A11F" w14:textId="1C99F5B4"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0</w:t>
                  </w:r>
                </w:p>
              </w:tc>
              <w:tc>
                <w:tcPr>
                  <w:tcW w:w="1320" w:type="dxa"/>
                  <w:tcBorders>
                    <w:top w:val="single" w:sz="6" w:space="0" w:color="8091A9"/>
                    <w:left w:val="single" w:sz="6" w:space="0" w:color="8091A9"/>
                    <w:bottom w:val="single" w:sz="6" w:space="0" w:color="8091A9"/>
                    <w:right w:val="single" w:sz="6" w:space="0" w:color="8091A9"/>
                  </w:tcBorders>
                  <w:vAlign w:val="center"/>
                  <w:hideMark/>
                </w:tcPr>
                <w:p w14:paraId="4E99D284" w14:textId="5973B3DC"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$ 260.719</w:t>
                  </w:r>
                </w:p>
              </w:tc>
              <w:tc>
                <w:tcPr>
                  <w:tcW w:w="735" w:type="dxa"/>
                  <w:tcBorders>
                    <w:top w:val="single" w:sz="6" w:space="0" w:color="8091A9"/>
                    <w:left w:val="single" w:sz="6" w:space="0" w:color="8091A9"/>
                    <w:bottom w:val="single" w:sz="6" w:space="0" w:color="8091A9"/>
                    <w:right w:val="single" w:sz="6" w:space="0" w:color="8091A9"/>
                  </w:tcBorders>
                  <w:vAlign w:val="bottom"/>
                  <w:hideMark/>
                </w:tcPr>
                <w:p w14:paraId="7E2DEAE4" w14:textId="46C7E4F9"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5,3%</w:t>
                  </w:r>
                </w:p>
              </w:tc>
              <w:tc>
                <w:tcPr>
                  <w:tcW w:w="1185" w:type="dxa"/>
                  <w:tcBorders>
                    <w:top w:val="single" w:sz="6" w:space="0" w:color="8091A9"/>
                    <w:left w:val="single" w:sz="6" w:space="0" w:color="8091A9"/>
                    <w:bottom w:val="single" w:sz="6" w:space="0" w:color="8091A9"/>
                    <w:right w:val="single" w:sz="6" w:space="0" w:color="8091A9"/>
                  </w:tcBorders>
                  <w:vAlign w:val="center"/>
                  <w:hideMark/>
                </w:tcPr>
                <w:p w14:paraId="429934F9" w14:textId="7DA80D6E"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13.899</w:t>
                  </w:r>
                </w:p>
              </w:tc>
              <w:tc>
                <w:tcPr>
                  <w:tcW w:w="885" w:type="dxa"/>
                  <w:tcBorders>
                    <w:top w:val="single" w:sz="6" w:space="0" w:color="8091A9"/>
                    <w:left w:val="single" w:sz="6" w:space="0" w:color="8091A9"/>
                    <w:bottom w:val="single" w:sz="6" w:space="0" w:color="8091A9"/>
                    <w:right w:val="single" w:sz="6" w:space="0" w:color="8091A9"/>
                  </w:tcBorders>
                  <w:vAlign w:val="center"/>
                  <w:hideMark/>
                </w:tcPr>
                <w:p w14:paraId="0A920FF3" w14:textId="33182129"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0,5%</w:t>
                  </w:r>
                </w:p>
              </w:tc>
            </w:tr>
            <w:tr w:rsidR="009D74A3" w:rsidRPr="009D74A3" w14:paraId="145DA1ED" w14:textId="77777777" w:rsidTr="00740130">
              <w:trPr>
                <w:trHeight w:val="255"/>
                <w:jc w:val="center"/>
              </w:trPr>
              <w:tc>
                <w:tcPr>
                  <w:tcW w:w="2211" w:type="dxa"/>
                  <w:tcBorders>
                    <w:top w:val="single" w:sz="6" w:space="0" w:color="8091A9"/>
                    <w:left w:val="single" w:sz="6" w:space="0" w:color="8091A9"/>
                    <w:bottom w:val="single" w:sz="6" w:space="0" w:color="8091A9"/>
                    <w:right w:val="single" w:sz="6" w:space="0" w:color="8091A9"/>
                  </w:tcBorders>
                  <w:vAlign w:val="center"/>
                  <w:hideMark/>
                </w:tcPr>
                <w:p w14:paraId="17D0FC25" w14:textId="3FBCE076"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Lote</w:t>
                  </w:r>
                </w:p>
              </w:tc>
              <w:tc>
                <w:tcPr>
                  <w:tcW w:w="789" w:type="dxa"/>
                  <w:tcBorders>
                    <w:top w:val="single" w:sz="6" w:space="0" w:color="8091A9"/>
                    <w:left w:val="single" w:sz="6" w:space="0" w:color="8091A9"/>
                    <w:bottom w:val="single" w:sz="6" w:space="0" w:color="8091A9"/>
                    <w:right w:val="single" w:sz="6" w:space="0" w:color="8091A9"/>
                  </w:tcBorders>
                  <w:vAlign w:val="center"/>
                  <w:hideMark/>
                </w:tcPr>
                <w:p w14:paraId="4765C78C" w14:textId="4BFBDC0B"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0</w:t>
                  </w:r>
                </w:p>
              </w:tc>
              <w:tc>
                <w:tcPr>
                  <w:tcW w:w="1320" w:type="dxa"/>
                  <w:tcBorders>
                    <w:top w:val="single" w:sz="6" w:space="0" w:color="8091A9"/>
                    <w:left w:val="single" w:sz="6" w:space="0" w:color="8091A9"/>
                    <w:bottom w:val="single" w:sz="6" w:space="0" w:color="8091A9"/>
                    <w:right w:val="single" w:sz="6" w:space="0" w:color="8091A9"/>
                  </w:tcBorders>
                  <w:vAlign w:val="center"/>
                  <w:hideMark/>
                </w:tcPr>
                <w:p w14:paraId="26A510DD" w14:textId="18356F49"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$ 264.411</w:t>
                  </w:r>
                </w:p>
              </w:tc>
              <w:tc>
                <w:tcPr>
                  <w:tcW w:w="735" w:type="dxa"/>
                  <w:tcBorders>
                    <w:top w:val="single" w:sz="6" w:space="0" w:color="8091A9"/>
                    <w:left w:val="single" w:sz="6" w:space="0" w:color="8091A9"/>
                    <w:bottom w:val="single" w:sz="6" w:space="0" w:color="8091A9"/>
                    <w:right w:val="single" w:sz="6" w:space="0" w:color="8091A9"/>
                  </w:tcBorders>
                  <w:vAlign w:val="bottom"/>
                  <w:hideMark/>
                </w:tcPr>
                <w:p w14:paraId="2584C14F" w14:textId="54FAFC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5,4%</w:t>
                  </w:r>
                </w:p>
              </w:tc>
              <w:tc>
                <w:tcPr>
                  <w:tcW w:w="1185" w:type="dxa"/>
                  <w:tcBorders>
                    <w:top w:val="single" w:sz="6" w:space="0" w:color="8091A9"/>
                    <w:left w:val="single" w:sz="6" w:space="0" w:color="8091A9"/>
                    <w:bottom w:val="single" w:sz="6" w:space="0" w:color="8091A9"/>
                    <w:right w:val="single" w:sz="6" w:space="0" w:color="8091A9"/>
                  </w:tcBorders>
                  <w:vAlign w:val="center"/>
                  <w:hideMark/>
                </w:tcPr>
                <w:p w14:paraId="70F8B110" w14:textId="3BB43CDE"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16.154</w:t>
                  </w:r>
                </w:p>
              </w:tc>
              <w:tc>
                <w:tcPr>
                  <w:tcW w:w="885" w:type="dxa"/>
                  <w:tcBorders>
                    <w:top w:val="single" w:sz="6" w:space="0" w:color="8091A9"/>
                    <w:left w:val="single" w:sz="6" w:space="0" w:color="8091A9"/>
                    <w:bottom w:val="single" w:sz="6" w:space="0" w:color="8091A9"/>
                    <w:right w:val="single" w:sz="6" w:space="0" w:color="8091A9"/>
                  </w:tcBorders>
                  <w:vAlign w:val="center"/>
                  <w:hideMark/>
                </w:tcPr>
                <w:p w14:paraId="0FADA9F4" w14:textId="0C8FF01C"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0,6%</w:t>
                  </w:r>
                </w:p>
              </w:tc>
            </w:tr>
            <w:tr w:rsidR="009D74A3" w:rsidRPr="009D74A3" w14:paraId="1237C003" w14:textId="77777777" w:rsidTr="00740130">
              <w:trPr>
                <w:trHeight w:val="270"/>
                <w:jc w:val="center"/>
              </w:trPr>
              <w:tc>
                <w:tcPr>
                  <w:tcW w:w="2211" w:type="dxa"/>
                  <w:tcBorders>
                    <w:top w:val="single" w:sz="6" w:space="0" w:color="8091A9"/>
                    <w:left w:val="single" w:sz="6" w:space="0" w:color="8091A9"/>
                    <w:bottom w:val="single" w:sz="6" w:space="0" w:color="8091A9"/>
                    <w:right w:val="single" w:sz="6" w:space="0" w:color="8091A9"/>
                  </w:tcBorders>
                  <w:vAlign w:val="center"/>
                  <w:hideMark/>
                </w:tcPr>
                <w:p w14:paraId="6719C1FC" w14:textId="08FB2563"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Pequeña propiedad agropecuaria</w:t>
                  </w:r>
                </w:p>
              </w:tc>
              <w:tc>
                <w:tcPr>
                  <w:tcW w:w="789" w:type="dxa"/>
                  <w:tcBorders>
                    <w:top w:val="single" w:sz="6" w:space="0" w:color="8091A9"/>
                    <w:left w:val="single" w:sz="6" w:space="0" w:color="8091A9"/>
                    <w:bottom w:val="single" w:sz="6" w:space="0" w:color="8091A9"/>
                    <w:right w:val="single" w:sz="6" w:space="0" w:color="8091A9"/>
                  </w:tcBorders>
                  <w:vAlign w:val="center"/>
                  <w:hideMark/>
                </w:tcPr>
                <w:p w14:paraId="6233C5EC" w14:textId="25D5F7D2"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0</w:t>
                  </w:r>
                </w:p>
              </w:tc>
              <w:tc>
                <w:tcPr>
                  <w:tcW w:w="1320" w:type="dxa"/>
                  <w:tcBorders>
                    <w:top w:val="single" w:sz="6" w:space="0" w:color="8091A9"/>
                    <w:left w:val="single" w:sz="6" w:space="0" w:color="8091A9"/>
                    <w:bottom w:val="single" w:sz="6" w:space="0" w:color="8091A9"/>
                    <w:right w:val="single" w:sz="6" w:space="0" w:color="8091A9"/>
                  </w:tcBorders>
                  <w:vAlign w:val="center"/>
                  <w:hideMark/>
                </w:tcPr>
                <w:p w14:paraId="773CE5B8" w14:textId="1C90F740"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$ 2.094</w:t>
                  </w:r>
                </w:p>
              </w:tc>
              <w:tc>
                <w:tcPr>
                  <w:tcW w:w="735" w:type="dxa"/>
                  <w:tcBorders>
                    <w:top w:val="single" w:sz="6" w:space="0" w:color="8091A9"/>
                    <w:left w:val="single" w:sz="6" w:space="0" w:color="8091A9"/>
                    <w:bottom w:val="single" w:sz="6" w:space="0" w:color="8091A9"/>
                    <w:right w:val="single" w:sz="6" w:space="0" w:color="8091A9"/>
                  </w:tcBorders>
                  <w:vAlign w:val="bottom"/>
                  <w:hideMark/>
                </w:tcPr>
                <w:p w14:paraId="7645AEC3" w14:textId="006A226D"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0,0%</w:t>
                  </w:r>
                </w:p>
              </w:tc>
              <w:tc>
                <w:tcPr>
                  <w:tcW w:w="1185" w:type="dxa"/>
                  <w:tcBorders>
                    <w:top w:val="single" w:sz="6" w:space="0" w:color="8091A9"/>
                    <w:left w:val="single" w:sz="6" w:space="0" w:color="8091A9"/>
                    <w:bottom w:val="single" w:sz="6" w:space="0" w:color="8091A9"/>
                    <w:right w:val="single" w:sz="6" w:space="0" w:color="8091A9"/>
                  </w:tcBorders>
                  <w:vAlign w:val="center"/>
                  <w:hideMark/>
                </w:tcPr>
                <w:p w14:paraId="6A4E76D5" w14:textId="02B770B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3.293</w:t>
                  </w:r>
                </w:p>
              </w:tc>
              <w:tc>
                <w:tcPr>
                  <w:tcW w:w="885" w:type="dxa"/>
                  <w:tcBorders>
                    <w:top w:val="single" w:sz="6" w:space="0" w:color="8091A9"/>
                    <w:left w:val="single" w:sz="6" w:space="0" w:color="8091A9"/>
                    <w:bottom w:val="single" w:sz="6" w:space="0" w:color="8091A9"/>
                    <w:right w:val="single" w:sz="6" w:space="0" w:color="8091A9"/>
                  </w:tcBorders>
                  <w:vAlign w:val="center"/>
                  <w:hideMark/>
                </w:tcPr>
                <w:p w14:paraId="5F31BD4B" w14:textId="526BCA0A"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0,1%</w:t>
                  </w:r>
                </w:p>
              </w:tc>
            </w:tr>
            <w:tr w:rsidR="009D74A3" w:rsidRPr="009D74A3" w14:paraId="52BA0C49" w14:textId="77777777" w:rsidTr="00740130">
              <w:trPr>
                <w:trHeight w:val="240"/>
                <w:jc w:val="center"/>
              </w:trPr>
              <w:tc>
                <w:tcPr>
                  <w:tcW w:w="2211" w:type="dxa"/>
                  <w:tcBorders>
                    <w:top w:val="single" w:sz="6" w:space="0" w:color="8091A9"/>
                    <w:left w:val="single" w:sz="6" w:space="0" w:color="8091A9"/>
                    <w:bottom w:val="single" w:sz="6" w:space="0" w:color="8091A9"/>
                    <w:right w:val="single" w:sz="6" w:space="0" w:color="8091A9"/>
                  </w:tcBorders>
                  <w:vAlign w:val="center"/>
                  <w:hideMark/>
                </w:tcPr>
                <w:p w14:paraId="7FCDFDCA" w14:textId="0C32B165"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No urbanizable</w:t>
                  </w:r>
                </w:p>
              </w:tc>
              <w:tc>
                <w:tcPr>
                  <w:tcW w:w="789" w:type="dxa"/>
                  <w:tcBorders>
                    <w:top w:val="single" w:sz="6" w:space="0" w:color="8091A9"/>
                    <w:left w:val="single" w:sz="6" w:space="0" w:color="8091A9"/>
                    <w:bottom w:val="single" w:sz="6" w:space="0" w:color="8091A9"/>
                    <w:right w:val="single" w:sz="6" w:space="0" w:color="8091A9"/>
                  </w:tcBorders>
                  <w:vAlign w:val="center"/>
                  <w:hideMark/>
                </w:tcPr>
                <w:p w14:paraId="1C8E3242" w14:textId="0FCC2D10"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0</w:t>
                  </w:r>
                </w:p>
              </w:tc>
              <w:tc>
                <w:tcPr>
                  <w:tcW w:w="1320" w:type="dxa"/>
                  <w:tcBorders>
                    <w:top w:val="single" w:sz="6" w:space="0" w:color="8091A9"/>
                    <w:left w:val="single" w:sz="6" w:space="0" w:color="8091A9"/>
                    <w:bottom w:val="single" w:sz="6" w:space="0" w:color="8091A9"/>
                    <w:right w:val="single" w:sz="6" w:space="0" w:color="8091A9"/>
                  </w:tcBorders>
                  <w:vAlign w:val="center"/>
                  <w:hideMark/>
                </w:tcPr>
                <w:p w14:paraId="162ADBD4" w14:textId="26E96939"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$ 3.815</w:t>
                  </w:r>
                </w:p>
              </w:tc>
              <w:tc>
                <w:tcPr>
                  <w:tcW w:w="735" w:type="dxa"/>
                  <w:tcBorders>
                    <w:top w:val="single" w:sz="6" w:space="0" w:color="8091A9"/>
                    <w:left w:val="single" w:sz="6" w:space="0" w:color="8091A9"/>
                    <w:bottom w:val="single" w:sz="6" w:space="0" w:color="8091A9"/>
                    <w:right w:val="single" w:sz="6" w:space="0" w:color="8091A9"/>
                  </w:tcBorders>
                  <w:vAlign w:val="bottom"/>
                  <w:hideMark/>
                </w:tcPr>
                <w:p w14:paraId="0540234B" w14:textId="63768234"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0,1%</w:t>
                  </w:r>
                </w:p>
              </w:tc>
              <w:tc>
                <w:tcPr>
                  <w:tcW w:w="1185" w:type="dxa"/>
                  <w:tcBorders>
                    <w:top w:val="single" w:sz="6" w:space="0" w:color="8091A9"/>
                    <w:left w:val="single" w:sz="6" w:space="0" w:color="8091A9"/>
                    <w:bottom w:val="single" w:sz="6" w:space="0" w:color="8091A9"/>
                    <w:right w:val="single" w:sz="6" w:space="0" w:color="8091A9"/>
                  </w:tcBorders>
                  <w:vAlign w:val="center"/>
                  <w:hideMark/>
                </w:tcPr>
                <w:p w14:paraId="0896AE78" w14:textId="546DDE34"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10.918</w:t>
                  </w:r>
                </w:p>
              </w:tc>
              <w:tc>
                <w:tcPr>
                  <w:tcW w:w="885" w:type="dxa"/>
                  <w:tcBorders>
                    <w:top w:val="single" w:sz="6" w:space="0" w:color="8091A9"/>
                    <w:left w:val="single" w:sz="6" w:space="0" w:color="8091A9"/>
                    <w:bottom w:val="single" w:sz="6" w:space="0" w:color="8091A9"/>
                    <w:right w:val="single" w:sz="6" w:space="0" w:color="8091A9"/>
                  </w:tcBorders>
                  <w:vAlign w:val="center"/>
                  <w:hideMark/>
                </w:tcPr>
                <w:p w14:paraId="17AFEA3E" w14:textId="15F25E83"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0,4%</w:t>
                  </w:r>
                </w:p>
              </w:tc>
            </w:tr>
            <w:tr w:rsidR="009D74A3" w:rsidRPr="009D74A3" w14:paraId="1F3CF4DF" w14:textId="77777777" w:rsidTr="00740130">
              <w:trPr>
                <w:trHeight w:val="240"/>
                <w:jc w:val="center"/>
              </w:trPr>
              <w:tc>
                <w:tcPr>
                  <w:tcW w:w="2211" w:type="dxa"/>
                  <w:tcBorders>
                    <w:top w:val="single" w:sz="6" w:space="0" w:color="8091A9"/>
                    <w:left w:val="single" w:sz="6" w:space="0" w:color="8091A9"/>
                    <w:bottom w:val="single" w:sz="6" w:space="0" w:color="8091A9"/>
                    <w:right w:val="single" w:sz="6" w:space="0" w:color="8091A9"/>
                  </w:tcBorders>
                  <w:vAlign w:val="center"/>
                  <w:hideMark/>
                </w:tcPr>
                <w:p w14:paraId="46763C76" w14:textId="0E209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Rural</w:t>
                  </w:r>
                </w:p>
              </w:tc>
              <w:tc>
                <w:tcPr>
                  <w:tcW w:w="789" w:type="dxa"/>
                  <w:tcBorders>
                    <w:top w:val="single" w:sz="6" w:space="0" w:color="8091A9"/>
                    <w:left w:val="single" w:sz="6" w:space="0" w:color="8091A9"/>
                    <w:bottom w:val="single" w:sz="6" w:space="0" w:color="8091A9"/>
                    <w:right w:val="single" w:sz="6" w:space="0" w:color="8091A9"/>
                  </w:tcBorders>
                  <w:vAlign w:val="center"/>
                  <w:hideMark/>
                </w:tcPr>
                <w:p w14:paraId="40FA62F1" w14:textId="135F7BD6"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0</w:t>
                  </w:r>
                </w:p>
              </w:tc>
              <w:tc>
                <w:tcPr>
                  <w:tcW w:w="1320" w:type="dxa"/>
                  <w:tcBorders>
                    <w:top w:val="single" w:sz="6" w:space="0" w:color="8091A9"/>
                    <w:left w:val="single" w:sz="6" w:space="0" w:color="8091A9"/>
                    <w:bottom w:val="single" w:sz="6" w:space="0" w:color="8091A9"/>
                    <w:right w:val="single" w:sz="6" w:space="0" w:color="8091A9"/>
                  </w:tcBorders>
                  <w:vAlign w:val="center"/>
                  <w:hideMark/>
                </w:tcPr>
                <w:p w14:paraId="60B29CDA" w14:textId="511E7EC8"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$ 5.182</w:t>
                  </w:r>
                </w:p>
              </w:tc>
              <w:tc>
                <w:tcPr>
                  <w:tcW w:w="735" w:type="dxa"/>
                  <w:tcBorders>
                    <w:top w:val="single" w:sz="6" w:space="0" w:color="8091A9"/>
                    <w:left w:val="single" w:sz="6" w:space="0" w:color="8091A9"/>
                    <w:bottom w:val="single" w:sz="6" w:space="0" w:color="8091A9"/>
                    <w:right w:val="single" w:sz="6" w:space="0" w:color="8091A9"/>
                  </w:tcBorders>
                  <w:vAlign w:val="bottom"/>
                  <w:hideMark/>
                </w:tcPr>
                <w:p w14:paraId="3F384737" w14:textId="19F2A7C9"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0,1%</w:t>
                  </w:r>
                </w:p>
              </w:tc>
              <w:tc>
                <w:tcPr>
                  <w:tcW w:w="1185" w:type="dxa"/>
                  <w:tcBorders>
                    <w:top w:val="single" w:sz="6" w:space="0" w:color="8091A9"/>
                    <w:left w:val="single" w:sz="6" w:space="0" w:color="8091A9"/>
                    <w:bottom w:val="single" w:sz="6" w:space="0" w:color="8091A9"/>
                    <w:right w:val="single" w:sz="6" w:space="0" w:color="8091A9"/>
                  </w:tcBorders>
                  <w:vAlign w:val="center"/>
                  <w:hideMark/>
                </w:tcPr>
                <w:p w14:paraId="6D10D1A9" w14:textId="0D1B776E"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7.870</w:t>
                  </w:r>
                </w:p>
              </w:tc>
              <w:tc>
                <w:tcPr>
                  <w:tcW w:w="885" w:type="dxa"/>
                  <w:tcBorders>
                    <w:top w:val="single" w:sz="6" w:space="0" w:color="8091A9"/>
                    <w:left w:val="single" w:sz="6" w:space="0" w:color="8091A9"/>
                    <w:bottom w:val="single" w:sz="6" w:space="0" w:color="8091A9"/>
                    <w:right w:val="single" w:sz="6" w:space="0" w:color="8091A9"/>
                  </w:tcBorders>
                  <w:vAlign w:val="center"/>
                  <w:hideMark/>
                </w:tcPr>
                <w:p w14:paraId="39482194" w14:textId="71C16D48"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0,3%</w:t>
                  </w:r>
                </w:p>
              </w:tc>
            </w:tr>
            <w:tr w:rsidR="009D74A3" w:rsidRPr="009D74A3" w14:paraId="212A4C13" w14:textId="77777777" w:rsidTr="00740130">
              <w:trPr>
                <w:trHeight w:val="240"/>
                <w:jc w:val="center"/>
              </w:trPr>
              <w:tc>
                <w:tcPr>
                  <w:tcW w:w="2211" w:type="dxa"/>
                  <w:tcBorders>
                    <w:top w:val="single" w:sz="6" w:space="0" w:color="8091A9"/>
                    <w:left w:val="single" w:sz="6" w:space="0" w:color="8091A9"/>
                    <w:bottom w:val="single" w:sz="6" w:space="0" w:color="8091A9"/>
                    <w:right w:val="single" w:sz="6" w:space="0" w:color="8091A9"/>
                  </w:tcBorders>
                  <w:vAlign w:val="center"/>
                  <w:hideMark/>
                </w:tcPr>
                <w:p w14:paraId="008ADB25" w14:textId="248A5772"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Sistema de Áreas protegidas</w:t>
                  </w:r>
                </w:p>
              </w:tc>
              <w:tc>
                <w:tcPr>
                  <w:tcW w:w="789" w:type="dxa"/>
                  <w:tcBorders>
                    <w:top w:val="single" w:sz="6" w:space="0" w:color="8091A9"/>
                    <w:left w:val="single" w:sz="6" w:space="0" w:color="8091A9"/>
                    <w:bottom w:val="single" w:sz="6" w:space="0" w:color="8091A9"/>
                    <w:right w:val="single" w:sz="6" w:space="0" w:color="8091A9"/>
                  </w:tcBorders>
                  <w:vAlign w:val="center"/>
                  <w:hideMark/>
                </w:tcPr>
                <w:p w14:paraId="6A05BC88" w14:textId="6A4986A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0</w:t>
                  </w:r>
                </w:p>
              </w:tc>
              <w:tc>
                <w:tcPr>
                  <w:tcW w:w="1320" w:type="dxa"/>
                  <w:tcBorders>
                    <w:top w:val="single" w:sz="6" w:space="0" w:color="8091A9"/>
                    <w:left w:val="single" w:sz="6" w:space="0" w:color="8091A9"/>
                    <w:bottom w:val="single" w:sz="6" w:space="0" w:color="8091A9"/>
                    <w:right w:val="single" w:sz="6" w:space="0" w:color="8091A9"/>
                  </w:tcBorders>
                  <w:vAlign w:val="center"/>
                  <w:hideMark/>
                </w:tcPr>
                <w:p w14:paraId="791EA00B" w14:textId="21BFB77F"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$ 1.073</w:t>
                  </w:r>
                </w:p>
              </w:tc>
              <w:tc>
                <w:tcPr>
                  <w:tcW w:w="735" w:type="dxa"/>
                  <w:tcBorders>
                    <w:top w:val="single" w:sz="6" w:space="0" w:color="8091A9"/>
                    <w:left w:val="single" w:sz="6" w:space="0" w:color="8091A9"/>
                    <w:bottom w:val="single" w:sz="6" w:space="0" w:color="8091A9"/>
                    <w:right w:val="single" w:sz="6" w:space="0" w:color="8091A9"/>
                  </w:tcBorders>
                  <w:vAlign w:val="bottom"/>
                  <w:hideMark/>
                </w:tcPr>
                <w:p w14:paraId="26EECE38" w14:textId="52EF3C28"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0,0%</w:t>
                  </w:r>
                </w:p>
              </w:tc>
              <w:tc>
                <w:tcPr>
                  <w:tcW w:w="1185" w:type="dxa"/>
                  <w:tcBorders>
                    <w:top w:val="single" w:sz="6" w:space="0" w:color="8091A9"/>
                    <w:left w:val="single" w:sz="6" w:space="0" w:color="8091A9"/>
                    <w:bottom w:val="single" w:sz="6" w:space="0" w:color="8091A9"/>
                    <w:right w:val="single" w:sz="6" w:space="0" w:color="8091A9"/>
                  </w:tcBorders>
                  <w:vAlign w:val="center"/>
                  <w:hideMark/>
                </w:tcPr>
                <w:p w14:paraId="3269F683" w14:textId="3EE3AD23"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305</w:t>
                  </w:r>
                </w:p>
              </w:tc>
              <w:tc>
                <w:tcPr>
                  <w:tcW w:w="885" w:type="dxa"/>
                  <w:tcBorders>
                    <w:top w:val="single" w:sz="6" w:space="0" w:color="8091A9"/>
                    <w:left w:val="single" w:sz="6" w:space="0" w:color="8091A9"/>
                    <w:bottom w:val="single" w:sz="6" w:space="0" w:color="8091A9"/>
                    <w:right w:val="single" w:sz="6" w:space="0" w:color="8091A9"/>
                  </w:tcBorders>
                  <w:vAlign w:val="center"/>
                  <w:hideMark/>
                </w:tcPr>
                <w:p w14:paraId="2622D3F6" w14:textId="3F75F30E"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0,0%</w:t>
                  </w:r>
                </w:p>
              </w:tc>
            </w:tr>
            <w:tr w:rsidR="009D74A3" w:rsidRPr="009D74A3" w14:paraId="4ECBA2BB" w14:textId="77777777" w:rsidTr="00740130">
              <w:trPr>
                <w:trHeight w:val="225"/>
                <w:jc w:val="center"/>
              </w:trPr>
              <w:tc>
                <w:tcPr>
                  <w:tcW w:w="2211" w:type="dxa"/>
                  <w:tcBorders>
                    <w:top w:val="single" w:sz="6" w:space="0" w:color="8091A9"/>
                    <w:left w:val="single" w:sz="6" w:space="0" w:color="8091A9"/>
                    <w:bottom w:val="single" w:sz="6" w:space="0" w:color="8091A9"/>
                    <w:right w:val="single" w:sz="6" w:space="0" w:color="8091A9"/>
                  </w:tcBorders>
                  <w:vAlign w:val="center"/>
                  <w:hideMark/>
                </w:tcPr>
                <w:p w14:paraId="6EB54838" w14:textId="2AFA23AC"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Sin clasificar</w:t>
                  </w:r>
                </w:p>
              </w:tc>
              <w:tc>
                <w:tcPr>
                  <w:tcW w:w="789" w:type="dxa"/>
                  <w:tcBorders>
                    <w:top w:val="single" w:sz="6" w:space="0" w:color="8091A9"/>
                    <w:left w:val="single" w:sz="6" w:space="0" w:color="8091A9"/>
                    <w:bottom w:val="single" w:sz="6" w:space="0" w:color="8091A9"/>
                    <w:right w:val="single" w:sz="6" w:space="0" w:color="8091A9"/>
                  </w:tcBorders>
                  <w:vAlign w:val="center"/>
                  <w:hideMark/>
                </w:tcPr>
                <w:p w14:paraId="3BA08BF2" w14:textId="5937512E"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sz w:val="16"/>
                      <w:szCs w:val="16"/>
                    </w:rPr>
                    <w:t>0</w:t>
                  </w:r>
                </w:p>
              </w:tc>
              <w:tc>
                <w:tcPr>
                  <w:tcW w:w="1320" w:type="dxa"/>
                  <w:tcBorders>
                    <w:top w:val="single" w:sz="6" w:space="0" w:color="8091A9"/>
                    <w:left w:val="single" w:sz="6" w:space="0" w:color="8091A9"/>
                    <w:bottom w:val="single" w:sz="6" w:space="0" w:color="8091A9"/>
                    <w:right w:val="single" w:sz="6" w:space="0" w:color="8091A9"/>
                  </w:tcBorders>
                  <w:vAlign w:val="center"/>
                  <w:hideMark/>
                </w:tcPr>
                <w:p w14:paraId="1925A9A5" w14:textId="3A32276E"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$ 3</w:t>
                  </w:r>
                </w:p>
              </w:tc>
              <w:tc>
                <w:tcPr>
                  <w:tcW w:w="735" w:type="dxa"/>
                  <w:tcBorders>
                    <w:top w:val="single" w:sz="6" w:space="0" w:color="8091A9"/>
                    <w:left w:val="single" w:sz="6" w:space="0" w:color="8091A9"/>
                    <w:bottom w:val="single" w:sz="6" w:space="0" w:color="8091A9"/>
                    <w:right w:val="single" w:sz="6" w:space="0" w:color="8091A9"/>
                  </w:tcBorders>
                  <w:vAlign w:val="bottom"/>
                  <w:hideMark/>
                </w:tcPr>
                <w:p w14:paraId="54E9D38A" w14:textId="311F7902"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0,0%</w:t>
                  </w:r>
                </w:p>
              </w:tc>
              <w:tc>
                <w:tcPr>
                  <w:tcW w:w="1185" w:type="dxa"/>
                  <w:tcBorders>
                    <w:top w:val="single" w:sz="6" w:space="0" w:color="8091A9"/>
                    <w:left w:val="single" w:sz="6" w:space="0" w:color="8091A9"/>
                    <w:bottom w:val="single" w:sz="6" w:space="0" w:color="8091A9"/>
                    <w:right w:val="single" w:sz="6" w:space="0" w:color="8091A9"/>
                  </w:tcBorders>
                  <w:vAlign w:val="center"/>
                  <w:hideMark/>
                </w:tcPr>
                <w:p w14:paraId="2965429B" w14:textId="1F721799"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27</w:t>
                  </w:r>
                </w:p>
              </w:tc>
              <w:tc>
                <w:tcPr>
                  <w:tcW w:w="885" w:type="dxa"/>
                  <w:tcBorders>
                    <w:top w:val="single" w:sz="6" w:space="0" w:color="8091A9"/>
                    <w:left w:val="single" w:sz="6" w:space="0" w:color="8091A9"/>
                    <w:bottom w:val="single" w:sz="6" w:space="0" w:color="8091A9"/>
                    <w:right w:val="single" w:sz="6" w:space="0" w:color="8091A9"/>
                  </w:tcBorders>
                  <w:vAlign w:val="center"/>
                  <w:hideMark/>
                </w:tcPr>
                <w:p w14:paraId="2CB8F63F" w14:textId="77000233"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0,0%</w:t>
                  </w:r>
                </w:p>
              </w:tc>
            </w:tr>
            <w:tr w:rsidR="009D74A3" w:rsidRPr="009D74A3" w14:paraId="6271382F" w14:textId="77777777" w:rsidTr="00740130">
              <w:trPr>
                <w:trHeight w:val="240"/>
                <w:jc w:val="center"/>
              </w:trPr>
              <w:tc>
                <w:tcPr>
                  <w:tcW w:w="2211" w:type="dxa"/>
                  <w:tcBorders>
                    <w:top w:val="single" w:sz="6" w:space="0" w:color="8091A9"/>
                    <w:left w:val="single" w:sz="6" w:space="0" w:color="8091A9"/>
                    <w:bottom w:val="single" w:sz="6" w:space="0" w:color="8091A9"/>
                    <w:right w:val="single" w:sz="6" w:space="0" w:color="8091A9"/>
                  </w:tcBorders>
                  <w:shd w:val="clear" w:color="auto" w:fill="002060"/>
                  <w:vAlign w:val="center"/>
                  <w:hideMark/>
                </w:tcPr>
                <w:p w14:paraId="752EC396" w14:textId="56615284"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b/>
                      <w:bCs/>
                      <w:color w:val="FFFFFF"/>
                      <w:sz w:val="16"/>
                      <w:szCs w:val="16"/>
                    </w:rPr>
                    <w:t>Total</w:t>
                  </w:r>
                </w:p>
              </w:tc>
              <w:tc>
                <w:tcPr>
                  <w:tcW w:w="789" w:type="dxa"/>
                  <w:tcBorders>
                    <w:top w:val="single" w:sz="6" w:space="0" w:color="8091A9"/>
                    <w:left w:val="single" w:sz="6" w:space="0" w:color="8091A9"/>
                    <w:bottom w:val="single" w:sz="6" w:space="0" w:color="8091A9"/>
                    <w:right w:val="single" w:sz="6" w:space="0" w:color="8091A9"/>
                  </w:tcBorders>
                  <w:shd w:val="clear" w:color="auto" w:fill="002060"/>
                  <w:vAlign w:val="center"/>
                  <w:hideMark/>
                </w:tcPr>
                <w:p w14:paraId="1E1241AA" w14:textId="6EA772AF" w:rsidR="009D74A3" w:rsidRPr="009D74A3" w:rsidRDefault="009D74A3" w:rsidP="009D74A3">
                  <w:pPr>
                    <w:pStyle w:val="paragraph"/>
                    <w:spacing w:before="0" w:beforeAutospacing="0" w:after="0" w:afterAutospacing="0"/>
                    <w:jc w:val="center"/>
                    <w:textAlignment w:val="baseline"/>
                    <w:rPr>
                      <w:sz w:val="16"/>
                      <w:szCs w:val="16"/>
                    </w:rPr>
                  </w:pPr>
                </w:p>
              </w:tc>
              <w:tc>
                <w:tcPr>
                  <w:tcW w:w="1320" w:type="dxa"/>
                  <w:tcBorders>
                    <w:top w:val="single" w:sz="6" w:space="0" w:color="8091A9"/>
                    <w:left w:val="single" w:sz="6" w:space="0" w:color="8091A9"/>
                    <w:bottom w:val="single" w:sz="6" w:space="0" w:color="8091A9"/>
                    <w:right w:val="single" w:sz="6" w:space="0" w:color="8091A9"/>
                  </w:tcBorders>
                  <w:shd w:val="clear" w:color="auto" w:fill="002060"/>
                  <w:vAlign w:val="center"/>
                  <w:hideMark/>
                </w:tcPr>
                <w:p w14:paraId="3D6DC716" w14:textId="28E79086"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b/>
                      <w:bCs/>
                      <w:color w:val="FFFFFF"/>
                      <w:sz w:val="16"/>
                      <w:szCs w:val="16"/>
                    </w:rPr>
                    <w:t>$ 4.942.201</w:t>
                  </w:r>
                </w:p>
              </w:tc>
              <w:tc>
                <w:tcPr>
                  <w:tcW w:w="735" w:type="dxa"/>
                  <w:tcBorders>
                    <w:top w:val="single" w:sz="6" w:space="0" w:color="8091A9"/>
                    <w:left w:val="single" w:sz="6" w:space="0" w:color="8091A9"/>
                    <w:bottom w:val="single" w:sz="6" w:space="0" w:color="8091A9"/>
                    <w:right w:val="single" w:sz="6" w:space="0" w:color="8091A9"/>
                  </w:tcBorders>
                  <w:shd w:val="clear" w:color="auto" w:fill="002060"/>
                  <w:vAlign w:val="bottom"/>
                  <w:hideMark/>
                </w:tcPr>
                <w:p w14:paraId="377B76E7" w14:textId="56A01C5A"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b/>
                      <w:bCs/>
                      <w:color w:val="FFFFFF"/>
                      <w:sz w:val="16"/>
                      <w:szCs w:val="16"/>
                    </w:rPr>
                    <w:t>100,0%</w:t>
                  </w:r>
                </w:p>
              </w:tc>
              <w:tc>
                <w:tcPr>
                  <w:tcW w:w="1185" w:type="dxa"/>
                  <w:tcBorders>
                    <w:top w:val="single" w:sz="6" w:space="0" w:color="8091A9"/>
                    <w:left w:val="single" w:sz="6" w:space="0" w:color="8091A9"/>
                    <w:bottom w:val="single" w:sz="6" w:space="0" w:color="8091A9"/>
                    <w:right w:val="single" w:sz="6" w:space="0" w:color="8091A9"/>
                  </w:tcBorders>
                  <w:shd w:val="clear" w:color="auto" w:fill="002060"/>
                  <w:vAlign w:val="center"/>
                  <w:hideMark/>
                </w:tcPr>
                <w:p w14:paraId="168D4294" w14:textId="576C80F6"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b/>
                      <w:bCs/>
                      <w:color w:val="FFFFFF"/>
                      <w:sz w:val="16"/>
                      <w:szCs w:val="16"/>
                    </w:rPr>
                    <w:t>2.728.764</w:t>
                  </w:r>
                </w:p>
              </w:tc>
              <w:tc>
                <w:tcPr>
                  <w:tcW w:w="885" w:type="dxa"/>
                  <w:tcBorders>
                    <w:top w:val="single" w:sz="6" w:space="0" w:color="8091A9"/>
                    <w:left w:val="single" w:sz="6" w:space="0" w:color="8091A9"/>
                    <w:bottom w:val="single" w:sz="6" w:space="0" w:color="8091A9"/>
                    <w:right w:val="single" w:sz="6" w:space="0" w:color="8091A9"/>
                  </w:tcBorders>
                  <w:shd w:val="clear" w:color="auto" w:fill="002060"/>
                  <w:vAlign w:val="center"/>
                  <w:hideMark/>
                </w:tcPr>
                <w:p w14:paraId="443FE642" w14:textId="789C362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b/>
                      <w:bCs/>
                      <w:color w:val="FFFFFF"/>
                      <w:sz w:val="16"/>
                      <w:szCs w:val="16"/>
                    </w:rPr>
                    <w:t>100,0%</w:t>
                  </w:r>
                </w:p>
              </w:tc>
            </w:tr>
          </w:tbl>
          <w:p w14:paraId="2C85447C" w14:textId="1BD67FBD" w:rsidR="009D74A3" w:rsidRPr="009D74A3" w:rsidRDefault="009D74A3" w:rsidP="00CA5892">
            <w:pPr>
              <w:pStyle w:val="paragraph"/>
              <w:spacing w:before="0" w:beforeAutospacing="0" w:after="0" w:afterAutospacing="0"/>
              <w:ind w:firstLine="1350"/>
              <w:textAlignment w:val="baseline"/>
              <w:rPr>
                <w:sz w:val="32"/>
                <w:szCs w:val="32"/>
              </w:rPr>
            </w:pPr>
            <w:r w:rsidRPr="009D74A3">
              <w:rPr>
                <w:rStyle w:val="normaltextrun"/>
                <w:rFonts w:ascii="Times New Roman" w:hAnsi="Times New Roman" w:cs="Times New Roman"/>
                <w:b/>
                <w:bCs/>
                <w:sz w:val="20"/>
                <w:szCs w:val="20"/>
              </w:rPr>
              <w:t>Fuente:</w:t>
            </w:r>
            <w:r w:rsidRPr="009D74A3">
              <w:rPr>
                <w:rStyle w:val="normaltextrun"/>
                <w:rFonts w:ascii="Times New Roman" w:hAnsi="Times New Roman" w:cs="Times New Roman"/>
                <w:sz w:val="20"/>
                <w:szCs w:val="20"/>
              </w:rPr>
              <w:t xml:space="preserve"> Secretaría Distrital de Hacienda</w:t>
            </w:r>
          </w:p>
          <w:p w14:paraId="0FA1019F" w14:textId="77777777" w:rsidR="009D74A3" w:rsidRPr="009D74A3" w:rsidRDefault="009D74A3" w:rsidP="009D74A3">
            <w:pPr>
              <w:pStyle w:val="paragraph"/>
              <w:spacing w:before="0" w:beforeAutospacing="0" w:after="0" w:afterAutospacing="0"/>
              <w:ind w:left="705"/>
              <w:jc w:val="both"/>
              <w:textAlignment w:val="baseline"/>
              <w:rPr>
                <w:sz w:val="32"/>
                <w:szCs w:val="32"/>
              </w:rPr>
            </w:pPr>
            <w:r w:rsidRPr="009D74A3">
              <w:rPr>
                <w:rStyle w:val="eop"/>
                <w:sz w:val="22"/>
                <w:szCs w:val="22"/>
              </w:rPr>
              <w:t> </w:t>
            </w:r>
          </w:p>
          <w:p w14:paraId="2EC7E98F" w14:textId="5C95E5FE" w:rsidR="009D74A3" w:rsidRPr="009D74A3" w:rsidRDefault="009D74A3" w:rsidP="009D74A3">
            <w:pPr>
              <w:pStyle w:val="paragraph"/>
              <w:spacing w:before="0" w:beforeAutospacing="0" w:after="0" w:afterAutospacing="0"/>
              <w:jc w:val="both"/>
              <w:textAlignment w:val="baseline"/>
              <w:rPr>
                <w:sz w:val="32"/>
                <w:szCs w:val="32"/>
              </w:rPr>
            </w:pPr>
            <w:r w:rsidRPr="00D24B41">
              <w:rPr>
                <w:rStyle w:val="normaltextrun"/>
                <w:rFonts w:ascii="Times New Roman" w:hAnsi="Times New Roman" w:cs="Times New Roman"/>
              </w:rPr>
              <w:t xml:space="preserve">Ahora bien, el </w:t>
            </w:r>
            <w:r w:rsidR="006627CF" w:rsidRPr="00740130">
              <w:rPr>
                <w:rStyle w:val="normaltextrun"/>
                <w:rFonts w:ascii="Times New Roman" w:hAnsi="Times New Roman" w:cs="Times New Roman"/>
              </w:rPr>
              <w:t>ingreso fiscal</w:t>
            </w:r>
            <w:r w:rsidRPr="00D24B41">
              <w:rPr>
                <w:rStyle w:val="normaltextrun"/>
                <w:rFonts w:ascii="Times New Roman" w:hAnsi="Times New Roman" w:cs="Times New Roman"/>
              </w:rPr>
              <w:t xml:space="preserve"> por concepto del IPU en el año 2024 fue de $ 4,</w:t>
            </w:r>
            <w:r w:rsidR="00752991" w:rsidRPr="00740130">
              <w:rPr>
                <w:rStyle w:val="normaltextrun"/>
                <w:rFonts w:ascii="Times New Roman" w:hAnsi="Times New Roman" w:cs="Times New Roman"/>
              </w:rPr>
              <w:t>5</w:t>
            </w:r>
            <w:r w:rsidRPr="00D24B41">
              <w:rPr>
                <w:rStyle w:val="normaltextrun"/>
                <w:rFonts w:ascii="Times New Roman" w:hAnsi="Times New Roman" w:cs="Times New Roman"/>
              </w:rPr>
              <w:t xml:space="preserve"> billones, esto representa el 31,7% de los ingresos tributarios del Distrito</w:t>
            </w:r>
            <w:r w:rsidR="00752991" w:rsidRPr="00740130">
              <w:rPr>
                <w:rStyle w:val="normaltextrun"/>
                <w:rFonts w:ascii="Times New Roman" w:hAnsi="Times New Roman" w:cs="Times New Roman"/>
              </w:rPr>
              <w:t>,</w:t>
            </w:r>
            <w:r w:rsidRPr="00D24B41">
              <w:rPr>
                <w:rStyle w:val="normaltextrun"/>
                <w:rFonts w:ascii="Times New Roman" w:hAnsi="Times New Roman" w:cs="Times New Roman"/>
              </w:rPr>
              <w:t xml:space="preserve"> los cuales se ubicaron en $14,</w:t>
            </w:r>
            <w:r w:rsidR="00752991" w:rsidRPr="00740130">
              <w:rPr>
                <w:rStyle w:val="normaltextrun"/>
                <w:rFonts w:ascii="Times New Roman" w:hAnsi="Times New Roman" w:cs="Times New Roman"/>
              </w:rPr>
              <w:t>0</w:t>
            </w:r>
            <w:r w:rsidR="00752991" w:rsidRPr="00D24B41">
              <w:rPr>
                <w:rStyle w:val="normaltextrun"/>
                <w:rFonts w:ascii="Times New Roman" w:hAnsi="Times New Roman" w:cs="Times New Roman"/>
              </w:rPr>
              <w:t xml:space="preserve"> </w:t>
            </w:r>
            <w:r w:rsidRPr="00D24B41">
              <w:rPr>
                <w:rStyle w:val="normaltextrun"/>
                <w:rFonts w:ascii="Times New Roman" w:hAnsi="Times New Roman" w:cs="Times New Roman"/>
              </w:rPr>
              <w:t>billones</w:t>
            </w:r>
            <w:r w:rsidRPr="009D74A3">
              <w:rPr>
                <w:rStyle w:val="normaltextrun"/>
                <w:rFonts w:ascii="Times New Roman" w:hAnsi="Times New Roman" w:cs="Times New Roman"/>
              </w:rPr>
              <w:t>. Si bien la cifra confirma la relevancia del IPU como fuente estructural de financiación, se evidencia una disminución en su participación frente a lo obtenido en los años anteriores</w:t>
            </w:r>
            <w:r w:rsidR="00C43823">
              <w:rPr>
                <w:rStyle w:val="normaltextrun"/>
                <w:rFonts w:ascii="Times New Roman" w:hAnsi="Times New Roman" w:cs="Times New Roman"/>
              </w:rPr>
              <w:t xml:space="preserve"> (</w:t>
            </w:r>
            <w:r w:rsidR="00C43823" w:rsidRPr="00C43823">
              <w:rPr>
                <w:rStyle w:val="normaltextrun"/>
                <w:rFonts w:ascii="Times New Roman" w:hAnsi="Times New Roman" w:cs="Times New Roman"/>
                <w:b/>
                <w:bCs/>
              </w:rPr>
              <w:t>Gráfico 32</w:t>
            </w:r>
            <w:r w:rsidR="00C43823">
              <w:rPr>
                <w:rStyle w:val="normaltextrun"/>
                <w:rFonts w:ascii="Times New Roman" w:hAnsi="Times New Roman" w:cs="Times New Roman"/>
              </w:rPr>
              <w:t>)</w:t>
            </w:r>
            <w:r w:rsidRPr="009D74A3">
              <w:rPr>
                <w:rStyle w:val="normaltextrun"/>
                <w:rFonts w:ascii="Times New Roman" w:hAnsi="Times New Roman" w:cs="Times New Roman"/>
              </w:rPr>
              <w:t xml:space="preserve">. Se resalta que, en 2020, la contracción de la actividad económica derivada de la pandemia impactó negativamente el recaudo del Impuesto de Industria y Comercio (ICA), lo que incrementó transitoriamente la participación del IPU dentro del total de ingresos tributarios. Sin embargo, a partir de la </w:t>
            </w:r>
            <w:r w:rsidR="00E27511" w:rsidRPr="009D74A3">
              <w:rPr>
                <w:rStyle w:val="normaltextrun"/>
                <w:rFonts w:ascii="Times New Roman" w:hAnsi="Times New Roman" w:cs="Times New Roman"/>
              </w:rPr>
              <w:t>entrada en vigor</w:t>
            </w:r>
            <w:r w:rsidRPr="009D74A3">
              <w:rPr>
                <w:rStyle w:val="normaltextrun"/>
                <w:rFonts w:ascii="Times New Roman" w:hAnsi="Times New Roman" w:cs="Times New Roman"/>
              </w:rPr>
              <w:t xml:space="preserve"> del Acuerdo </w:t>
            </w:r>
            <w:r w:rsidR="00D139D9">
              <w:rPr>
                <w:rStyle w:val="normaltextrun"/>
                <w:rFonts w:ascii="Times New Roman" w:hAnsi="Times New Roman" w:cs="Times New Roman"/>
              </w:rPr>
              <w:t xml:space="preserve">Distrital </w:t>
            </w:r>
            <w:r w:rsidRPr="009D74A3">
              <w:rPr>
                <w:rStyle w:val="normaltextrun"/>
                <w:rFonts w:ascii="Times New Roman" w:hAnsi="Times New Roman" w:cs="Times New Roman"/>
              </w:rPr>
              <w:t>780 de 2020, que contempló medidas orientadas a la reactivación económica, se produjo una recuperación dinámica del ICA, reconfigurando nuevamente su peso relativo frente al IPU.</w:t>
            </w:r>
            <w:r w:rsidRPr="009D74A3">
              <w:rPr>
                <w:rStyle w:val="eop"/>
              </w:rPr>
              <w:t> </w:t>
            </w:r>
          </w:p>
          <w:p w14:paraId="4657E0A6" w14:textId="77777777" w:rsidR="009D74A3" w:rsidRDefault="009D74A3" w:rsidP="009D74A3">
            <w:pPr>
              <w:pStyle w:val="paragraph"/>
              <w:spacing w:before="0" w:beforeAutospacing="0" w:after="0" w:afterAutospacing="0"/>
              <w:ind w:left="345"/>
              <w:jc w:val="both"/>
              <w:textAlignment w:val="baseline"/>
              <w:rPr>
                <w:rStyle w:val="eop"/>
                <w:sz w:val="22"/>
                <w:szCs w:val="22"/>
              </w:rPr>
            </w:pPr>
            <w:r w:rsidRPr="009D74A3">
              <w:rPr>
                <w:rStyle w:val="eop"/>
                <w:sz w:val="22"/>
                <w:szCs w:val="22"/>
              </w:rPr>
              <w:t> </w:t>
            </w:r>
          </w:p>
          <w:p w14:paraId="2D4A2ADA" w14:textId="77777777" w:rsidR="00961E7E" w:rsidRDefault="00961E7E" w:rsidP="009D74A3">
            <w:pPr>
              <w:pStyle w:val="paragraph"/>
              <w:spacing w:before="0" w:beforeAutospacing="0" w:after="0" w:afterAutospacing="0"/>
              <w:ind w:left="345"/>
              <w:jc w:val="both"/>
              <w:textAlignment w:val="baseline"/>
              <w:rPr>
                <w:rStyle w:val="eop"/>
                <w:sz w:val="22"/>
                <w:szCs w:val="22"/>
              </w:rPr>
            </w:pPr>
          </w:p>
          <w:p w14:paraId="60FD282D" w14:textId="77777777" w:rsidR="00961E7E" w:rsidRPr="009D74A3" w:rsidRDefault="00961E7E" w:rsidP="009D74A3">
            <w:pPr>
              <w:pStyle w:val="paragraph"/>
              <w:spacing w:before="0" w:beforeAutospacing="0" w:after="0" w:afterAutospacing="0"/>
              <w:ind w:left="345"/>
              <w:jc w:val="both"/>
              <w:textAlignment w:val="baseline"/>
              <w:rPr>
                <w:sz w:val="32"/>
                <w:szCs w:val="32"/>
              </w:rPr>
            </w:pPr>
          </w:p>
          <w:p w14:paraId="34522802" w14:textId="0C65102C"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 xml:space="preserve">Gráfico </w:t>
            </w:r>
            <w:r>
              <w:rPr>
                <w:rStyle w:val="normaltextrun"/>
                <w:rFonts w:ascii="Times New Roman" w:hAnsi="Times New Roman" w:cs="Times New Roman"/>
                <w:b/>
                <w:bCs/>
              </w:rPr>
              <w:t>32</w:t>
            </w:r>
            <w:r w:rsidRPr="009D74A3">
              <w:rPr>
                <w:rStyle w:val="normaltextrun"/>
                <w:rFonts w:ascii="Times New Roman" w:hAnsi="Times New Roman" w:cs="Times New Roman"/>
                <w:b/>
                <w:bCs/>
              </w:rPr>
              <w:t>.</w:t>
            </w:r>
            <w:r w:rsidRPr="009D74A3">
              <w:rPr>
                <w:rStyle w:val="eop"/>
                <w:i/>
                <w:iCs/>
              </w:rPr>
              <w:t> </w:t>
            </w:r>
          </w:p>
          <w:p w14:paraId="2769BEF5" w14:textId="77777777" w:rsidR="00BD78A0" w:rsidRDefault="009D74A3" w:rsidP="009D74A3">
            <w:pPr>
              <w:pStyle w:val="paragraph"/>
              <w:spacing w:before="0" w:beforeAutospacing="0" w:after="0" w:afterAutospacing="0"/>
              <w:jc w:val="center"/>
              <w:textAlignment w:val="baseline"/>
              <w:rPr>
                <w:rStyle w:val="normaltextrun"/>
                <w:rFonts w:ascii="Times New Roman" w:hAnsi="Times New Roman" w:cs="Times New Roman"/>
                <w:b/>
                <w:bCs/>
              </w:rPr>
            </w:pPr>
            <w:r w:rsidRPr="009D74A3">
              <w:rPr>
                <w:rStyle w:val="normaltextrun"/>
                <w:rFonts w:ascii="Times New Roman" w:hAnsi="Times New Roman" w:cs="Times New Roman"/>
                <w:b/>
                <w:bCs/>
              </w:rPr>
              <w:t xml:space="preserve">Impuesto Predial Unificado como </w:t>
            </w:r>
            <w:r w:rsidR="00BD78A0">
              <w:rPr>
                <w:rStyle w:val="normaltextrun"/>
                <w:rFonts w:ascii="Times New Roman" w:hAnsi="Times New Roman" w:cs="Times New Roman"/>
                <w:b/>
                <w:bCs/>
              </w:rPr>
              <w:t>proporción</w:t>
            </w:r>
            <w:r w:rsidRPr="009D74A3">
              <w:rPr>
                <w:rStyle w:val="normaltextrun"/>
                <w:rFonts w:ascii="Times New Roman" w:hAnsi="Times New Roman" w:cs="Times New Roman"/>
                <w:b/>
                <w:bCs/>
              </w:rPr>
              <w:t xml:space="preserve"> de los Ingresos Tributarios</w:t>
            </w:r>
          </w:p>
          <w:p w14:paraId="4ED59730" w14:textId="176B66E9" w:rsidR="009D74A3" w:rsidRPr="00BD78A0" w:rsidRDefault="00BD78A0" w:rsidP="009D74A3">
            <w:pPr>
              <w:pStyle w:val="paragraph"/>
              <w:spacing w:before="0" w:beforeAutospacing="0" w:after="0" w:afterAutospacing="0"/>
              <w:jc w:val="center"/>
              <w:textAlignment w:val="baseline"/>
              <w:rPr>
                <w:i/>
                <w:iCs/>
                <w:color w:val="44546A"/>
                <w:sz w:val="32"/>
                <w:szCs w:val="32"/>
              </w:rPr>
            </w:pPr>
            <w:r w:rsidRPr="00BD78A0">
              <w:rPr>
                <w:rStyle w:val="normaltextrun"/>
                <w:rFonts w:ascii="Times New Roman" w:hAnsi="Times New Roman" w:cs="Times New Roman"/>
                <w:i/>
                <w:iCs/>
              </w:rPr>
              <w:t xml:space="preserve">Porcentaje </w:t>
            </w:r>
            <w:r w:rsidR="009D74A3" w:rsidRPr="00BD78A0">
              <w:rPr>
                <w:rStyle w:val="normaltextrun"/>
                <w:rFonts w:ascii="Times New Roman" w:hAnsi="Times New Roman" w:cs="Times New Roman"/>
                <w:i/>
                <w:iCs/>
              </w:rPr>
              <w:t xml:space="preserve"> </w:t>
            </w:r>
          </w:p>
          <w:p w14:paraId="7315EAB2" w14:textId="465E15CB" w:rsidR="009D74A3" w:rsidRPr="009D74A3" w:rsidRDefault="009D74A3" w:rsidP="009D74A3">
            <w:pPr>
              <w:pStyle w:val="paragraph"/>
              <w:spacing w:before="0" w:beforeAutospacing="0" w:after="0" w:afterAutospacing="0"/>
              <w:jc w:val="center"/>
              <w:textAlignment w:val="baseline"/>
              <w:rPr>
                <w:sz w:val="32"/>
                <w:szCs w:val="32"/>
              </w:rPr>
            </w:pPr>
            <w:r w:rsidRPr="009D74A3">
              <w:rPr>
                <w:rFonts w:eastAsiaTheme="minorHAnsi"/>
                <w:noProof/>
                <w:sz w:val="22"/>
                <w:szCs w:val="22"/>
              </w:rPr>
              <w:drawing>
                <wp:inline distT="0" distB="0" distL="0" distR="0" wp14:anchorId="1A5CA9DF" wp14:editId="6B68E147">
                  <wp:extent cx="5239910" cy="2144828"/>
                  <wp:effectExtent l="0" t="0" r="0" b="0"/>
                  <wp:docPr id="1515608982"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18125" cy="2217776"/>
                          </a:xfrm>
                          <a:prstGeom prst="rect">
                            <a:avLst/>
                          </a:prstGeom>
                          <a:noFill/>
                          <a:ln>
                            <a:noFill/>
                          </a:ln>
                        </pic:spPr>
                      </pic:pic>
                    </a:graphicData>
                  </a:graphic>
                </wp:inline>
              </w:drawing>
            </w:r>
            <w:r w:rsidRPr="009D74A3">
              <w:rPr>
                <w:rStyle w:val="eop"/>
                <w:sz w:val="22"/>
                <w:szCs w:val="22"/>
              </w:rPr>
              <w:t> </w:t>
            </w:r>
          </w:p>
          <w:p w14:paraId="2AD99BD6" w14:textId="77777777" w:rsidR="009D74A3" w:rsidRPr="009D74A3" w:rsidRDefault="009D74A3" w:rsidP="009D74A3">
            <w:pPr>
              <w:pStyle w:val="paragraph"/>
              <w:spacing w:before="0" w:beforeAutospacing="0" w:after="0" w:afterAutospacing="0"/>
              <w:ind w:firstLine="630"/>
              <w:textAlignment w:val="baseline"/>
              <w:rPr>
                <w:sz w:val="32"/>
                <w:szCs w:val="32"/>
              </w:rPr>
            </w:pPr>
            <w:r w:rsidRPr="009D74A3">
              <w:rPr>
                <w:rStyle w:val="normaltextrun"/>
                <w:rFonts w:ascii="Times New Roman" w:hAnsi="Times New Roman" w:cs="Times New Roman"/>
                <w:b/>
                <w:bCs/>
                <w:sz w:val="20"/>
                <w:szCs w:val="20"/>
              </w:rPr>
              <w:t>Fuente:</w:t>
            </w:r>
            <w:r w:rsidRPr="009D74A3">
              <w:rPr>
                <w:rStyle w:val="normaltextrun"/>
                <w:rFonts w:ascii="Times New Roman" w:hAnsi="Times New Roman" w:cs="Times New Roman"/>
                <w:sz w:val="20"/>
                <w:szCs w:val="20"/>
              </w:rPr>
              <w:t xml:space="preserve"> Secretaría Distrital de Hacienda.</w:t>
            </w:r>
            <w:r w:rsidRPr="009D74A3">
              <w:rPr>
                <w:rStyle w:val="eop"/>
                <w:sz w:val="20"/>
                <w:szCs w:val="20"/>
              </w:rPr>
              <w:t> </w:t>
            </w:r>
          </w:p>
          <w:p w14:paraId="793C2D3E" w14:textId="77777777" w:rsidR="009D74A3" w:rsidRPr="009D74A3" w:rsidRDefault="009D74A3" w:rsidP="009D74A3">
            <w:pPr>
              <w:pStyle w:val="paragraph"/>
              <w:spacing w:before="0" w:beforeAutospacing="0" w:after="0" w:afterAutospacing="0"/>
              <w:jc w:val="center"/>
              <w:textAlignment w:val="baseline"/>
              <w:rPr>
                <w:sz w:val="32"/>
                <w:szCs w:val="32"/>
              </w:rPr>
            </w:pPr>
            <w:r w:rsidRPr="009D74A3">
              <w:rPr>
                <w:rStyle w:val="eop"/>
                <w:sz w:val="18"/>
                <w:szCs w:val="18"/>
              </w:rPr>
              <w:t> </w:t>
            </w:r>
          </w:p>
          <w:p w14:paraId="14A08ED3" w14:textId="27DEBFC2" w:rsidR="009D74A3" w:rsidRPr="009D74A3" w:rsidRDefault="009D74A3" w:rsidP="009D74A3">
            <w:pPr>
              <w:pStyle w:val="paragraph"/>
              <w:spacing w:before="0" w:beforeAutospacing="0" w:after="0" w:afterAutospacing="0"/>
              <w:jc w:val="both"/>
              <w:textAlignment w:val="baseline"/>
            </w:pPr>
            <w:r w:rsidRPr="009D74A3">
              <w:rPr>
                <w:rStyle w:val="normaltextrun"/>
                <w:rFonts w:ascii="Times New Roman" w:hAnsi="Times New Roman" w:cs="Times New Roman"/>
                <w:color w:val="000000"/>
              </w:rPr>
              <w:t>Por otro lado, desde 2013 la tasa de crecimiento real anual del ingreso fiscal</w:t>
            </w:r>
            <w:r w:rsidR="00AE0F3A">
              <w:rPr>
                <w:rStyle w:val="Refdenotaalpie"/>
                <w:rFonts w:eastAsiaTheme="minorEastAsia"/>
                <w:color w:val="000000"/>
              </w:rPr>
              <w:footnoteReference w:id="20"/>
            </w:r>
            <w:r w:rsidRPr="009D74A3">
              <w:rPr>
                <w:rStyle w:val="normaltextrun"/>
                <w:rFonts w:ascii="Times New Roman" w:hAnsi="Times New Roman" w:cs="Times New Roman"/>
                <w:color w:val="000000"/>
              </w:rPr>
              <w:t xml:space="preserve"> del impuesto predial unificado disminuyó constantemente hasta el 2020, año en que la tasa de crecimiento se ubicó en un 0,6%. Para el año 2021 se observa un crecimiento leve (1,4%), en 2022 se presentó una variación negativa (-13,3%) y en 2023 la tasa de crecimiento registró un incremento positivo (4,9%), pero aun baja respecto a las vistas en el periodo 2010 a 2015 que rondaban en promedio el 14% anual. Para 2024 se evidenció un crecimiento del 2,4% aun inferior a lo visto en la década anterior</w:t>
            </w:r>
            <w:r w:rsidR="00F4303C">
              <w:rPr>
                <w:rStyle w:val="normaltextrun"/>
                <w:rFonts w:ascii="Times New Roman" w:hAnsi="Times New Roman" w:cs="Times New Roman"/>
                <w:color w:val="000000"/>
              </w:rPr>
              <w:t xml:space="preserve"> (</w:t>
            </w:r>
            <w:r w:rsidR="00F4303C" w:rsidRPr="00F4303C">
              <w:rPr>
                <w:rStyle w:val="normaltextrun"/>
                <w:rFonts w:ascii="Times New Roman" w:hAnsi="Times New Roman" w:cs="Times New Roman"/>
                <w:b/>
                <w:bCs/>
                <w:color w:val="000000"/>
              </w:rPr>
              <w:t>Gráfico 33</w:t>
            </w:r>
            <w:r w:rsidR="00F4303C">
              <w:rPr>
                <w:rStyle w:val="normaltextrun"/>
                <w:rFonts w:ascii="Times New Roman" w:hAnsi="Times New Roman" w:cs="Times New Roman"/>
                <w:color w:val="000000"/>
              </w:rPr>
              <w:t>)</w:t>
            </w:r>
            <w:r w:rsidRPr="009D74A3">
              <w:rPr>
                <w:rStyle w:val="normaltextrun"/>
                <w:rFonts w:ascii="Times New Roman" w:hAnsi="Times New Roman" w:cs="Times New Roman"/>
                <w:color w:val="000000"/>
              </w:rPr>
              <w:t>, lo que corresponde a la estabilización del número de viviendas nuevas y el deterioro del su valor medido como el Índice de Precios de la Vivienda Nueva – IPVN</w:t>
            </w:r>
            <w:r w:rsidR="00AE710D">
              <w:rPr>
                <w:rStyle w:val="Refdenotaalpie"/>
                <w:rFonts w:eastAsiaTheme="minorEastAsia"/>
                <w:color w:val="000000"/>
              </w:rPr>
              <w:footnoteReference w:id="21"/>
            </w:r>
            <w:r w:rsidRPr="009D74A3">
              <w:rPr>
                <w:rStyle w:val="normaltextrun"/>
                <w:rFonts w:ascii="Times New Roman" w:hAnsi="Times New Roman" w:cs="Times New Roman"/>
                <w:color w:val="000000"/>
              </w:rPr>
              <w:t>.</w:t>
            </w:r>
            <w:r w:rsidRPr="009D74A3">
              <w:rPr>
                <w:rStyle w:val="eop"/>
                <w:color w:val="000000"/>
              </w:rPr>
              <w:t> </w:t>
            </w:r>
          </w:p>
          <w:p w14:paraId="6E93EC52" w14:textId="77777777" w:rsidR="009D74A3" w:rsidRPr="009D74A3" w:rsidRDefault="009D74A3" w:rsidP="009D74A3">
            <w:pPr>
              <w:pStyle w:val="paragraph"/>
              <w:spacing w:before="0" w:beforeAutospacing="0" w:after="0" w:afterAutospacing="0"/>
              <w:ind w:left="720"/>
              <w:jc w:val="both"/>
              <w:textAlignment w:val="baseline"/>
            </w:pPr>
            <w:r w:rsidRPr="009D74A3">
              <w:rPr>
                <w:rStyle w:val="eop"/>
                <w:color w:val="000000"/>
              </w:rPr>
              <w:t> </w:t>
            </w:r>
          </w:p>
          <w:p w14:paraId="3BDE046B" w14:textId="168ECDFD" w:rsidR="009D74A3" w:rsidRPr="009D74A3" w:rsidRDefault="009D74A3" w:rsidP="009D74A3">
            <w:pPr>
              <w:pStyle w:val="paragraph"/>
              <w:spacing w:before="0" w:beforeAutospacing="0" w:after="0" w:afterAutospacing="0"/>
              <w:jc w:val="center"/>
              <w:textAlignment w:val="baseline"/>
              <w:rPr>
                <w:i/>
                <w:iCs/>
                <w:color w:val="44546A"/>
              </w:rPr>
            </w:pPr>
            <w:r w:rsidRPr="009D74A3">
              <w:rPr>
                <w:rStyle w:val="normaltextrun"/>
                <w:rFonts w:ascii="Times New Roman" w:hAnsi="Times New Roman" w:cs="Times New Roman"/>
                <w:b/>
                <w:bCs/>
              </w:rPr>
              <w:t xml:space="preserve">Gráfico </w:t>
            </w:r>
            <w:r>
              <w:rPr>
                <w:rStyle w:val="normaltextrun"/>
                <w:rFonts w:ascii="Times New Roman" w:hAnsi="Times New Roman" w:cs="Times New Roman"/>
                <w:b/>
                <w:bCs/>
              </w:rPr>
              <w:t>33</w:t>
            </w:r>
            <w:r w:rsidRPr="009D74A3">
              <w:rPr>
                <w:rStyle w:val="normaltextrun"/>
                <w:rFonts w:ascii="Times New Roman" w:hAnsi="Times New Roman" w:cs="Times New Roman"/>
                <w:b/>
                <w:bCs/>
              </w:rPr>
              <w:t>.</w:t>
            </w:r>
            <w:r w:rsidRPr="009D74A3">
              <w:rPr>
                <w:rStyle w:val="eop"/>
                <w:i/>
                <w:iCs/>
              </w:rPr>
              <w:t> </w:t>
            </w:r>
          </w:p>
          <w:p w14:paraId="4F5C55CF" w14:textId="77777777" w:rsidR="009D74A3" w:rsidRPr="009D74A3" w:rsidRDefault="009D74A3" w:rsidP="009D74A3">
            <w:pPr>
              <w:pStyle w:val="paragraph"/>
              <w:spacing w:before="0" w:beforeAutospacing="0" w:after="0" w:afterAutospacing="0"/>
              <w:jc w:val="center"/>
              <w:textAlignment w:val="baseline"/>
              <w:rPr>
                <w:i/>
                <w:iCs/>
                <w:color w:val="44546A"/>
              </w:rPr>
            </w:pPr>
            <w:r w:rsidRPr="009D74A3">
              <w:rPr>
                <w:rStyle w:val="normaltextrun"/>
                <w:rFonts w:ascii="Times New Roman" w:hAnsi="Times New Roman" w:cs="Times New Roman"/>
                <w:b/>
                <w:bCs/>
              </w:rPr>
              <w:t>Ingresos impuesto predial unificado </w:t>
            </w:r>
            <w:r w:rsidRPr="009D74A3">
              <w:rPr>
                <w:rStyle w:val="eop"/>
                <w:i/>
                <w:iCs/>
              </w:rPr>
              <w:t> </w:t>
            </w:r>
          </w:p>
          <w:p w14:paraId="2454D758" w14:textId="77777777" w:rsidR="009D74A3" w:rsidRPr="009D74A3" w:rsidRDefault="009D74A3" w:rsidP="009D74A3">
            <w:pPr>
              <w:pStyle w:val="paragraph"/>
              <w:spacing w:before="0" w:beforeAutospacing="0" w:after="0" w:afterAutospacing="0"/>
              <w:jc w:val="center"/>
              <w:textAlignment w:val="baseline"/>
              <w:rPr>
                <w:i/>
                <w:iCs/>
                <w:color w:val="44546A"/>
              </w:rPr>
            </w:pPr>
            <w:r w:rsidRPr="009D74A3">
              <w:rPr>
                <w:rStyle w:val="normaltextrun"/>
                <w:rFonts w:ascii="Times New Roman" w:hAnsi="Times New Roman" w:cs="Times New Roman"/>
                <w:i/>
                <w:iCs/>
              </w:rPr>
              <w:t>Variación real (%)</w:t>
            </w:r>
            <w:r w:rsidRPr="009D74A3">
              <w:rPr>
                <w:rStyle w:val="eop"/>
                <w:i/>
                <w:iCs/>
              </w:rPr>
              <w:t> </w:t>
            </w:r>
          </w:p>
          <w:p w14:paraId="65D60915" w14:textId="7B82ADE0" w:rsidR="009D74A3" w:rsidRPr="009D74A3" w:rsidRDefault="009D74A3" w:rsidP="009D74A3">
            <w:pPr>
              <w:pStyle w:val="paragraph"/>
              <w:spacing w:before="0" w:beforeAutospacing="0" w:after="0" w:afterAutospacing="0"/>
              <w:jc w:val="center"/>
              <w:textAlignment w:val="baseline"/>
              <w:rPr>
                <w:sz w:val="32"/>
                <w:szCs w:val="32"/>
              </w:rPr>
            </w:pPr>
            <w:r w:rsidRPr="009D74A3">
              <w:rPr>
                <w:rFonts w:eastAsiaTheme="minorHAnsi"/>
                <w:noProof/>
                <w:sz w:val="22"/>
                <w:szCs w:val="22"/>
              </w:rPr>
              <w:drawing>
                <wp:inline distT="0" distB="0" distL="0" distR="0" wp14:anchorId="6FED8548" wp14:editId="0FB69E87">
                  <wp:extent cx="4250856" cy="2147762"/>
                  <wp:effectExtent l="0" t="0" r="0" b="0"/>
                  <wp:docPr id="892183308"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273144" cy="2159023"/>
                          </a:xfrm>
                          <a:prstGeom prst="rect">
                            <a:avLst/>
                          </a:prstGeom>
                          <a:noFill/>
                          <a:ln>
                            <a:noFill/>
                          </a:ln>
                        </pic:spPr>
                      </pic:pic>
                    </a:graphicData>
                  </a:graphic>
                </wp:inline>
              </w:drawing>
            </w:r>
            <w:r w:rsidRPr="009D74A3">
              <w:rPr>
                <w:rStyle w:val="eop"/>
                <w:color w:val="000000"/>
                <w:sz w:val="22"/>
                <w:szCs w:val="22"/>
              </w:rPr>
              <w:t> </w:t>
            </w:r>
          </w:p>
          <w:p w14:paraId="5F275AB8" w14:textId="66AAE835" w:rsidR="009D74A3" w:rsidRPr="009D74A3" w:rsidRDefault="009D74A3" w:rsidP="009D74A3">
            <w:pPr>
              <w:pStyle w:val="paragraph"/>
              <w:spacing w:before="0" w:beforeAutospacing="0" w:after="0" w:afterAutospacing="0"/>
              <w:ind w:firstLine="1620"/>
              <w:textAlignment w:val="baseline"/>
              <w:rPr>
                <w:sz w:val="32"/>
                <w:szCs w:val="32"/>
              </w:rPr>
            </w:pPr>
            <w:r w:rsidRPr="009D74A3">
              <w:rPr>
                <w:rStyle w:val="normaltextrun"/>
                <w:rFonts w:ascii="Times New Roman" w:hAnsi="Times New Roman" w:cs="Times New Roman"/>
                <w:b/>
                <w:bCs/>
                <w:sz w:val="20"/>
                <w:szCs w:val="20"/>
              </w:rPr>
              <w:t>Fuente:</w:t>
            </w:r>
            <w:r w:rsidRPr="009D74A3">
              <w:rPr>
                <w:rStyle w:val="normaltextrun"/>
                <w:rFonts w:ascii="Times New Roman" w:hAnsi="Times New Roman" w:cs="Times New Roman"/>
                <w:sz w:val="20"/>
                <w:szCs w:val="20"/>
              </w:rPr>
              <w:t xml:space="preserve"> Secretaría Distrital de Hacienda</w:t>
            </w:r>
            <w:r w:rsidR="00F4303C">
              <w:rPr>
                <w:rStyle w:val="normaltextrun"/>
                <w:rFonts w:ascii="Times New Roman" w:hAnsi="Times New Roman" w:cs="Times New Roman"/>
                <w:sz w:val="20"/>
                <w:szCs w:val="20"/>
              </w:rPr>
              <w:t>.</w:t>
            </w:r>
            <w:r w:rsidRPr="009D74A3">
              <w:rPr>
                <w:rStyle w:val="eop"/>
                <w:sz w:val="20"/>
                <w:szCs w:val="20"/>
              </w:rPr>
              <w:t> </w:t>
            </w:r>
          </w:p>
          <w:p w14:paraId="03D03ADC"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eop"/>
                <w:color w:val="000000"/>
                <w:sz w:val="22"/>
                <w:szCs w:val="22"/>
              </w:rPr>
              <w:t> </w:t>
            </w:r>
          </w:p>
          <w:p w14:paraId="666EC09E" w14:textId="6F70C19A"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rPr>
              <w:t>La caída en la participación del IPU como porcentaje del total de ingresos tributarios se ve en otras ciudades grandes y medianas como Cúcuta, Cartagena o Barranquilla; a su vez</w:t>
            </w:r>
            <w:r w:rsidR="00123561">
              <w:rPr>
                <w:rStyle w:val="normaltextrun"/>
                <w:rFonts w:ascii="Times New Roman" w:hAnsi="Times New Roman" w:cs="Times New Roman"/>
              </w:rPr>
              <w:t>,</w:t>
            </w:r>
            <w:r w:rsidRPr="009D74A3">
              <w:rPr>
                <w:rStyle w:val="normaltextrun"/>
                <w:rFonts w:ascii="Times New Roman" w:hAnsi="Times New Roman" w:cs="Times New Roman"/>
              </w:rPr>
              <w:t xml:space="preserve"> ciudades como Soacha e Ibagué muestran un incremento en la participación del IPU en los ingresos tributarios entre 2018 y 2023, que en todo caso no es tan pronunciado como la caída en las otras ciudades, lo cual confirma una tendencia general en el país</w:t>
            </w:r>
            <w:r w:rsidR="00F4303C">
              <w:rPr>
                <w:rStyle w:val="normaltextrun"/>
                <w:rFonts w:ascii="Times New Roman" w:hAnsi="Times New Roman" w:cs="Times New Roman"/>
              </w:rPr>
              <w:t xml:space="preserve"> (</w:t>
            </w:r>
            <w:r w:rsidR="00F4303C" w:rsidRPr="00F4303C">
              <w:rPr>
                <w:rStyle w:val="normaltextrun"/>
                <w:rFonts w:ascii="Times New Roman" w:hAnsi="Times New Roman" w:cs="Times New Roman"/>
                <w:b/>
                <w:bCs/>
              </w:rPr>
              <w:t>Gráfico 34</w:t>
            </w:r>
            <w:r w:rsidR="00F4303C">
              <w:rPr>
                <w:rStyle w:val="normaltextrun"/>
                <w:rFonts w:ascii="Times New Roman" w:hAnsi="Times New Roman" w:cs="Times New Roman"/>
              </w:rPr>
              <w:t>)</w:t>
            </w:r>
            <w:r w:rsidRPr="009D74A3">
              <w:rPr>
                <w:rStyle w:val="normaltextrun"/>
                <w:rFonts w:ascii="Times New Roman" w:hAnsi="Times New Roman" w:cs="Times New Roman"/>
              </w:rPr>
              <w:t>.</w:t>
            </w:r>
            <w:r w:rsidRPr="009D74A3">
              <w:rPr>
                <w:rStyle w:val="eop"/>
              </w:rPr>
              <w:t> </w:t>
            </w:r>
          </w:p>
          <w:p w14:paraId="41E05E2A"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eop"/>
              </w:rPr>
              <w:t> </w:t>
            </w:r>
          </w:p>
          <w:p w14:paraId="57895942" w14:textId="1A49B757"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 xml:space="preserve">Gráfico </w:t>
            </w:r>
            <w:r>
              <w:rPr>
                <w:rStyle w:val="normaltextrun"/>
                <w:rFonts w:ascii="Times New Roman" w:hAnsi="Times New Roman" w:cs="Times New Roman"/>
                <w:b/>
                <w:bCs/>
              </w:rPr>
              <w:t>34</w:t>
            </w:r>
            <w:r w:rsidRPr="009D74A3">
              <w:rPr>
                <w:rStyle w:val="normaltextrun"/>
                <w:rFonts w:ascii="Times New Roman" w:hAnsi="Times New Roman" w:cs="Times New Roman"/>
                <w:b/>
                <w:bCs/>
              </w:rPr>
              <w:t>.</w:t>
            </w:r>
            <w:r w:rsidRPr="009D74A3">
              <w:rPr>
                <w:rStyle w:val="eop"/>
                <w:i/>
                <w:iCs/>
              </w:rPr>
              <w:t> </w:t>
            </w:r>
          </w:p>
          <w:p w14:paraId="4B321750" w14:textId="77777777"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Ingresos Predial como porcentaje de los Ingresos Tributarios por ciudad</w:t>
            </w:r>
            <w:r w:rsidRPr="009D74A3">
              <w:rPr>
                <w:rStyle w:val="eop"/>
                <w:i/>
                <w:iCs/>
              </w:rPr>
              <w:t> </w:t>
            </w:r>
          </w:p>
          <w:p w14:paraId="5BB525D6" w14:textId="77777777" w:rsidR="009D74A3" w:rsidRPr="009D74A3" w:rsidRDefault="009D74A3" w:rsidP="009D74A3">
            <w:pPr>
              <w:pStyle w:val="paragraph"/>
              <w:spacing w:before="0" w:beforeAutospacing="0" w:after="0" w:afterAutospacing="0"/>
              <w:jc w:val="center"/>
              <w:textAlignment w:val="baseline"/>
              <w:rPr>
                <w:sz w:val="32"/>
                <w:szCs w:val="32"/>
              </w:rPr>
            </w:pPr>
            <w:r w:rsidRPr="009D74A3">
              <w:rPr>
                <w:rStyle w:val="normaltextrun"/>
                <w:rFonts w:ascii="Times New Roman" w:hAnsi="Times New Roman" w:cs="Times New Roman"/>
                <w:i/>
                <w:iCs/>
              </w:rPr>
              <w:t>Porcentaje</w:t>
            </w:r>
            <w:r w:rsidRPr="009D74A3">
              <w:rPr>
                <w:rStyle w:val="eop"/>
              </w:rPr>
              <w:t> </w:t>
            </w:r>
          </w:p>
          <w:p w14:paraId="4F797169" w14:textId="45CEB269" w:rsidR="009D74A3" w:rsidRPr="009D74A3" w:rsidRDefault="009D74A3" w:rsidP="009D74A3">
            <w:pPr>
              <w:pStyle w:val="paragraph"/>
              <w:spacing w:before="0" w:beforeAutospacing="0" w:after="0" w:afterAutospacing="0"/>
              <w:jc w:val="center"/>
              <w:textAlignment w:val="baseline"/>
              <w:rPr>
                <w:sz w:val="32"/>
                <w:szCs w:val="32"/>
              </w:rPr>
            </w:pPr>
            <w:r w:rsidRPr="009D74A3">
              <w:rPr>
                <w:rFonts w:eastAsiaTheme="minorHAnsi"/>
                <w:noProof/>
                <w:sz w:val="22"/>
                <w:szCs w:val="22"/>
              </w:rPr>
              <w:drawing>
                <wp:inline distT="0" distB="0" distL="0" distR="0" wp14:anchorId="061F20FB" wp14:editId="6FD59B6D">
                  <wp:extent cx="4151878" cy="1839057"/>
                  <wp:effectExtent l="0" t="0" r="0" b="0"/>
                  <wp:docPr id="1815076594"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184631" cy="1853565"/>
                          </a:xfrm>
                          <a:prstGeom prst="rect">
                            <a:avLst/>
                          </a:prstGeom>
                          <a:noFill/>
                          <a:ln>
                            <a:noFill/>
                          </a:ln>
                        </pic:spPr>
                      </pic:pic>
                    </a:graphicData>
                  </a:graphic>
                </wp:inline>
              </w:drawing>
            </w:r>
            <w:r w:rsidRPr="009D74A3">
              <w:rPr>
                <w:rStyle w:val="eop"/>
                <w:sz w:val="22"/>
                <w:szCs w:val="22"/>
              </w:rPr>
              <w:t> </w:t>
            </w:r>
          </w:p>
          <w:p w14:paraId="0100ADDA" w14:textId="77777777" w:rsidR="009D74A3" w:rsidRPr="009D74A3" w:rsidRDefault="009D74A3" w:rsidP="009D74A3">
            <w:pPr>
              <w:pStyle w:val="paragraph"/>
              <w:spacing w:before="0" w:beforeAutospacing="0" w:after="0" w:afterAutospacing="0"/>
              <w:ind w:left="1620" w:right="1830"/>
              <w:textAlignment w:val="baseline"/>
              <w:rPr>
                <w:sz w:val="32"/>
                <w:szCs w:val="32"/>
              </w:rPr>
            </w:pPr>
            <w:r w:rsidRPr="009D74A3">
              <w:rPr>
                <w:rStyle w:val="normaltextrun"/>
                <w:rFonts w:ascii="Times New Roman" w:hAnsi="Times New Roman" w:cs="Times New Roman"/>
                <w:b/>
                <w:bCs/>
                <w:sz w:val="20"/>
                <w:szCs w:val="20"/>
              </w:rPr>
              <w:t>Nota:</w:t>
            </w:r>
            <w:r w:rsidRPr="009D74A3">
              <w:rPr>
                <w:rStyle w:val="normaltextrun"/>
                <w:rFonts w:ascii="Times New Roman" w:hAnsi="Times New Roman" w:cs="Times New Roman"/>
                <w:sz w:val="20"/>
                <w:szCs w:val="20"/>
              </w:rPr>
              <w:t xml:space="preserve"> último dato disponible 2023.</w:t>
            </w:r>
            <w:r w:rsidRPr="009D74A3">
              <w:rPr>
                <w:rStyle w:val="eop"/>
                <w:sz w:val="20"/>
                <w:szCs w:val="20"/>
              </w:rPr>
              <w:t> </w:t>
            </w:r>
          </w:p>
          <w:p w14:paraId="121A3C78" w14:textId="77777777" w:rsidR="009D74A3" w:rsidRPr="009D74A3" w:rsidRDefault="009D74A3" w:rsidP="009D74A3">
            <w:pPr>
              <w:pStyle w:val="paragraph"/>
              <w:spacing w:before="0" w:beforeAutospacing="0" w:after="0" w:afterAutospacing="0"/>
              <w:ind w:left="1620" w:right="1830"/>
              <w:jc w:val="both"/>
              <w:textAlignment w:val="baseline"/>
              <w:rPr>
                <w:sz w:val="32"/>
                <w:szCs w:val="32"/>
              </w:rPr>
            </w:pPr>
            <w:r w:rsidRPr="009D74A3">
              <w:rPr>
                <w:rStyle w:val="normaltextrun"/>
                <w:rFonts w:ascii="Times New Roman" w:hAnsi="Times New Roman" w:cs="Times New Roman"/>
                <w:b/>
                <w:bCs/>
                <w:sz w:val="20"/>
                <w:szCs w:val="20"/>
              </w:rPr>
              <w:t>Fuente</w:t>
            </w:r>
            <w:r w:rsidRPr="009D74A3">
              <w:rPr>
                <w:rStyle w:val="normaltextrun"/>
                <w:rFonts w:ascii="Times New Roman" w:hAnsi="Times New Roman" w:cs="Times New Roman"/>
                <w:sz w:val="20"/>
                <w:szCs w:val="20"/>
              </w:rPr>
              <w:t>: Cálculos realizados con información de Operaciones efectivas de Caja publicadas por el Departamento Nacional de Planeación (DNP) </w:t>
            </w:r>
            <w:r w:rsidRPr="009D74A3">
              <w:rPr>
                <w:rStyle w:val="eop"/>
                <w:sz w:val="20"/>
                <w:szCs w:val="20"/>
              </w:rPr>
              <w:t> </w:t>
            </w:r>
          </w:p>
          <w:p w14:paraId="138E8AE2" w14:textId="77777777" w:rsidR="009D74A3" w:rsidRPr="009D74A3" w:rsidRDefault="009D74A3" w:rsidP="009D74A3">
            <w:pPr>
              <w:pStyle w:val="paragraph"/>
              <w:spacing w:before="0" w:beforeAutospacing="0" w:after="0" w:afterAutospacing="0"/>
              <w:ind w:left="720"/>
              <w:jc w:val="both"/>
              <w:textAlignment w:val="baseline"/>
              <w:rPr>
                <w:sz w:val="32"/>
                <w:szCs w:val="32"/>
              </w:rPr>
            </w:pPr>
            <w:r w:rsidRPr="009D74A3">
              <w:rPr>
                <w:rStyle w:val="eop"/>
                <w:sz w:val="22"/>
                <w:szCs w:val="22"/>
              </w:rPr>
              <w:t> </w:t>
            </w:r>
          </w:p>
          <w:p w14:paraId="5E72C36C" w14:textId="65578086"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rPr>
              <w:t>Al comparar el porcentaje de la participación del impuesto predial frente a los ingresos tributarios totales obtenidos en diferentes entes territoriales para el año 2023, se observa que este tributo pesa en Bogotá el 30,9%, frente a</w:t>
            </w:r>
            <w:r w:rsidRPr="009D74A3">
              <w:rPr>
                <w:rStyle w:val="normaltextrun"/>
                <w:rFonts w:ascii="Times New Roman" w:hAnsi="Times New Roman" w:cs="Times New Roman"/>
                <w:sz w:val="22"/>
                <w:szCs w:val="22"/>
              </w:rPr>
              <w:t xml:space="preserve"> </w:t>
            </w:r>
            <w:r w:rsidRPr="009D74A3">
              <w:rPr>
                <w:rStyle w:val="normaltextrun"/>
                <w:rFonts w:ascii="Times New Roman" w:hAnsi="Times New Roman" w:cs="Times New Roman"/>
              </w:rPr>
              <w:t>Soacha donde representa el 43,1% de sus ingresos o Medellín donde se ubica en el 40,9%</w:t>
            </w:r>
            <w:r w:rsidR="00124EFE">
              <w:rPr>
                <w:rStyle w:val="normaltextrun"/>
                <w:rFonts w:ascii="Times New Roman" w:hAnsi="Times New Roman" w:cs="Times New Roman"/>
              </w:rPr>
              <w:t xml:space="preserve"> (</w:t>
            </w:r>
            <w:r w:rsidR="00124EFE" w:rsidRPr="00124EFE">
              <w:rPr>
                <w:rStyle w:val="normaltextrun"/>
                <w:rFonts w:ascii="Times New Roman" w:hAnsi="Times New Roman" w:cs="Times New Roman"/>
                <w:b/>
                <w:bCs/>
              </w:rPr>
              <w:t>Gráfico 35</w:t>
            </w:r>
            <w:r w:rsidR="00124EFE">
              <w:rPr>
                <w:rStyle w:val="normaltextrun"/>
                <w:rFonts w:ascii="Times New Roman" w:hAnsi="Times New Roman" w:cs="Times New Roman"/>
              </w:rPr>
              <w:t>)</w:t>
            </w:r>
            <w:r w:rsidRPr="009D74A3">
              <w:rPr>
                <w:rStyle w:val="normaltextrun"/>
                <w:rFonts w:ascii="Times New Roman" w:hAnsi="Times New Roman" w:cs="Times New Roman"/>
              </w:rPr>
              <w:t>. Esto se explica dado que el Distrito Capital cuenta con otros ingresos tributarios que aportan para la consolidación de su recaudo anualizado.</w:t>
            </w:r>
            <w:r w:rsidRPr="009D74A3">
              <w:rPr>
                <w:rStyle w:val="normaltextrun"/>
                <w:rFonts w:ascii="Times New Roman" w:hAnsi="Times New Roman" w:cs="Times New Roman"/>
                <w:sz w:val="22"/>
                <w:szCs w:val="22"/>
              </w:rPr>
              <w:t> </w:t>
            </w:r>
            <w:r w:rsidRPr="009D74A3">
              <w:rPr>
                <w:rStyle w:val="eop"/>
                <w:sz w:val="22"/>
                <w:szCs w:val="22"/>
              </w:rPr>
              <w:t> </w:t>
            </w:r>
          </w:p>
          <w:p w14:paraId="73BFFB15"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eop"/>
                <w:sz w:val="22"/>
                <w:szCs w:val="22"/>
              </w:rPr>
              <w:t> </w:t>
            </w:r>
          </w:p>
          <w:p w14:paraId="27104BEB" w14:textId="61812C1F"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 xml:space="preserve">Gráfico </w:t>
            </w:r>
            <w:r>
              <w:rPr>
                <w:rStyle w:val="normaltextrun"/>
                <w:rFonts w:ascii="Times New Roman" w:hAnsi="Times New Roman" w:cs="Times New Roman"/>
                <w:b/>
                <w:bCs/>
              </w:rPr>
              <w:t>35</w:t>
            </w:r>
            <w:r w:rsidRPr="009D74A3">
              <w:rPr>
                <w:rStyle w:val="normaltextrun"/>
                <w:rFonts w:ascii="Times New Roman" w:hAnsi="Times New Roman" w:cs="Times New Roman"/>
                <w:b/>
                <w:bCs/>
              </w:rPr>
              <w:t>.</w:t>
            </w:r>
            <w:r w:rsidRPr="009D74A3">
              <w:rPr>
                <w:rStyle w:val="eop"/>
                <w:i/>
                <w:iCs/>
              </w:rPr>
              <w:t> </w:t>
            </w:r>
          </w:p>
          <w:p w14:paraId="373D3071" w14:textId="77777777"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Participación del IPU dentro de los Ingresos Tributarios por ciudad 2023</w:t>
            </w:r>
            <w:r w:rsidRPr="009D74A3">
              <w:rPr>
                <w:rStyle w:val="eop"/>
                <w:i/>
                <w:iCs/>
              </w:rPr>
              <w:t> </w:t>
            </w:r>
          </w:p>
          <w:p w14:paraId="41783020" w14:textId="77777777" w:rsidR="009D74A3" w:rsidRPr="009D74A3" w:rsidRDefault="009D74A3" w:rsidP="009D74A3">
            <w:pPr>
              <w:pStyle w:val="paragraph"/>
              <w:spacing w:before="0" w:beforeAutospacing="0" w:after="0" w:afterAutospacing="0"/>
              <w:jc w:val="center"/>
              <w:textAlignment w:val="baseline"/>
              <w:rPr>
                <w:sz w:val="32"/>
                <w:szCs w:val="32"/>
              </w:rPr>
            </w:pPr>
            <w:r w:rsidRPr="009D74A3">
              <w:rPr>
                <w:rStyle w:val="normaltextrun"/>
                <w:rFonts w:ascii="Times New Roman" w:hAnsi="Times New Roman" w:cs="Times New Roman"/>
                <w:i/>
                <w:iCs/>
              </w:rPr>
              <w:t>Porcentaje</w:t>
            </w:r>
            <w:r w:rsidRPr="009D74A3">
              <w:rPr>
                <w:rStyle w:val="eop"/>
              </w:rPr>
              <w:t> </w:t>
            </w:r>
          </w:p>
          <w:p w14:paraId="3ADB03A2" w14:textId="4D7F1420" w:rsidR="009D74A3" w:rsidRPr="009D74A3" w:rsidRDefault="009D74A3" w:rsidP="009D74A3">
            <w:pPr>
              <w:pStyle w:val="paragraph"/>
              <w:spacing w:before="0" w:beforeAutospacing="0" w:after="0" w:afterAutospacing="0"/>
              <w:jc w:val="center"/>
              <w:textAlignment w:val="baseline"/>
              <w:rPr>
                <w:sz w:val="32"/>
                <w:szCs w:val="32"/>
              </w:rPr>
            </w:pPr>
            <w:r w:rsidRPr="009D74A3">
              <w:rPr>
                <w:rFonts w:eastAsiaTheme="minorHAnsi"/>
                <w:noProof/>
                <w:sz w:val="22"/>
                <w:szCs w:val="22"/>
              </w:rPr>
              <w:drawing>
                <wp:inline distT="0" distB="0" distL="0" distR="0" wp14:anchorId="7341008B" wp14:editId="5D2AFE7A">
                  <wp:extent cx="4316812" cy="1817439"/>
                  <wp:effectExtent l="0" t="0" r="7620" b="0"/>
                  <wp:docPr id="965235448"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336420" cy="1825694"/>
                          </a:xfrm>
                          <a:prstGeom prst="rect">
                            <a:avLst/>
                          </a:prstGeom>
                          <a:noFill/>
                          <a:ln>
                            <a:noFill/>
                          </a:ln>
                        </pic:spPr>
                      </pic:pic>
                    </a:graphicData>
                  </a:graphic>
                </wp:inline>
              </w:drawing>
            </w:r>
            <w:r w:rsidRPr="009D74A3">
              <w:rPr>
                <w:rStyle w:val="eop"/>
                <w:sz w:val="22"/>
                <w:szCs w:val="22"/>
              </w:rPr>
              <w:t> </w:t>
            </w:r>
          </w:p>
          <w:p w14:paraId="7F2726AE" w14:textId="77777777" w:rsidR="009D74A3" w:rsidRPr="009D74A3" w:rsidRDefault="009D74A3" w:rsidP="009D74A3">
            <w:pPr>
              <w:pStyle w:val="paragraph"/>
              <w:spacing w:before="0" w:beforeAutospacing="0" w:after="0" w:afterAutospacing="0"/>
              <w:ind w:left="1620"/>
              <w:textAlignment w:val="baseline"/>
              <w:rPr>
                <w:sz w:val="32"/>
                <w:szCs w:val="32"/>
              </w:rPr>
            </w:pPr>
            <w:r w:rsidRPr="009D74A3">
              <w:rPr>
                <w:rStyle w:val="normaltextrun"/>
                <w:rFonts w:ascii="Times New Roman" w:hAnsi="Times New Roman" w:cs="Times New Roman"/>
                <w:b/>
                <w:bCs/>
                <w:sz w:val="20"/>
                <w:szCs w:val="20"/>
              </w:rPr>
              <w:t>Nota:</w:t>
            </w:r>
            <w:r w:rsidRPr="009D74A3">
              <w:rPr>
                <w:rStyle w:val="normaltextrun"/>
                <w:rFonts w:ascii="Times New Roman" w:hAnsi="Times New Roman" w:cs="Times New Roman"/>
                <w:sz w:val="20"/>
                <w:szCs w:val="20"/>
              </w:rPr>
              <w:t xml:space="preserve"> último dato disponible 2023.</w:t>
            </w:r>
            <w:r w:rsidRPr="009D74A3">
              <w:rPr>
                <w:rStyle w:val="eop"/>
                <w:sz w:val="20"/>
                <w:szCs w:val="20"/>
              </w:rPr>
              <w:t> </w:t>
            </w:r>
          </w:p>
          <w:p w14:paraId="1C03D055" w14:textId="77777777" w:rsidR="009D74A3" w:rsidRPr="009D74A3" w:rsidRDefault="009D74A3" w:rsidP="009D74A3">
            <w:pPr>
              <w:pStyle w:val="paragraph"/>
              <w:spacing w:before="0" w:beforeAutospacing="0" w:after="0" w:afterAutospacing="0"/>
              <w:ind w:left="1620"/>
              <w:textAlignment w:val="baseline"/>
              <w:rPr>
                <w:sz w:val="32"/>
                <w:szCs w:val="32"/>
              </w:rPr>
            </w:pPr>
            <w:r w:rsidRPr="009D74A3">
              <w:rPr>
                <w:rStyle w:val="normaltextrun"/>
                <w:rFonts w:ascii="Times New Roman" w:hAnsi="Times New Roman" w:cs="Times New Roman"/>
                <w:b/>
                <w:bCs/>
                <w:sz w:val="20"/>
                <w:szCs w:val="20"/>
              </w:rPr>
              <w:t>Fuente:</w:t>
            </w:r>
            <w:r w:rsidRPr="009D74A3">
              <w:rPr>
                <w:rStyle w:val="normaltextrun"/>
                <w:rFonts w:ascii="Times New Roman" w:hAnsi="Times New Roman" w:cs="Times New Roman"/>
                <w:sz w:val="20"/>
                <w:szCs w:val="20"/>
              </w:rPr>
              <w:t xml:space="preserve"> Departamento Nacional de Planeación – Operaciones efectivas de Caja</w:t>
            </w:r>
            <w:r w:rsidRPr="009D74A3">
              <w:rPr>
                <w:rStyle w:val="normaltextrun"/>
                <w:rFonts w:ascii="Times New Roman" w:hAnsi="Times New Roman" w:cs="Times New Roman"/>
                <w:sz w:val="18"/>
                <w:szCs w:val="18"/>
              </w:rPr>
              <w:t>. </w:t>
            </w:r>
            <w:r w:rsidRPr="009D74A3">
              <w:rPr>
                <w:rStyle w:val="eop"/>
                <w:sz w:val="18"/>
                <w:szCs w:val="18"/>
              </w:rPr>
              <w:t> </w:t>
            </w:r>
          </w:p>
          <w:p w14:paraId="595C0EBD" w14:textId="77777777" w:rsidR="009D74A3" w:rsidRPr="009D74A3" w:rsidRDefault="009D74A3" w:rsidP="009D74A3">
            <w:pPr>
              <w:pStyle w:val="paragraph"/>
              <w:spacing w:before="0" w:beforeAutospacing="0" w:after="0" w:afterAutospacing="0"/>
              <w:textAlignment w:val="baseline"/>
              <w:rPr>
                <w:sz w:val="32"/>
                <w:szCs w:val="32"/>
              </w:rPr>
            </w:pPr>
            <w:r w:rsidRPr="009D74A3">
              <w:rPr>
                <w:rStyle w:val="eop"/>
                <w:sz w:val="22"/>
                <w:szCs w:val="22"/>
              </w:rPr>
              <w:t> </w:t>
            </w:r>
          </w:p>
          <w:p w14:paraId="3BAE5BE7" w14:textId="2545290C"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rPr>
              <w:t xml:space="preserve">Ahora bien, de los </w:t>
            </w:r>
            <w:r w:rsidR="00583BF2">
              <w:rPr>
                <w:rStyle w:val="normaltextrun"/>
                <w:rFonts w:ascii="Times New Roman" w:hAnsi="Times New Roman" w:cs="Times New Roman"/>
              </w:rPr>
              <w:t>$</w:t>
            </w:r>
            <w:r w:rsidRPr="009D74A3">
              <w:rPr>
                <w:rStyle w:val="normaltextrun"/>
                <w:rFonts w:ascii="Times New Roman" w:hAnsi="Times New Roman" w:cs="Times New Roman"/>
              </w:rPr>
              <w:t>11,8 billones</w:t>
            </w:r>
            <w:r w:rsidR="00583BF2">
              <w:rPr>
                <w:rStyle w:val="normaltextrun"/>
                <w:rFonts w:ascii="Times New Roman" w:hAnsi="Times New Roman" w:cs="Times New Roman"/>
              </w:rPr>
              <w:t xml:space="preserve"> </w:t>
            </w:r>
            <w:r w:rsidRPr="009D74A3">
              <w:rPr>
                <w:rStyle w:val="normaltextrun"/>
                <w:rFonts w:ascii="Times New Roman" w:hAnsi="Times New Roman" w:cs="Times New Roman"/>
              </w:rPr>
              <w:t xml:space="preserve">que se recaudaron de predial en todos los municipios de Colombia en el año 2023, Bogotá aportó </w:t>
            </w:r>
            <w:r w:rsidR="00583BF2">
              <w:rPr>
                <w:rStyle w:val="normaltextrun"/>
                <w:rFonts w:ascii="Times New Roman" w:hAnsi="Times New Roman" w:cs="Times New Roman"/>
              </w:rPr>
              <w:t>$</w:t>
            </w:r>
            <w:r w:rsidRPr="009D74A3">
              <w:rPr>
                <w:rStyle w:val="normaltextrun"/>
                <w:rFonts w:ascii="Times New Roman" w:hAnsi="Times New Roman" w:cs="Times New Roman"/>
              </w:rPr>
              <w:t>4,1 billones, lo que representa el 35% del total. Ciudades como Medellín o Cali, que son la segunda y tercera ciudades de mayor recaudo de este tributo, apenas alcanzaron a recaudar el 29% y el 19% de lo que recauda el Distrito Capital</w:t>
            </w:r>
            <w:r w:rsidR="00583BF2">
              <w:rPr>
                <w:rStyle w:val="normaltextrun"/>
                <w:rFonts w:ascii="Times New Roman" w:hAnsi="Times New Roman" w:cs="Times New Roman"/>
              </w:rPr>
              <w:t xml:space="preserve"> (</w:t>
            </w:r>
            <w:r w:rsidR="00583BF2" w:rsidRPr="00583BF2">
              <w:rPr>
                <w:rStyle w:val="normaltextrun"/>
                <w:rFonts w:ascii="Times New Roman" w:hAnsi="Times New Roman" w:cs="Times New Roman"/>
                <w:b/>
                <w:bCs/>
              </w:rPr>
              <w:t>Gráfico 36</w:t>
            </w:r>
            <w:r w:rsidR="00583BF2">
              <w:rPr>
                <w:rStyle w:val="normaltextrun"/>
                <w:rFonts w:ascii="Times New Roman" w:hAnsi="Times New Roman" w:cs="Times New Roman"/>
              </w:rPr>
              <w:t>)</w:t>
            </w:r>
            <w:r w:rsidRPr="009D74A3">
              <w:rPr>
                <w:rStyle w:val="normaltextrun"/>
                <w:rFonts w:ascii="Times New Roman" w:hAnsi="Times New Roman" w:cs="Times New Roman"/>
              </w:rPr>
              <w:t>. </w:t>
            </w:r>
            <w:r w:rsidRPr="009D74A3">
              <w:rPr>
                <w:rStyle w:val="eop"/>
              </w:rPr>
              <w:t> </w:t>
            </w:r>
          </w:p>
          <w:p w14:paraId="2B086E55"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eop"/>
              </w:rPr>
              <w:t> </w:t>
            </w:r>
          </w:p>
          <w:p w14:paraId="7D7D7C4E" w14:textId="4D99F32A"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 xml:space="preserve">Gráfico </w:t>
            </w:r>
            <w:r>
              <w:rPr>
                <w:rStyle w:val="normaltextrun"/>
                <w:rFonts w:ascii="Times New Roman" w:hAnsi="Times New Roman" w:cs="Times New Roman"/>
                <w:b/>
                <w:bCs/>
              </w:rPr>
              <w:t>36</w:t>
            </w:r>
            <w:r w:rsidRPr="009D74A3">
              <w:rPr>
                <w:rStyle w:val="normaltextrun"/>
                <w:rFonts w:ascii="Times New Roman" w:hAnsi="Times New Roman" w:cs="Times New Roman"/>
                <w:b/>
                <w:bCs/>
              </w:rPr>
              <w:t>.</w:t>
            </w:r>
            <w:r w:rsidRPr="009D74A3">
              <w:rPr>
                <w:rStyle w:val="eop"/>
                <w:i/>
                <w:iCs/>
              </w:rPr>
              <w:t> </w:t>
            </w:r>
          </w:p>
          <w:p w14:paraId="5216BCD6" w14:textId="77777777"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Recaudo por Impuesto Predial por ciudad 2023</w:t>
            </w:r>
            <w:r w:rsidRPr="009D74A3">
              <w:rPr>
                <w:rStyle w:val="eop"/>
                <w:i/>
                <w:iCs/>
              </w:rPr>
              <w:t> </w:t>
            </w:r>
          </w:p>
          <w:p w14:paraId="4D574B5D" w14:textId="77777777" w:rsidR="009D74A3" w:rsidRPr="009D74A3" w:rsidRDefault="009D74A3" w:rsidP="009D74A3">
            <w:pPr>
              <w:pStyle w:val="paragraph"/>
              <w:spacing w:before="0" w:beforeAutospacing="0" w:after="0" w:afterAutospacing="0"/>
              <w:jc w:val="center"/>
              <w:textAlignment w:val="baseline"/>
              <w:rPr>
                <w:sz w:val="32"/>
                <w:szCs w:val="32"/>
              </w:rPr>
            </w:pPr>
            <w:r w:rsidRPr="009D74A3">
              <w:rPr>
                <w:rStyle w:val="normaltextrun"/>
                <w:rFonts w:ascii="Times New Roman" w:hAnsi="Times New Roman" w:cs="Times New Roman"/>
                <w:i/>
                <w:iCs/>
              </w:rPr>
              <w:t>Millones</w:t>
            </w:r>
            <w:r w:rsidRPr="009D74A3">
              <w:rPr>
                <w:rStyle w:val="eop"/>
              </w:rPr>
              <w:t> </w:t>
            </w:r>
          </w:p>
          <w:p w14:paraId="28F2FEA9" w14:textId="0F8213FD" w:rsidR="009D74A3" w:rsidRPr="009D74A3" w:rsidRDefault="009D74A3" w:rsidP="009D74A3">
            <w:pPr>
              <w:pStyle w:val="paragraph"/>
              <w:spacing w:before="0" w:beforeAutospacing="0" w:after="0" w:afterAutospacing="0"/>
              <w:jc w:val="center"/>
              <w:textAlignment w:val="baseline"/>
              <w:rPr>
                <w:sz w:val="32"/>
                <w:szCs w:val="32"/>
              </w:rPr>
            </w:pPr>
            <w:r w:rsidRPr="009D74A3">
              <w:rPr>
                <w:rFonts w:eastAsiaTheme="minorHAnsi"/>
                <w:noProof/>
                <w:sz w:val="22"/>
                <w:szCs w:val="22"/>
              </w:rPr>
              <w:drawing>
                <wp:inline distT="0" distB="0" distL="0" distR="0" wp14:anchorId="1FBEB9A7" wp14:editId="40F89372">
                  <wp:extent cx="4308861" cy="2173949"/>
                  <wp:effectExtent l="0" t="0" r="0" b="0"/>
                  <wp:docPr id="670957606"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331293" cy="2185267"/>
                          </a:xfrm>
                          <a:prstGeom prst="rect">
                            <a:avLst/>
                          </a:prstGeom>
                          <a:noFill/>
                          <a:ln>
                            <a:noFill/>
                          </a:ln>
                        </pic:spPr>
                      </pic:pic>
                    </a:graphicData>
                  </a:graphic>
                </wp:inline>
              </w:drawing>
            </w:r>
            <w:r w:rsidRPr="009D74A3">
              <w:rPr>
                <w:rStyle w:val="eop"/>
                <w:sz w:val="22"/>
                <w:szCs w:val="22"/>
              </w:rPr>
              <w:t> </w:t>
            </w:r>
          </w:p>
          <w:p w14:paraId="0D206500" w14:textId="77777777" w:rsidR="009D74A3" w:rsidRDefault="009D74A3" w:rsidP="009D74A3">
            <w:pPr>
              <w:pStyle w:val="paragraph"/>
              <w:spacing w:before="0" w:beforeAutospacing="0" w:after="0" w:afterAutospacing="0"/>
              <w:ind w:firstLine="1620"/>
              <w:textAlignment w:val="baseline"/>
              <w:rPr>
                <w:rStyle w:val="eop"/>
                <w:sz w:val="20"/>
                <w:szCs w:val="20"/>
              </w:rPr>
            </w:pPr>
            <w:r w:rsidRPr="009D74A3">
              <w:rPr>
                <w:rStyle w:val="normaltextrun"/>
                <w:rFonts w:ascii="Times New Roman" w:hAnsi="Times New Roman" w:cs="Times New Roman"/>
                <w:b/>
                <w:bCs/>
                <w:sz w:val="20"/>
                <w:szCs w:val="20"/>
              </w:rPr>
              <w:t>Fuente:</w:t>
            </w:r>
            <w:r w:rsidRPr="009D74A3">
              <w:rPr>
                <w:rStyle w:val="normaltextrun"/>
                <w:rFonts w:ascii="Times New Roman" w:hAnsi="Times New Roman" w:cs="Times New Roman"/>
                <w:sz w:val="20"/>
                <w:szCs w:val="20"/>
              </w:rPr>
              <w:t xml:space="preserve"> DNP, Operaciones de Caja Efectivas 2023</w:t>
            </w:r>
            <w:r w:rsidRPr="009D74A3">
              <w:rPr>
                <w:rStyle w:val="eop"/>
                <w:sz w:val="20"/>
                <w:szCs w:val="20"/>
              </w:rPr>
              <w:t> </w:t>
            </w:r>
          </w:p>
          <w:p w14:paraId="1911E515" w14:textId="77777777" w:rsidR="00583BF2" w:rsidRPr="009D74A3" w:rsidRDefault="00583BF2" w:rsidP="009D74A3">
            <w:pPr>
              <w:pStyle w:val="paragraph"/>
              <w:spacing w:before="0" w:beforeAutospacing="0" w:after="0" w:afterAutospacing="0"/>
              <w:ind w:firstLine="1620"/>
              <w:textAlignment w:val="baseline"/>
              <w:rPr>
                <w:sz w:val="32"/>
                <w:szCs w:val="32"/>
              </w:rPr>
            </w:pPr>
          </w:p>
          <w:p w14:paraId="19E8EAB7" w14:textId="1AC1E085" w:rsidR="00D81A3A" w:rsidRDefault="00F37FD1" w:rsidP="009D74A3">
            <w:pPr>
              <w:pStyle w:val="paragraph"/>
              <w:spacing w:before="0" w:beforeAutospacing="0" w:after="0" w:afterAutospacing="0"/>
              <w:jc w:val="both"/>
              <w:textAlignment w:val="baseline"/>
              <w:rPr>
                <w:rStyle w:val="normaltextrun"/>
                <w:rFonts w:ascii="Times New Roman" w:hAnsi="Times New Roman" w:cs="Times New Roman"/>
              </w:rPr>
            </w:pPr>
            <w:r>
              <w:rPr>
                <w:rStyle w:val="normaltextrun"/>
                <w:rFonts w:ascii="Times New Roman" w:hAnsi="Times New Roman" w:cs="Times New Roman"/>
              </w:rPr>
              <w:t>Respecto</w:t>
            </w:r>
            <w:r w:rsidR="009D74A3" w:rsidRPr="009D74A3">
              <w:rPr>
                <w:rStyle w:val="normaltextrun"/>
                <w:rFonts w:ascii="Times New Roman" w:hAnsi="Times New Roman" w:cs="Times New Roman"/>
              </w:rPr>
              <w:t xml:space="preserve"> a la facturación del impuesto, se observa que desde su adopción a través del Acuerdo </w:t>
            </w:r>
            <w:r w:rsidR="00D139D9">
              <w:rPr>
                <w:rStyle w:val="normaltextrun"/>
                <w:rFonts w:ascii="Times New Roman" w:hAnsi="Times New Roman" w:cs="Times New Roman"/>
              </w:rPr>
              <w:t xml:space="preserve">Distrital </w:t>
            </w:r>
            <w:r w:rsidR="009D74A3" w:rsidRPr="009D74A3">
              <w:rPr>
                <w:rStyle w:val="normaltextrun"/>
                <w:rFonts w:ascii="Times New Roman" w:hAnsi="Times New Roman" w:cs="Times New Roman"/>
              </w:rPr>
              <w:t>648 de 2016 hasta el año 2024, el Distrito Capital ha incrementado el porcentaje de expedición de estos documentos, llegando en la última anualidad a facturar el 99,1% de los inmuebles obligados al pago del impuesto. </w:t>
            </w:r>
            <w:r w:rsidR="009D74A3" w:rsidRPr="009D74A3">
              <w:rPr>
                <w:rStyle w:val="eop"/>
              </w:rPr>
              <w:t> </w:t>
            </w:r>
            <w:r w:rsidRPr="00943280">
              <w:rPr>
                <w:rStyle w:val="normaltextrun"/>
                <w:rFonts w:ascii="Times New Roman" w:hAnsi="Times New Roman" w:cs="Times New Roman"/>
              </w:rPr>
              <w:t>Frente al año 2022, es importan indicar que en esta vigencia entró en funcionamiento la nueva plataforma informática a través de la cual los contribuyentes acceden a los recibos de pago de sus impuestos</w:t>
            </w:r>
            <w:r w:rsidR="00150351">
              <w:rPr>
                <w:rStyle w:val="normaltextrun"/>
                <w:rFonts w:ascii="Times New Roman" w:hAnsi="Times New Roman" w:cs="Times New Roman"/>
              </w:rPr>
              <w:t xml:space="preserve"> generando</w:t>
            </w:r>
            <w:r w:rsidR="004B499E">
              <w:rPr>
                <w:rStyle w:val="normaltextrun"/>
                <w:rFonts w:ascii="Times New Roman" w:hAnsi="Times New Roman" w:cs="Times New Roman"/>
              </w:rPr>
              <w:t xml:space="preserve"> algunos inconveniente</w:t>
            </w:r>
            <w:r w:rsidR="00E33464">
              <w:rPr>
                <w:rStyle w:val="normaltextrun"/>
                <w:rFonts w:ascii="Times New Roman" w:hAnsi="Times New Roman" w:cs="Times New Roman"/>
              </w:rPr>
              <w:t>s en el pago de los tributos</w:t>
            </w:r>
            <w:r w:rsidR="00E511F4">
              <w:rPr>
                <w:rStyle w:val="normaltextrun"/>
                <w:rFonts w:ascii="Times New Roman" w:hAnsi="Times New Roman" w:cs="Times New Roman"/>
              </w:rPr>
              <w:t>. Esta situación llev</w:t>
            </w:r>
            <w:r w:rsidR="00123561">
              <w:rPr>
                <w:rStyle w:val="normaltextrun"/>
                <w:rFonts w:ascii="Times New Roman" w:hAnsi="Times New Roman" w:cs="Times New Roman"/>
              </w:rPr>
              <w:t>ó</w:t>
            </w:r>
            <w:r w:rsidR="00E511F4">
              <w:rPr>
                <w:rStyle w:val="normaltextrun"/>
                <w:rFonts w:ascii="Times New Roman" w:hAnsi="Times New Roman" w:cs="Times New Roman"/>
              </w:rPr>
              <w:t xml:space="preserve"> a que la Secretar</w:t>
            </w:r>
            <w:r w:rsidR="0082776F">
              <w:rPr>
                <w:rStyle w:val="normaltextrun"/>
                <w:rFonts w:ascii="Times New Roman" w:hAnsi="Times New Roman" w:cs="Times New Roman"/>
              </w:rPr>
              <w:t>í</w:t>
            </w:r>
            <w:r w:rsidR="00E511F4">
              <w:rPr>
                <w:rStyle w:val="normaltextrun"/>
                <w:rFonts w:ascii="Times New Roman" w:hAnsi="Times New Roman" w:cs="Times New Roman"/>
              </w:rPr>
              <w:t>a de Hacienda extendiera el plazo de</w:t>
            </w:r>
            <w:r w:rsidRPr="00943280">
              <w:rPr>
                <w:rStyle w:val="normaltextrun"/>
                <w:rFonts w:ascii="Times New Roman" w:hAnsi="Times New Roman" w:cs="Times New Roman"/>
              </w:rPr>
              <w:t xml:space="preserve"> vencimiento </w:t>
            </w:r>
            <w:r w:rsidR="00DF48CA">
              <w:rPr>
                <w:rStyle w:val="normaltextrun"/>
                <w:rFonts w:ascii="Times New Roman" w:hAnsi="Times New Roman" w:cs="Times New Roman"/>
              </w:rPr>
              <w:t xml:space="preserve">por pronto </w:t>
            </w:r>
            <w:r w:rsidRPr="00943280">
              <w:rPr>
                <w:rStyle w:val="normaltextrun"/>
                <w:rFonts w:ascii="Times New Roman" w:hAnsi="Times New Roman" w:cs="Times New Roman"/>
              </w:rPr>
              <w:t>pago del impuesto predial hasta el mes</w:t>
            </w:r>
            <w:r w:rsidR="00117F9F">
              <w:rPr>
                <w:rStyle w:val="normaltextrun"/>
                <w:rFonts w:ascii="Times New Roman" w:hAnsi="Times New Roman" w:cs="Times New Roman"/>
              </w:rPr>
              <w:t xml:space="preserve"> de </w:t>
            </w:r>
            <w:r w:rsidR="00DF48CA">
              <w:rPr>
                <w:rStyle w:val="normaltextrun"/>
                <w:rFonts w:ascii="Times New Roman" w:hAnsi="Times New Roman" w:cs="Times New Roman"/>
              </w:rPr>
              <w:t>julio</w:t>
            </w:r>
            <w:r w:rsidR="002C1FFF">
              <w:rPr>
                <w:rStyle w:val="normaltextrun"/>
                <w:rFonts w:ascii="Times New Roman" w:hAnsi="Times New Roman" w:cs="Times New Roman"/>
              </w:rPr>
              <w:t xml:space="preserve">, lo que a su vez </w:t>
            </w:r>
            <w:r w:rsidR="00AA2F3A">
              <w:rPr>
                <w:rStyle w:val="normaltextrun"/>
                <w:rFonts w:ascii="Times New Roman" w:hAnsi="Times New Roman" w:cs="Times New Roman"/>
              </w:rPr>
              <w:t>extendió el periodo de tiempo</w:t>
            </w:r>
            <w:r w:rsidR="00C93C4E">
              <w:rPr>
                <w:rStyle w:val="normaltextrun"/>
                <w:rFonts w:ascii="Times New Roman" w:hAnsi="Times New Roman" w:cs="Times New Roman"/>
              </w:rPr>
              <w:t xml:space="preserve"> en que usualmente se lleva a cabo el proceso de facturación.</w:t>
            </w:r>
          </w:p>
          <w:p w14:paraId="5278E939" w14:textId="77777777" w:rsidR="00D81A3A" w:rsidRPr="00943280" w:rsidRDefault="00D81A3A" w:rsidP="009D74A3">
            <w:pPr>
              <w:pStyle w:val="paragraph"/>
              <w:spacing w:before="0" w:beforeAutospacing="0" w:after="0" w:afterAutospacing="0"/>
              <w:jc w:val="both"/>
              <w:textAlignment w:val="baseline"/>
              <w:rPr>
                <w:rStyle w:val="normaltextrun"/>
                <w:rFonts w:ascii="Times New Roman" w:hAnsi="Times New Roman" w:cs="Times New Roman"/>
              </w:rPr>
            </w:pPr>
          </w:p>
          <w:p w14:paraId="49A6D53F" w14:textId="150B82A9" w:rsidR="009D74A3" w:rsidRPr="009D74A3" w:rsidRDefault="009D74A3" w:rsidP="009934C3">
            <w:pPr>
              <w:pStyle w:val="paragraph"/>
              <w:spacing w:before="0" w:beforeAutospacing="0" w:after="0" w:afterAutospacing="0"/>
              <w:jc w:val="center"/>
              <w:textAlignment w:val="baseline"/>
              <w:rPr>
                <w:i/>
                <w:iCs/>
                <w:color w:val="44546A"/>
                <w:sz w:val="32"/>
                <w:szCs w:val="32"/>
              </w:rPr>
            </w:pPr>
            <w:r w:rsidRPr="00943280">
              <w:rPr>
                <w:rStyle w:val="normaltextrun"/>
                <w:rFonts w:ascii="Times New Roman" w:hAnsi="Times New Roman" w:cs="Times New Roman"/>
              </w:rPr>
              <w:t> </w:t>
            </w:r>
            <w:r w:rsidRPr="009D74A3">
              <w:rPr>
                <w:rStyle w:val="normaltextrun"/>
                <w:rFonts w:ascii="Times New Roman" w:hAnsi="Times New Roman" w:cs="Times New Roman"/>
                <w:b/>
                <w:bCs/>
              </w:rPr>
              <w:t xml:space="preserve">Gráfico </w:t>
            </w:r>
            <w:r>
              <w:rPr>
                <w:rStyle w:val="normaltextrun"/>
                <w:rFonts w:ascii="Times New Roman" w:hAnsi="Times New Roman" w:cs="Times New Roman"/>
                <w:b/>
                <w:bCs/>
              </w:rPr>
              <w:t>37</w:t>
            </w:r>
            <w:r w:rsidRPr="009D74A3">
              <w:rPr>
                <w:rStyle w:val="normaltextrun"/>
                <w:rFonts w:ascii="Times New Roman" w:hAnsi="Times New Roman" w:cs="Times New Roman"/>
                <w:b/>
                <w:bCs/>
              </w:rPr>
              <w:t>.</w:t>
            </w:r>
          </w:p>
          <w:p w14:paraId="2BE90B54" w14:textId="7822073B" w:rsidR="009D74A3" w:rsidRDefault="009D74A3" w:rsidP="00A37C5F">
            <w:pPr>
              <w:pStyle w:val="paragraph"/>
              <w:spacing w:before="0" w:beforeAutospacing="0" w:after="0" w:afterAutospacing="0"/>
              <w:jc w:val="center"/>
              <w:textAlignment w:val="baseline"/>
              <w:rPr>
                <w:rStyle w:val="eop"/>
                <w:b/>
                <w:bCs/>
                <w:sz w:val="22"/>
                <w:szCs w:val="22"/>
              </w:rPr>
            </w:pPr>
            <w:r w:rsidRPr="00A37C5F">
              <w:rPr>
                <w:rStyle w:val="normaltextrun"/>
                <w:rFonts w:ascii="Times New Roman" w:hAnsi="Times New Roman" w:cs="Times New Roman"/>
                <w:b/>
                <w:bCs/>
                <w:sz w:val="22"/>
                <w:szCs w:val="22"/>
              </w:rPr>
              <w:t>Porcentaje de Predios Obligados a pagar IPU que no fueron facturados</w:t>
            </w:r>
            <w:r w:rsidRPr="00A37C5F">
              <w:rPr>
                <w:rStyle w:val="eop"/>
                <w:b/>
                <w:bCs/>
                <w:sz w:val="22"/>
                <w:szCs w:val="22"/>
              </w:rPr>
              <w:t> </w:t>
            </w:r>
          </w:p>
          <w:p w14:paraId="058A8630" w14:textId="285A2B45" w:rsidR="002C4C79" w:rsidRPr="002C4C79" w:rsidRDefault="002C4C79" w:rsidP="00A37C5F">
            <w:pPr>
              <w:pStyle w:val="paragraph"/>
              <w:spacing w:before="0" w:beforeAutospacing="0" w:after="0" w:afterAutospacing="0"/>
              <w:jc w:val="center"/>
              <w:textAlignment w:val="baseline"/>
              <w:rPr>
                <w:i/>
                <w:iCs/>
                <w:sz w:val="32"/>
                <w:szCs w:val="32"/>
              </w:rPr>
            </w:pPr>
            <w:r w:rsidRPr="002C4C79">
              <w:rPr>
                <w:rStyle w:val="eop"/>
                <w:i/>
                <w:iCs/>
                <w:sz w:val="22"/>
                <w:szCs w:val="22"/>
              </w:rPr>
              <w:t>Porcentaje</w:t>
            </w:r>
          </w:p>
          <w:p w14:paraId="26646BC3" w14:textId="3E12467A" w:rsidR="009D74A3" w:rsidRPr="009D74A3" w:rsidRDefault="002B22CE" w:rsidP="009D74A3">
            <w:pPr>
              <w:pStyle w:val="paragraph"/>
              <w:spacing w:before="0" w:beforeAutospacing="0" w:after="0" w:afterAutospacing="0"/>
              <w:jc w:val="center"/>
              <w:textAlignment w:val="baseline"/>
              <w:rPr>
                <w:sz w:val="32"/>
                <w:szCs w:val="32"/>
              </w:rPr>
            </w:pPr>
            <w:r>
              <w:rPr>
                <w:noProof/>
              </w:rPr>
              <w:drawing>
                <wp:inline distT="0" distB="0" distL="0" distR="0" wp14:anchorId="5E2686F1" wp14:editId="688FD047">
                  <wp:extent cx="3869221" cy="1734009"/>
                  <wp:effectExtent l="0" t="0" r="0" b="0"/>
                  <wp:docPr id="1531324793"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1324793" name=""/>
                          <pic:cNvPicPr/>
                        </pic:nvPicPr>
                        <pic:blipFill>
                          <a:blip r:embed="rId59"/>
                          <a:stretch>
                            <a:fillRect/>
                          </a:stretch>
                        </pic:blipFill>
                        <pic:spPr>
                          <a:xfrm>
                            <a:off x="0" y="0"/>
                            <a:ext cx="3894016" cy="1745121"/>
                          </a:xfrm>
                          <a:prstGeom prst="rect">
                            <a:avLst/>
                          </a:prstGeom>
                        </pic:spPr>
                      </pic:pic>
                    </a:graphicData>
                  </a:graphic>
                </wp:inline>
              </w:drawing>
            </w:r>
            <w:r w:rsidR="009D74A3" w:rsidRPr="009D74A3">
              <w:rPr>
                <w:rStyle w:val="eop"/>
                <w:sz w:val="22"/>
                <w:szCs w:val="22"/>
              </w:rPr>
              <w:t> </w:t>
            </w:r>
          </w:p>
          <w:p w14:paraId="7AD476B7" w14:textId="5F73F60A" w:rsidR="009D74A3" w:rsidRPr="009D74A3" w:rsidRDefault="009E265A" w:rsidP="00A37C5F">
            <w:pPr>
              <w:pStyle w:val="paragraph"/>
              <w:spacing w:before="0" w:beforeAutospacing="0" w:after="0" w:afterAutospacing="0"/>
              <w:jc w:val="both"/>
              <w:textAlignment w:val="baseline"/>
              <w:rPr>
                <w:sz w:val="32"/>
                <w:szCs w:val="32"/>
              </w:rPr>
            </w:pPr>
            <w:r>
              <w:rPr>
                <w:rStyle w:val="normaltextrun"/>
                <w:rFonts w:ascii="Times New Roman" w:hAnsi="Times New Roman" w:cs="Times New Roman"/>
                <w:color w:val="0E2841"/>
                <w:sz w:val="16"/>
                <w:szCs w:val="16"/>
                <w:lang w:val="es-ES"/>
              </w:rPr>
              <w:t xml:space="preserve">             </w:t>
            </w:r>
            <w:r w:rsidR="00DC154B">
              <w:rPr>
                <w:rStyle w:val="normaltextrun"/>
                <w:rFonts w:ascii="Times New Roman" w:hAnsi="Times New Roman" w:cs="Times New Roman"/>
                <w:color w:val="0E2841"/>
                <w:sz w:val="16"/>
                <w:szCs w:val="16"/>
                <w:lang w:val="es-ES"/>
              </w:rPr>
              <w:t xml:space="preserve">         </w:t>
            </w:r>
            <w:r w:rsidR="009D74A3" w:rsidRPr="009D74A3">
              <w:rPr>
                <w:rStyle w:val="normaltextrun"/>
                <w:rFonts w:ascii="Times New Roman" w:hAnsi="Times New Roman" w:cs="Times New Roman"/>
                <w:color w:val="0E2841"/>
                <w:sz w:val="16"/>
                <w:szCs w:val="16"/>
                <w:lang w:val="es-ES"/>
              </w:rPr>
              <w:t>                    </w:t>
            </w:r>
            <w:r w:rsidR="009D74A3" w:rsidRPr="009D74A3">
              <w:rPr>
                <w:rStyle w:val="eop"/>
                <w:color w:val="0E2841"/>
                <w:sz w:val="16"/>
                <w:szCs w:val="16"/>
              </w:rPr>
              <w:t> </w:t>
            </w:r>
            <w:r w:rsidR="009D74A3" w:rsidRPr="009D74A3">
              <w:rPr>
                <w:rStyle w:val="normaltextrun"/>
                <w:rFonts w:ascii="Times New Roman" w:hAnsi="Times New Roman" w:cs="Times New Roman"/>
                <w:b/>
                <w:bCs/>
                <w:sz w:val="20"/>
                <w:szCs w:val="20"/>
              </w:rPr>
              <w:t>Fuente</w:t>
            </w:r>
            <w:r w:rsidR="009D74A3" w:rsidRPr="009D74A3">
              <w:rPr>
                <w:rStyle w:val="normaltextrun"/>
                <w:rFonts w:ascii="Times New Roman" w:hAnsi="Times New Roman" w:cs="Times New Roman"/>
                <w:sz w:val="20"/>
                <w:szCs w:val="20"/>
              </w:rPr>
              <w:t>: Secretaría Distrital de Hacienda.</w:t>
            </w:r>
            <w:r w:rsidR="009D74A3" w:rsidRPr="009D74A3">
              <w:rPr>
                <w:rStyle w:val="eop"/>
                <w:sz w:val="20"/>
                <w:szCs w:val="20"/>
              </w:rPr>
              <w:t> </w:t>
            </w:r>
          </w:p>
          <w:p w14:paraId="43DB5326" w14:textId="77777777" w:rsidR="009D74A3" w:rsidRPr="009D74A3" w:rsidRDefault="009D74A3" w:rsidP="009D74A3">
            <w:pPr>
              <w:pStyle w:val="paragraph"/>
              <w:spacing w:before="0" w:beforeAutospacing="0" w:after="0" w:afterAutospacing="0"/>
              <w:jc w:val="center"/>
              <w:textAlignment w:val="baseline"/>
              <w:rPr>
                <w:sz w:val="32"/>
                <w:szCs w:val="32"/>
              </w:rPr>
            </w:pPr>
            <w:r w:rsidRPr="009D74A3">
              <w:rPr>
                <w:rStyle w:val="eop"/>
                <w:sz w:val="22"/>
                <w:szCs w:val="22"/>
              </w:rPr>
              <w:t> </w:t>
            </w:r>
          </w:p>
          <w:p w14:paraId="5011BEA2" w14:textId="4D56777F" w:rsidR="009D74A3" w:rsidRPr="009D74A3" w:rsidRDefault="009D74A3" w:rsidP="009D74A3">
            <w:pPr>
              <w:pStyle w:val="paragraph"/>
              <w:spacing w:before="0" w:beforeAutospacing="0" w:after="0" w:afterAutospacing="0"/>
              <w:jc w:val="both"/>
              <w:textAlignment w:val="baseline"/>
              <w:rPr>
                <w:i/>
                <w:iCs/>
                <w:color w:val="000000" w:themeColor="text1"/>
                <w:sz w:val="32"/>
                <w:szCs w:val="32"/>
              </w:rPr>
            </w:pPr>
            <w:r w:rsidRPr="009D74A3">
              <w:rPr>
                <w:rStyle w:val="normaltextrun"/>
                <w:rFonts w:ascii="Times New Roman" w:hAnsi="Times New Roman" w:cs="Times New Roman"/>
                <w:color w:val="000000" w:themeColor="text1"/>
              </w:rPr>
              <w:t xml:space="preserve">La evasión del IPU ha retornado a los niveles observados antes de la emergencia sanitaria </w:t>
            </w:r>
            <w:r w:rsidR="00123561">
              <w:rPr>
                <w:rStyle w:val="normaltextrun"/>
                <w:rFonts w:ascii="Times New Roman" w:hAnsi="Times New Roman" w:cs="Times New Roman"/>
                <w:color w:val="000000" w:themeColor="text1"/>
              </w:rPr>
              <w:t>cuando</w:t>
            </w:r>
            <w:r w:rsidR="00123561" w:rsidRPr="009D74A3">
              <w:rPr>
                <w:rStyle w:val="normaltextrun"/>
                <w:rFonts w:ascii="Times New Roman" w:hAnsi="Times New Roman" w:cs="Times New Roman"/>
                <w:color w:val="000000" w:themeColor="text1"/>
              </w:rPr>
              <w:t xml:space="preserve"> </w:t>
            </w:r>
            <w:r w:rsidRPr="009D74A3">
              <w:rPr>
                <w:rStyle w:val="normaltextrun"/>
                <w:rFonts w:ascii="Times New Roman" w:hAnsi="Times New Roman" w:cs="Times New Roman"/>
                <w:color w:val="000000" w:themeColor="text1"/>
              </w:rPr>
              <w:t xml:space="preserve">la misma alcanzó niveles del 19% </w:t>
            </w:r>
            <w:r w:rsidR="00123561">
              <w:rPr>
                <w:rStyle w:val="normaltextrun"/>
                <w:rFonts w:ascii="Times New Roman" w:hAnsi="Times New Roman" w:cs="Times New Roman"/>
                <w:color w:val="000000" w:themeColor="text1"/>
              </w:rPr>
              <w:t>(</w:t>
            </w:r>
            <w:r w:rsidRPr="009D74A3">
              <w:rPr>
                <w:rStyle w:val="normaltextrun"/>
                <w:rFonts w:ascii="Times New Roman" w:hAnsi="Times New Roman" w:cs="Times New Roman"/>
                <w:color w:val="000000" w:themeColor="text1"/>
              </w:rPr>
              <w:t>año 2020</w:t>
            </w:r>
            <w:r w:rsidR="00123561">
              <w:rPr>
                <w:rStyle w:val="normaltextrun"/>
                <w:rFonts w:ascii="Times New Roman" w:hAnsi="Times New Roman" w:cs="Times New Roman"/>
                <w:color w:val="000000" w:themeColor="text1"/>
              </w:rPr>
              <w:t>)</w:t>
            </w:r>
            <w:r w:rsidRPr="009D74A3">
              <w:rPr>
                <w:rStyle w:val="normaltextrun"/>
                <w:rFonts w:ascii="Times New Roman" w:hAnsi="Times New Roman" w:cs="Times New Roman"/>
                <w:color w:val="000000" w:themeColor="text1"/>
              </w:rPr>
              <w:t xml:space="preserve">. </w:t>
            </w:r>
            <w:r w:rsidR="00123561">
              <w:rPr>
                <w:rStyle w:val="normaltextrun"/>
                <w:rFonts w:ascii="Times New Roman" w:hAnsi="Times New Roman" w:cs="Times New Roman"/>
                <w:color w:val="000000" w:themeColor="text1"/>
              </w:rPr>
              <w:t xml:space="preserve">En </w:t>
            </w:r>
            <w:r w:rsidRPr="009D74A3">
              <w:rPr>
                <w:rStyle w:val="normaltextrun"/>
                <w:rFonts w:ascii="Times New Roman" w:hAnsi="Times New Roman" w:cs="Times New Roman"/>
                <w:color w:val="000000" w:themeColor="text1"/>
              </w:rPr>
              <w:t>2024 esta medición se ubicó en el 13,1%, menor a la del año 2019 que estuvo en el 14% (</w:t>
            </w:r>
            <w:r w:rsidRPr="009D74A3">
              <w:rPr>
                <w:rStyle w:val="normaltextrun"/>
                <w:rFonts w:ascii="Times New Roman" w:hAnsi="Times New Roman" w:cs="Times New Roman"/>
                <w:b/>
                <w:bCs/>
                <w:color w:val="000000" w:themeColor="text1"/>
              </w:rPr>
              <w:t>Gráfico 3</w:t>
            </w:r>
            <w:r>
              <w:rPr>
                <w:rStyle w:val="normaltextrun"/>
                <w:rFonts w:ascii="Times New Roman" w:hAnsi="Times New Roman" w:cs="Times New Roman"/>
                <w:b/>
                <w:bCs/>
                <w:color w:val="000000" w:themeColor="text1"/>
              </w:rPr>
              <w:t>8</w:t>
            </w:r>
            <w:r w:rsidRPr="009D74A3">
              <w:rPr>
                <w:rStyle w:val="normaltextrun"/>
                <w:rFonts w:ascii="Times New Roman" w:hAnsi="Times New Roman" w:cs="Times New Roman"/>
                <w:color w:val="000000" w:themeColor="text1"/>
              </w:rPr>
              <w:t>).</w:t>
            </w:r>
            <w:r w:rsidRPr="009D74A3">
              <w:rPr>
                <w:rStyle w:val="eop"/>
                <w:i/>
                <w:iCs/>
                <w:color w:val="000000" w:themeColor="text1"/>
              </w:rPr>
              <w:t> </w:t>
            </w:r>
          </w:p>
          <w:p w14:paraId="53CB20EC" w14:textId="77777777" w:rsidR="009D74A3" w:rsidRPr="009D74A3" w:rsidRDefault="009D74A3" w:rsidP="009D74A3">
            <w:pPr>
              <w:pStyle w:val="paragraph"/>
              <w:spacing w:before="0" w:beforeAutospacing="0" w:after="0" w:afterAutospacing="0"/>
              <w:textAlignment w:val="baseline"/>
              <w:rPr>
                <w:sz w:val="32"/>
                <w:szCs w:val="32"/>
              </w:rPr>
            </w:pPr>
            <w:r w:rsidRPr="009D74A3">
              <w:rPr>
                <w:rStyle w:val="eop"/>
                <w:sz w:val="22"/>
                <w:szCs w:val="22"/>
              </w:rPr>
              <w:t> </w:t>
            </w:r>
          </w:p>
          <w:p w14:paraId="32BACFEF" w14:textId="0651FD37"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Gráfico 3</w:t>
            </w:r>
            <w:r>
              <w:rPr>
                <w:rStyle w:val="normaltextrun"/>
                <w:rFonts w:ascii="Times New Roman" w:hAnsi="Times New Roman" w:cs="Times New Roman"/>
                <w:b/>
                <w:bCs/>
              </w:rPr>
              <w:t>8</w:t>
            </w:r>
            <w:r w:rsidRPr="009D74A3">
              <w:rPr>
                <w:rStyle w:val="normaltextrun"/>
                <w:rFonts w:ascii="Times New Roman" w:hAnsi="Times New Roman" w:cs="Times New Roman"/>
                <w:b/>
                <w:bCs/>
              </w:rPr>
              <w:t>.</w:t>
            </w:r>
            <w:r w:rsidRPr="009D74A3">
              <w:rPr>
                <w:rStyle w:val="eop"/>
                <w:i/>
                <w:iCs/>
              </w:rPr>
              <w:t> </w:t>
            </w:r>
          </w:p>
          <w:p w14:paraId="43C7C144" w14:textId="77777777"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Porcentaje de Evasión del impuesto predial unificado</w:t>
            </w:r>
            <w:r w:rsidRPr="009D74A3">
              <w:rPr>
                <w:rStyle w:val="eop"/>
                <w:i/>
                <w:iCs/>
              </w:rPr>
              <w:t> </w:t>
            </w:r>
          </w:p>
          <w:p w14:paraId="614E2571" w14:textId="77777777" w:rsidR="009D74A3" w:rsidRPr="009D74A3" w:rsidRDefault="009D74A3" w:rsidP="009D74A3">
            <w:pPr>
              <w:pStyle w:val="paragraph"/>
              <w:spacing w:before="0" w:beforeAutospacing="0" w:after="0" w:afterAutospacing="0"/>
              <w:jc w:val="center"/>
              <w:textAlignment w:val="baseline"/>
              <w:rPr>
                <w:sz w:val="32"/>
                <w:szCs w:val="32"/>
              </w:rPr>
            </w:pPr>
            <w:r w:rsidRPr="009D74A3">
              <w:rPr>
                <w:rStyle w:val="normaltextrun"/>
                <w:rFonts w:ascii="Times New Roman" w:hAnsi="Times New Roman" w:cs="Times New Roman"/>
                <w:i/>
                <w:iCs/>
              </w:rPr>
              <w:t>Porcentaje</w:t>
            </w:r>
            <w:r w:rsidRPr="009D74A3">
              <w:rPr>
                <w:rStyle w:val="eop"/>
              </w:rPr>
              <w:t> </w:t>
            </w:r>
          </w:p>
          <w:p w14:paraId="0DFF54CB" w14:textId="72A3AB79" w:rsidR="009D74A3" w:rsidRPr="009D74A3" w:rsidRDefault="009D74A3" w:rsidP="009D74A3">
            <w:pPr>
              <w:pStyle w:val="paragraph"/>
              <w:spacing w:before="0" w:beforeAutospacing="0" w:after="0" w:afterAutospacing="0"/>
              <w:jc w:val="center"/>
              <w:textAlignment w:val="baseline"/>
              <w:rPr>
                <w:sz w:val="32"/>
                <w:szCs w:val="32"/>
              </w:rPr>
            </w:pPr>
            <w:r w:rsidRPr="009D74A3">
              <w:rPr>
                <w:rFonts w:eastAsiaTheme="minorHAnsi"/>
                <w:noProof/>
                <w:sz w:val="22"/>
                <w:szCs w:val="22"/>
              </w:rPr>
              <w:drawing>
                <wp:inline distT="0" distB="0" distL="0" distR="0" wp14:anchorId="54F921A1" wp14:editId="309225A5">
                  <wp:extent cx="4121597" cy="1912372"/>
                  <wp:effectExtent l="0" t="0" r="0" b="0"/>
                  <wp:docPr id="54549357"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153328" cy="1927095"/>
                          </a:xfrm>
                          <a:prstGeom prst="rect">
                            <a:avLst/>
                          </a:prstGeom>
                          <a:noFill/>
                          <a:ln>
                            <a:noFill/>
                          </a:ln>
                        </pic:spPr>
                      </pic:pic>
                    </a:graphicData>
                  </a:graphic>
                </wp:inline>
              </w:drawing>
            </w:r>
            <w:r w:rsidRPr="009D74A3">
              <w:rPr>
                <w:rStyle w:val="eop"/>
                <w:sz w:val="22"/>
                <w:szCs w:val="22"/>
              </w:rPr>
              <w:t> </w:t>
            </w:r>
          </w:p>
          <w:p w14:paraId="1764A313" w14:textId="77777777" w:rsidR="009D74A3" w:rsidRPr="009D74A3" w:rsidRDefault="009D74A3" w:rsidP="009D74A3">
            <w:pPr>
              <w:pStyle w:val="paragraph"/>
              <w:spacing w:before="0" w:beforeAutospacing="0" w:after="0" w:afterAutospacing="0"/>
              <w:ind w:firstLine="1200"/>
              <w:textAlignment w:val="baseline"/>
              <w:rPr>
                <w:sz w:val="32"/>
                <w:szCs w:val="32"/>
              </w:rPr>
            </w:pPr>
            <w:r w:rsidRPr="009D74A3">
              <w:rPr>
                <w:rStyle w:val="normaltextrun"/>
                <w:rFonts w:ascii="Times New Roman" w:hAnsi="Times New Roman" w:cs="Times New Roman"/>
                <w:b/>
                <w:bCs/>
                <w:sz w:val="20"/>
                <w:szCs w:val="20"/>
              </w:rPr>
              <w:t>Fuente</w:t>
            </w:r>
            <w:r w:rsidRPr="009D74A3">
              <w:rPr>
                <w:rStyle w:val="normaltextrun"/>
                <w:rFonts w:ascii="Times New Roman" w:hAnsi="Times New Roman" w:cs="Times New Roman"/>
                <w:sz w:val="20"/>
                <w:szCs w:val="20"/>
              </w:rPr>
              <w:t>: Secretaría Distrital de Hacienda</w:t>
            </w:r>
            <w:r w:rsidRPr="009D74A3">
              <w:rPr>
                <w:rStyle w:val="eop"/>
                <w:sz w:val="20"/>
                <w:szCs w:val="20"/>
              </w:rPr>
              <w:t> </w:t>
            </w:r>
          </w:p>
          <w:p w14:paraId="0AD0D3A4" w14:textId="77777777" w:rsidR="009D74A3" w:rsidRPr="009D74A3" w:rsidRDefault="009D74A3" w:rsidP="009D74A3">
            <w:pPr>
              <w:pStyle w:val="paragraph"/>
              <w:spacing w:before="0" w:beforeAutospacing="0" w:after="0" w:afterAutospacing="0"/>
              <w:jc w:val="center"/>
              <w:textAlignment w:val="baseline"/>
              <w:rPr>
                <w:sz w:val="32"/>
                <w:szCs w:val="32"/>
              </w:rPr>
            </w:pPr>
            <w:r w:rsidRPr="009D74A3">
              <w:rPr>
                <w:rStyle w:val="eop"/>
                <w:sz w:val="22"/>
                <w:szCs w:val="22"/>
              </w:rPr>
              <w:t> </w:t>
            </w:r>
          </w:p>
          <w:p w14:paraId="0853F5DA" w14:textId="12428673"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rPr>
              <w:t>Por otro lado, la diferencia entre la variación anual del valor comercial y la variación del valor catastral, donde este último constituye la fuente principal del incremento de la base gravable del impuesto predial, no supera el 10% promedio anual desde 2011 hasta 2024. En los últimos años, tan solo en 2023 y en 2019 se han distanciado en más del 20%</w:t>
            </w:r>
            <w:r w:rsidR="00800694">
              <w:rPr>
                <w:rStyle w:val="normaltextrun"/>
                <w:rFonts w:ascii="Times New Roman" w:hAnsi="Times New Roman" w:cs="Times New Roman"/>
              </w:rPr>
              <w:t xml:space="preserve"> (</w:t>
            </w:r>
            <w:r w:rsidR="00800694" w:rsidRPr="00800694">
              <w:rPr>
                <w:rStyle w:val="normaltextrun"/>
                <w:rFonts w:ascii="Times New Roman" w:hAnsi="Times New Roman" w:cs="Times New Roman"/>
                <w:b/>
                <w:bCs/>
              </w:rPr>
              <w:t>Gráfico 39</w:t>
            </w:r>
            <w:r w:rsidR="00800694">
              <w:rPr>
                <w:rStyle w:val="normaltextrun"/>
                <w:rFonts w:ascii="Times New Roman" w:hAnsi="Times New Roman" w:cs="Times New Roman"/>
              </w:rPr>
              <w:t>)</w:t>
            </w:r>
            <w:r w:rsidRPr="009D74A3">
              <w:rPr>
                <w:rStyle w:val="normaltextrun"/>
                <w:rFonts w:ascii="Times New Roman" w:hAnsi="Times New Roman" w:cs="Times New Roman"/>
              </w:rPr>
              <w:t>.</w:t>
            </w:r>
            <w:r w:rsidRPr="009D74A3">
              <w:rPr>
                <w:rStyle w:val="eop"/>
              </w:rPr>
              <w:t> </w:t>
            </w:r>
          </w:p>
          <w:p w14:paraId="56907624" w14:textId="77777777" w:rsidR="00800694" w:rsidRDefault="00800694" w:rsidP="009D74A3">
            <w:pPr>
              <w:pStyle w:val="paragraph"/>
              <w:spacing w:before="0" w:beforeAutospacing="0" w:after="0" w:afterAutospacing="0"/>
              <w:jc w:val="center"/>
              <w:textAlignment w:val="baseline"/>
              <w:rPr>
                <w:rStyle w:val="normaltextrun"/>
                <w:rFonts w:ascii="Times New Roman" w:hAnsi="Times New Roman" w:cs="Times New Roman"/>
                <w:b/>
                <w:bCs/>
              </w:rPr>
            </w:pPr>
          </w:p>
          <w:p w14:paraId="522CCB66" w14:textId="77777777" w:rsidR="00800694" w:rsidRDefault="00800694" w:rsidP="009D74A3">
            <w:pPr>
              <w:pStyle w:val="paragraph"/>
              <w:spacing w:before="0" w:beforeAutospacing="0" w:after="0" w:afterAutospacing="0"/>
              <w:jc w:val="center"/>
              <w:textAlignment w:val="baseline"/>
              <w:rPr>
                <w:rStyle w:val="normaltextrun"/>
                <w:rFonts w:ascii="Times New Roman" w:hAnsi="Times New Roman" w:cs="Times New Roman"/>
                <w:b/>
                <w:bCs/>
              </w:rPr>
            </w:pPr>
          </w:p>
          <w:p w14:paraId="180B5350" w14:textId="47C693AF"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Gráfico 3</w:t>
            </w:r>
            <w:r>
              <w:rPr>
                <w:rStyle w:val="normaltextrun"/>
                <w:rFonts w:ascii="Times New Roman" w:hAnsi="Times New Roman" w:cs="Times New Roman"/>
                <w:b/>
                <w:bCs/>
              </w:rPr>
              <w:t>9</w:t>
            </w:r>
            <w:r w:rsidRPr="009D74A3">
              <w:rPr>
                <w:rStyle w:val="normaltextrun"/>
                <w:rFonts w:ascii="Times New Roman" w:hAnsi="Times New Roman" w:cs="Times New Roman"/>
                <w:b/>
                <w:bCs/>
              </w:rPr>
              <w:t>.</w:t>
            </w:r>
            <w:r w:rsidRPr="009D74A3">
              <w:rPr>
                <w:rStyle w:val="eop"/>
                <w:i/>
                <w:iCs/>
              </w:rPr>
              <w:t> </w:t>
            </w:r>
          </w:p>
          <w:p w14:paraId="0587D080" w14:textId="77777777"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 xml:space="preserve">Variación del valor comercial y del valor catastral </w:t>
            </w:r>
            <w:r w:rsidRPr="009D74A3">
              <w:rPr>
                <w:rStyle w:val="eop"/>
                <w:i/>
                <w:iCs/>
              </w:rPr>
              <w:t> </w:t>
            </w:r>
          </w:p>
          <w:p w14:paraId="465666F6" w14:textId="77777777" w:rsidR="009D74A3" w:rsidRPr="009D74A3" w:rsidRDefault="009D74A3" w:rsidP="009D74A3">
            <w:pPr>
              <w:pStyle w:val="paragraph"/>
              <w:spacing w:before="0" w:beforeAutospacing="0" w:after="0" w:afterAutospacing="0"/>
              <w:jc w:val="center"/>
              <w:textAlignment w:val="baseline"/>
              <w:rPr>
                <w:sz w:val="32"/>
                <w:szCs w:val="32"/>
              </w:rPr>
            </w:pPr>
            <w:r w:rsidRPr="009D74A3">
              <w:rPr>
                <w:rStyle w:val="normaltextrun"/>
                <w:rFonts w:ascii="Times New Roman" w:hAnsi="Times New Roman" w:cs="Times New Roman"/>
                <w:i/>
                <w:iCs/>
              </w:rPr>
              <w:t>Variación real (%)</w:t>
            </w:r>
            <w:r w:rsidRPr="009D74A3">
              <w:rPr>
                <w:rStyle w:val="eop"/>
              </w:rPr>
              <w:t> </w:t>
            </w:r>
          </w:p>
          <w:p w14:paraId="7BB8C880" w14:textId="10438967" w:rsidR="009D74A3" w:rsidRPr="009D74A3" w:rsidRDefault="009D74A3" w:rsidP="009D74A3">
            <w:pPr>
              <w:pStyle w:val="paragraph"/>
              <w:spacing w:before="0" w:beforeAutospacing="0" w:after="0" w:afterAutospacing="0"/>
              <w:ind w:left="360"/>
              <w:jc w:val="center"/>
              <w:textAlignment w:val="baseline"/>
              <w:rPr>
                <w:sz w:val="32"/>
                <w:szCs w:val="32"/>
              </w:rPr>
            </w:pPr>
            <w:r w:rsidRPr="009D74A3">
              <w:rPr>
                <w:rFonts w:eastAsiaTheme="minorHAnsi"/>
                <w:noProof/>
                <w:sz w:val="22"/>
                <w:szCs w:val="22"/>
              </w:rPr>
              <w:drawing>
                <wp:inline distT="0" distB="0" distL="0" distR="0" wp14:anchorId="748BF5D3" wp14:editId="3CB7EEB1">
                  <wp:extent cx="5128591" cy="2468643"/>
                  <wp:effectExtent l="0" t="0" r="0" b="8255"/>
                  <wp:docPr id="1765298599"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169690" cy="2488426"/>
                          </a:xfrm>
                          <a:prstGeom prst="rect">
                            <a:avLst/>
                          </a:prstGeom>
                          <a:noFill/>
                          <a:ln>
                            <a:noFill/>
                          </a:ln>
                        </pic:spPr>
                      </pic:pic>
                    </a:graphicData>
                  </a:graphic>
                </wp:inline>
              </w:drawing>
            </w:r>
            <w:r w:rsidRPr="009D74A3">
              <w:rPr>
                <w:rStyle w:val="eop"/>
                <w:sz w:val="22"/>
                <w:szCs w:val="22"/>
              </w:rPr>
              <w:t> </w:t>
            </w:r>
          </w:p>
          <w:p w14:paraId="7AF0CE3B" w14:textId="77777777" w:rsidR="009D74A3" w:rsidRPr="009D74A3" w:rsidRDefault="009D74A3" w:rsidP="009D74A3">
            <w:pPr>
              <w:pStyle w:val="paragraph"/>
              <w:spacing w:before="0" w:beforeAutospacing="0" w:after="0" w:afterAutospacing="0"/>
              <w:ind w:firstLine="915"/>
              <w:textAlignment w:val="baseline"/>
              <w:rPr>
                <w:sz w:val="32"/>
                <w:szCs w:val="32"/>
              </w:rPr>
            </w:pPr>
            <w:r w:rsidRPr="009D74A3">
              <w:rPr>
                <w:rStyle w:val="normaltextrun"/>
                <w:rFonts w:ascii="Times New Roman" w:hAnsi="Times New Roman" w:cs="Times New Roman"/>
                <w:b/>
                <w:bCs/>
                <w:sz w:val="20"/>
                <w:szCs w:val="20"/>
              </w:rPr>
              <w:t>Fuente</w:t>
            </w:r>
            <w:r w:rsidRPr="009D74A3">
              <w:rPr>
                <w:rStyle w:val="normaltextrun"/>
                <w:rFonts w:ascii="Times New Roman" w:hAnsi="Times New Roman" w:cs="Times New Roman"/>
                <w:sz w:val="20"/>
                <w:szCs w:val="20"/>
              </w:rPr>
              <w:t>: Unidad Administrativa Especial de Catastro Distrital. </w:t>
            </w:r>
            <w:r w:rsidRPr="009D74A3">
              <w:rPr>
                <w:rStyle w:val="eop"/>
                <w:sz w:val="20"/>
                <w:szCs w:val="20"/>
              </w:rPr>
              <w:t> </w:t>
            </w:r>
          </w:p>
          <w:p w14:paraId="0324B7D5" w14:textId="77777777" w:rsidR="009D74A3" w:rsidRDefault="009D74A3" w:rsidP="009D74A3">
            <w:pPr>
              <w:pStyle w:val="paragraph"/>
              <w:spacing w:before="0" w:beforeAutospacing="0" w:after="0" w:afterAutospacing="0"/>
              <w:ind w:left="360"/>
              <w:jc w:val="both"/>
              <w:textAlignment w:val="baseline"/>
              <w:rPr>
                <w:rStyle w:val="eop"/>
                <w:sz w:val="22"/>
                <w:szCs w:val="22"/>
              </w:rPr>
            </w:pPr>
            <w:r w:rsidRPr="009D74A3">
              <w:rPr>
                <w:rStyle w:val="eop"/>
                <w:sz w:val="22"/>
                <w:szCs w:val="22"/>
              </w:rPr>
              <w:t> </w:t>
            </w:r>
          </w:p>
          <w:p w14:paraId="489D65D2" w14:textId="77777777" w:rsidR="00961E7E" w:rsidRPr="009D74A3" w:rsidRDefault="00961E7E" w:rsidP="009D74A3">
            <w:pPr>
              <w:pStyle w:val="paragraph"/>
              <w:spacing w:before="0" w:beforeAutospacing="0" w:after="0" w:afterAutospacing="0"/>
              <w:ind w:left="360"/>
              <w:jc w:val="both"/>
              <w:textAlignment w:val="baseline"/>
              <w:rPr>
                <w:sz w:val="32"/>
                <w:szCs w:val="32"/>
              </w:rPr>
            </w:pPr>
          </w:p>
          <w:p w14:paraId="32AD0660" w14:textId="32B90882" w:rsidR="009D74A3" w:rsidRPr="009D74A3" w:rsidRDefault="009D74A3">
            <w:pPr>
              <w:pStyle w:val="paragraph"/>
              <w:numPr>
                <w:ilvl w:val="2"/>
                <w:numId w:val="6"/>
              </w:numPr>
              <w:spacing w:before="0" w:beforeAutospacing="0" w:after="0" w:afterAutospacing="0"/>
              <w:textAlignment w:val="baseline"/>
              <w:rPr>
                <w:color w:val="2E74B5"/>
              </w:rPr>
            </w:pPr>
            <w:r w:rsidRPr="46221FE5">
              <w:rPr>
                <w:rStyle w:val="normaltextrun"/>
                <w:rFonts w:ascii="Times New Roman" w:hAnsi="Times New Roman" w:cs="Times New Roman"/>
                <w:b/>
                <w:color w:val="000000" w:themeColor="text1"/>
              </w:rPr>
              <w:t>Progresividad y las tarifas del impuesto predial en Bogotá</w:t>
            </w:r>
            <w:r w:rsidRPr="46221FE5">
              <w:rPr>
                <w:rStyle w:val="eop"/>
                <w:color w:val="000000" w:themeColor="text1"/>
              </w:rPr>
              <w:t> </w:t>
            </w:r>
          </w:p>
          <w:p w14:paraId="32DA59DC" w14:textId="77777777" w:rsidR="009D74A3" w:rsidRPr="009D74A3" w:rsidRDefault="009D74A3" w:rsidP="009D74A3">
            <w:pPr>
              <w:pStyle w:val="paragraph"/>
              <w:spacing w:before="0" w:beforeAutospacing="0" w:after="0" w:afterAutospacing="0"/>
              <w:textAlignment w:val="baseline"/>
              <w:rPr>
                <w:sz w:val="32"/>
                <w:szCs w:val="32"/>
              </w:rPr>
            </w:pPr>
            <w:r w:rsidRPr="46221FE5">
              <w:rPr>
                <w:rStyle w:val="eop"/>
                <w:color w:val="000000" w:themeColor="text1"/>
              </w:rPr>
              <w:t> </w:t>
            </w:r>
          </w:p>
          <w:p w14:paraId="7DB61440" w14:textId="2E8B950A"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color w:val="000000"/>
              </w:rPr>
              <w:t xml:space="preserve">Estudios en materia tributaria señalan que la progresividad y legitimidad de los esquemas impositivos debe afianzarse con una mayor carga a los segmentos más altos de ingresos, especialmente en el 1% de mayor </w:t>
            </w:r>
            <w:r w:rsidR="0657A565" w:rsidRPr="46221FE5">
              <w:rPr>
                <w:rStyle w:val="normaltextrun"/>
                <w:rFonts w:ascii="Times New Roman" w:hAnsi="Times New Roman" w:cs="Times New Roman"/>
                <w:color w:val="000000"/>
              </w:rPr>
              <w:t>ingreso</w:t>
            </w:r>
            <w:r w:rsidR="00CA5D0D" w:rsidRPr="46221FE5">
              <w:rPr>
                <w:rStyle w:val="Refdenotaalpie"/>
                <w:rFonts w:eastAsiaTheme="minorEastAsia"/>
                <w:color w:val="000000"/>
              </w:rPr>
              <w:footnoteReference w:id="22"/>
            </w:r>
            <w:r w:rsidR="0657A565" w:rsidRPr="009D74A3">
              <w:rPr>
                <w:rStyle w:val="normaltextrun"/>
                <w:rFonts w:ascii="Times New Roman" w:hAnsi="Times New Roman" w:cs="Times New Roman"/>
                <w:color w:val="000000"/>
              </w:rPr>
              <w:t>.</w:t>
            </w:r>
            <w:r w:rsidRPr="009D74A3">
              <w:rPr>
                <w:rStyle w:val="normaltextrun"/>
                <w:rFonts w:ascii="Times New Roman" w:hAnsi="Times New Roman" w:cs="Times New Roman"/>
                <w:color w:val="000000"/>
              </w:rPr>
              <w:t xml:space="preserve"> La no existencia de esquemas tributarios progresivos explica en buena medida la mayor concentración del ingreso en algunas economías.</w:t>
            </w:r>
            <w:r w:rsidRPr="009D74A3">
              <w:rPr>
                <w:rStyle w:val="eop"/>
                <w:color w:val="000000"/>
              </w:rPr>
              <w:t> </w:t>
            </w:r>
          </w:p>
          <w:p w14:paraId="4D33D874" w14:textId="77777777" w:rsidR="009D74A3" w:rsidRPr="009D74A3" w:rsidRDefault="009D74A3" w:rsidP="009D74A3">
            <w:pPr>
              <w:pStyle w:val="paragraph"/>
              <w:spacing w:before="0" w:beforeAutospacing="0" w:after="0" w:afterAutospacing="0"/>
              <w:jc w:val="both"/>
              <w:textAlignment w:val="baseline"/>
              <w:rPr>
                <w:sz w:val="32"/>
                <w:szCs w:val="32"/>
              </w:rPr>
            </w:pPr>
            <w:r w:rsidRPr="46221FE5">
              <w:rPr>
                <w:rStyle w:val="eop"/>
                <w:color w:val="000000" w:themeColor="text1"/>
              </w:rPr>
              <w:t> </w:t>
            </w:r>
          </w:p>
          <w:p w14:paraId="5903C80F" w14:textId="53F050C0" w:rsidR="009D74A3" w:rsidRPr="009D74A3" w:rsidRDefault="009D74A3" w:rsidP="009D74A3">
            <w:pPr>
              <w:pStyle w:val="paragraph"/>
              <w:spacing w:before="0" w:beforeAutospacing="0" w:after="0" w:afterAutospacing="0"/>
              <w:jc w:val="both"/>
              <w:textAlignment w:val="baseline"/>
              <w:rPr>
                <w:sz w:val="32"/>
                <w:szCs w:val="32"/>
              </w:rPr>
            </w:pPr>
            <w:r w:rsidRPr="5FCA271C">
              <w:rPr>
                <w:rStyle w:val="normaltextrun"/>
                <w:rFonts w:ascii="Times New Roman" w:hAnsi="Times New Roman" w:cs="Times New Roman"/>
                <w:color w:val="000000" w:themeColor="text1"/>
              </w:rPr>
              <w:t>Para el caso particular de Colombia, dicho segmento del 1% con mayor ingreso puede concentrar el 20% del total de ingresos de la población (Alvaredo y Londoño, 2014)</w:t>
            </w:r>
            <w:r w:rsidR="00C5252F" w:rsidRPr="46221FE5">
              <w:rPr>
                <w:rStyle w:val="Refdenotaalpie"/>
                <w:rFonts w:eastAsiaTheme="minorEastAsia"/>
                <w:color w:val="000000" w:themeColor="text1"/>
              </w:rPr>
              <w:footnoteReference w:id="23"/>
            </w:r>
            <w:r w:rsidRPr="5FCA271C">
              <w:rPr>
                <w:rStyle w:val="normaltextrun"/>
                <w:rFonts w:ascii="Times New Roman" w:hAnsi="Times New Roman" w:cs="Times New Roman"/>
                <w:color w:val="000000" w:themeColor="text1"/>
              </w:rPr>
              <w:t xml:space="preserve">, con base en información de declaraciones de renta. Asimismo, considerando la información de las encuestas de hogares en Bogotá el decil más alto concentra entre el 34% y el 36% del total y el 1% de mayor ingreso concentra entre el 7% y 8% del total de ingresos, con información para el año 2023. En el caso del total nacional el decil más alto concentra el 36% del total de ingresos y el 1% de mayor ingreso concentra el 8% del total de </w:t>
            </w:r>
            <w:r w:rsidR="0657A565" w:rsidRPr="5FCA271C">
              <w:rPr>
                <w:rStyle w:val="normaltextrun"/>
                <w:rFonts w:ascii="Times New Roman" w:hAnsi="Times New Roman" w:cs="Times New Roman"/>
                <w:color w:val="000000" w:themeColor="text1"/>
              </w:rPr>
              <w:t>ingresos</w:t>
            </w:r>
            <w:r w:rsidR="009F2D12" w:rsidRPr="46221FE5">
              <w:rPr>
                <w:rStyle w:val="Refdenotaalpie"/>
                <w:rFonts w:eastAsiaTheme="minorEastAsia"/>
                <w:color w:val="000000" w:themeColor="text1"/>
              </w:rPr>
              <w:footnoteReference w:id="24"/>
            </w:r>
            <w:r w:rsidR="0657A565" w:rsidRPr="5FCA271C">
              <w:rPr>
                <w:rStyle w:val="normaltextrun"/>
                <w:rFonts w:ascii="Times New Roman" w:hAnsi="Times New Roman" w:cs="Times New Roman"/>
                <w:color w:val="000000" w:themeColor="text1"/>
              </w:rPr>
              <w:t>.</w:t>
            </w:r>
            <w:r w:rsidR="0657A565" w:rsidRPr="5FCA271C">
              <w:rPr>
                <w:rStyle w:val="eop"/>
                <w:color w:val="000000" w:themeColor="text1"/>
              </w:rPr>
              <w:t> </w:t>
            </w:r>
          </w:p>
          <w:p w14:paraId="011ED333" w14:textId="77777777" w:rsidR="009D74A3" w:rsidRPr="009D74A3" w:rsidRDefault="009D74A3" w:rsidP="009D74A3">
            <w:pPr>
              <w:pStyle w:val="paragraph"/>
              <w:spacing w:before="0" w:beforeAutospacing="0" w:after="0" w:afterAutospacing="0"/>
              <w:jc w:val="both"/>
              <w:textAlignment w:val="baseline"/>
              <w:rPr>
                <w:sz w:val="32"/>
                <w:szCs w:val="32"/>
              </w:rPr>
            </w:pPr>
            <w:r w:rsidRPr="46221FE5">
              <w:rPr>
                <w:rStyle w:val="eop"/>
                <w:color w:val="000000" w:themeColor="text1"/>
              </w:rPr>
              <w:t> </w:t>
            </w:r>
          </w:p>
          <w:p w14:paraId="169906A6" w14:textId="09332380" w:rsidR="009D74A3" w:rsidRPr="009D74A3" w:rsidRDefault="00123561" w:rsidP="009D74A3">
            <w:pPr>
              <w:pStyle w:val="paragraph"/>
              <w:spacing w:before="0" w:beforeAutospacing="0" w:after="0" w:afterAutospacing="0"/>
              <w:jc w:val="both"/>
              <w:textAlignment w:val="baseline"/>
              <w:rPr>
                <w:sz w:val="32"/>
                <w:szCs w:val="32"/>
              </w:rPr>
            </w:pPr>
            <w:r>
              <w:rPr>
                <w:rStyle w:val="normaltextrun"/>
                <w:rFonts w:ascii="Times New Roman" w:hAnsi="Times New Roman" w:cs="Times New Roman"/>
                <w:color w:val="000000" w:themeColor="text1"/>
              </w:rPr>
              <w:t>D</w:t>
            </w:r>
            <w:r w:rsidR="009D74A3" w:rsidRPr="0BFCC988">
              <w:rPr>
                <w:rStyle w:val="normaltextrun"/>
                <w:rFonts w:ascii="Times New Roman" w:hAnsi="Times New Roman" w:cs="Times New Roman"/>
                <w:color w:val="000000" w:themeColor="text1"/>
              </w:rPr>
              <w:t>e acuerdo con el Banco Mundial (2024</w:t>
            </w:r>
            <w:r w:rsidR="009D74A3" w:rsidRPr="4E244529">
              <w:rPr>
                <w:rStyle w:val="normaltextrun"/>
                <w:rFonts w:ascii="Times New Roman" w:hAnsi="Times New Roman" w:cs="Times New Roman"/>
                <w:color w:val="000000" w:themeColor="text1"/>
              </w:rPr>
              <w:t>)</w:t>
            </w:r>
            <w:r w:rsidR="004973F5" w:rsidRPr="46221FE5">
              <w:rPr>
                <w:rStyle w:val="Refdenotaalpie"/>
                <w:rFonts w:eastAsiaTheme="minorEastAsia"/>
                <w:color w:val="000000" w:themeColor="text1"/>
              </w:rPr>
              <w:footnoteReference w:id="25"/>
            </w:r>
            <w:r w:rsidR="009D74A3" w:rsidRPr="4E244529">
              <w:rPr>
                <w:rStyle w:val="normaltextrun"/>
                <w:rFonts w:ascii="Times New Roman" w:hAnsi="Times New Roman" w:cs="Times New Roman"/>
                <w:color w:val="000000" w:themeColor="text1"/>
              </w:rPr>
              <w:t>,</w:t>
            </w:r>
            <w:r w:rsidR="009D74A3" w:rsidRPr="0BFCC988">
              <w:rPr>
                <w:rStyle w:val="normaltextrun"/>
                <w:rFonts w:ascii="Times New Roman" w:hAnsi="Times New Roman" w:cs="Times New Roman"/>
                <w:color w:val="000000" w:themeColor="text1"/>
              </w:rPr>
              <w:t xml:space="preserve"> </w:t>
            </w:r>
            <w:r w:rsidR="009D74A3" w:rsidRPr="46221FE5">
              <w:rPr>
                <w:rStyle w:val="normaltextrun"/>
                <w:rFonts w:ascii="Times New Roman" w:hAnsi="Times New Roman" w:cs="Times New Roman"/>
                <w:color w:val="000000" w:themeColor="text1"/>
              </w:rPr>
              <w:t>promover la tributación progresiva sobre la propiedad, especialmente en países de América Latina, donde cerca del 80% de la riqueza se concentra en bienes inmuebles permitiría, no solamente mejorar la equidad, sino también afianzar el recaudo tributario</w:t>
            </w:r>
            <w:r w:rsidR="009D74A3" w:rsidRPr="0BFCC988">
              <w:rPr>
                <w:rStyle w:val="normaltextrun"/>
                <w:rFonts w:ascii="Times New Roman" w:hAnsi="Times New Roman" w:cs="Times New Roman"/>
                <w:color w:val="000000" w:themeColor="text1"/>
              </w:rPr>
              <w:t>, incentivar el desarrollo urbano, fomentar la inversión en infraestructura y reducir la especulación inmobiliaria.</w:t>
            </w:r>
            <w:r w:rsidR="009D74A3" w:rsidRPr="0BFCC988">
              <w:rPr>
                <w:rStyle w:val="eop"/>
                <w:color w:val="000000" w:themeColor="text1"/>
              </w:rPr>
              <w:t> </w:t>
            </w:r>
          </w:p>
          <w:p w14:paraId="07A0CDD9" w14:textId="77777777" w:rsidR="009D74A3" w:rsidRPr="009D74A3" w:rsidRDefault="009D74A3" w:rsidP="009D74A3">
            <w:pPr>
              <w:pStyle w:val="paragraph"/>
              <w:spacing w:before="0" w:beforeAutospacing="0" w:after="0" w:afterAutospacing="0"/>
              <w:jc w:val="both"/>
              <w:textAlignment w:val="baseline"/>
              <w:rPr>
                <w:sz w:val="32"/>
                <w:szCs w:val="32"/>
              </w:rPr>
            </w:pPr>
            <w:r w:rsidRPr="46221FE5">
              <w:rPr>
                <w:rStyle w:val="eop"/>
                <w:color w:val="000000" w:themeColor="text1"/>
              </w:rPr>
              <w:t> </w:t>
            </w:r>
          </w:p>
          <w:p w14:paraId="3F05BE02" w14:textId="77777777" w:rsidR="009D74A3" w:rsidRPr="009D74A3" w:rsidRDefault="009D74A3" w:rsidP="009D74A3">
            <w:pPr>
              <w:pStyle w:val="paragraph"/>
              <w:spacing w:before="0" w:beforeAutospacing="0" w:after="0" w:afterAutospacing="0"/>
              <w:jc w:val="both"/>
              <w:textAlignment w:val="baseline"/>
              <w:rPr>
                <w:sz w:val="32"/>
                <w:szCs w:val="32"/>
              </w:rPr>
            </w:pPr>
            <w:r w:rsidRPr="46221FE5">
              <w:rPr>
                <w:rStyle w:val="normaltextrun"/>
                <w:rFonts w:ascii="Times New Roman" w:hAnsi="Times New Roman" w:cs="Times New Roman"/>
                <w:color w:val="000000" w:themeColor="text1"/>
              </w:rPr>
              <w:t>Para el Distrito Capital, el informe del Banco Mundial destaca que “</w:t>
            </w:r>
            <w:r w:rsidRPr="46221FE5">
              <w:rPr>
                <w:rStyle w:val="normaltextrun"/>
                <w:rFonts w:ascii="Times New Roman" w:hAnsi="Times New Roman" w:cs="Times New Roman"/>
                <w:i/>
                <w:color w:val="000000" w:themeColor="text1"/>
              </w:rPr>
              <w:t>la experiencia de Bogotá (…) muestra el potencial para utilizar la tributación a la propiedad como una herramienta poderosa para generar recursos, promover la transparencia e impulsar el desarrollo urbano sostenible a través de una gestión efectiva y modernización de los catastros</w:t>
            </w:r>
            <w:r w:rsidRPr="46221FE5">
              <w:rPr>
                <w:rStyle w:val="normaltextrun"/>
                <w:rFonts w:ascii="Times New Roman" w:hAnsi="Times New Roman" w:cs="Times New Roman"/>
                <w:color w:val="000000" w:themeColor="text1"/>
              </w:rPr>
              <w:t>”.</w:t>
            </w:r>
            <w:r w:rsidRPr="46221FE5">
              <w:rPr>
                <w:rStyle w:val="eop"/>
                <w:color w:val="000000" w:themeColor="text1"/>
              </w:rPr>
              <w:t> </w:t>
            </w:r>
          </w:p>
          <w:p w14:paraId="5A572F73" w14:textId="77777777" w:rsidR="009D74A3" w:rsidRPr="009D74A3" w:rsidRDefault="009D74A3" w:rsidP="009D74A3">
            <w:pPr>
              <w:pStyle w:val="paragraph"/>
              <w:spacing w:before="0" w:beforeAutospacing="0" w:after="0" w:afterAutospacing="0"/>
              <w:jc w:val="both"/>
              <w:textAlignment w:val="baseline"/>
              <w:rPr>
                <w:sz w:val="32"/>
                <w:szCs w:val="32"/>
              </w:rPr>
            </w:pPr>
            <w:r w:rsidRPr="46221FE5">
              <w:rPr>
                <w:rStyle w:val="eop"/>
                <w:color w:val="000000" w:themeColor="text1"/>
              </w:rPr>
              <w:t> </w:t>
            </w:r>
          </w:p>
          <w:p w14:paraId="5DC43354" w14:textId="7EFE2350" w:rsidR="009D74A3" w:rsidRPr="009D74A3" w:rsidRDefault="009D74A3" w:rsidP="009D74A3">
            <w:pPr>
              <w:pStyle w:val="paragraph"/>
              <w:spacing w:before="0" w:beforeAutospacing="0" w:after="0" w:afterAutospacing="0"/>
              <w:jc w:val="both"/>
              <w:textAlignment w:val="baseline"/>
            </w:pPr>
            <w:r w:rsidRPr="009D74A3">
              <w:rPr>
                <w:rStyle w:val="normaltextrun"/>
                <w:rFonts w:ascii="Times New Roman" w:hAnsi="Times New Roman" w:cs="Times New Roman"/>
                <w:color w:val="000000"/>
                <w:shd w:val="clear" w:color="auto" w:fill="FFFFFF"/>
              </w:rPr>
              <w:t xml:space="preserve">Desde el punto de vista legal, la Corte Constitucional ha definido el principio de progresividad en la administración tributaria indicando que </w:t>
            </w:r>
            <w:r w:rsidRPr="009D74A3">
              <w:rPr>
                <w:rStyle w:val="normaltextrun"/>
                <w:rFonts w:ascii="Times New Roman" w:hAnsi="Times New Roman" w:cs="Times New Roman"/>
              </w:rPr>
              <w:t>“</w:t>
            </w:r>
            <w:r w:rsidR="00083109">
              <w:rPr>
                <w:rStyle w:val="normaltextrun"/>
                <w:rFonts w:ascii="Times New Roman" w:hAnsi="Times New Roman" w:cs="Times New Roman"/>
              </w:rPr>
              <w:t xml:space="preserve"> (…) </w:t>
            </w:r>
            <w:r w:rsidRPr="009D74A3">
              <w:rPr>
                <w:rStyle w:val="normaltextrun"/>
                <w:rFonts w:ascii="Times New Roman" w:hAnsi="Times New Roman" w:cs="Times New Roman"/>
                <w:i/>
                <w:iCs/>
                <w:color w:val="000000"/>
                <w:shd w:val="clear" w:color="auto" w:fill="FFFFFF"/>
              </w:rPr>
              <w:t>quienes tienen mayor patrimonio y perciben mayores ingresos aporten en mayor proporción al financiamiento de los gastos del Estado</w:t>
            </w:r>
            <w:r w:rsidRPr="009D74A3">
              <w:rPr>
                <w:rStyle w:val="normaltextrun"/>
                <w:rFonts w:ascii="Times New Roman" w:hAnsi="Times New Roman" w:cs="Times New Roman"/>
                <w:color w:val="000000"/>
                <w:shd w:val="clear" w:color="auto" w:fill="FFFFFF"/>
              </w:rPr>
              <w:t>”</w:t>
            </w:r>
            <w:r w:rsidR="004551B1">
              <w:rPr>
                <w:rStyle w:val="Refdenotaalpie"/>
                <w:rFonts w:eastAsiaTheme="minorEastAsia"/>
                <w:color w:val="000000"/>
                <w:shd w:val="clear" w:color="auto" w:fill="FFFFFF"/>
              </w:rPr>
              <w:footnoteReference w:id="26"/>
            </w:r>
            <w:r w:rsidRPr="009D74A3">
              <w:rPr>
                <w:rStyle w:val="normaltextrun"/>
                <w:rFonts w:ascii="Times New Roman" w:hAnsi="Times New Roman" w:cs="Times New Roman"/>
                <w:color w:val="000000"/>
                <w:shd w:val="clear" w:color="auto" w:fill="FFFFFF"/>
              </w:rPr>
              <w:t>. </w:t>
            </w:r>
            <w:r w:rsidRPr="009D74A3">
              <w:rPr>
                <w:rStyle w:val="eop"/>
                <w:color w:val="000000"/>
              </w:rPr>
              <w:t> </w:t>
            </w:r>
          </w:p>
          <w:p w14:paraId="4AF21494" w14:textId="77777777" w:rsidR="009D74A3" w:rsidRPr="009D74A3" w:rsidRDefault="009D74A3" w:rsidP="009D74A3">
            <w:pPr>
              <w:pStyle w:val="paragraph"/>
              <w:spacing w:before="0" w:beforeAutospacing="0" w:after="0" w:afterAutospacing="0"/>
              <w:jc w:val="both"/>
              <w:textAlignment w:val="baseline"/>
            </w:pPr>
            <w:r w:rsidRPr="009D74A3">
              <w:rPr>
                <w:rStyle w:val="eop"/>
                <w:color w:val="000000"/>
              </w:rPr>
              <w:t> </w:t>
            </w:r>
          </w:p>
          <w:p w14:paraId="440C3D4B" w14:textId="785678BF" w:rsidR="009D74A3" w:rsidRPr="009D74A3" w:rsidRDefault="009D74A3" w:rsidP="009D74A3">
            <w:pPr>
              <w:pStyle w:val="paragraph"/>
              <w:spacing w:before="0" w:beforeAutospacing="0" w:after="0" w:afterAutospacing="0"/>
              <w:jc w:val="both"/>
              <w:textAlignment w:val="baseline"/>
            </w:pPr>
            <w:r w:rsidRPr="009D74A3">
              <w:rPr>
                <w:rStyle w:val="normaltextrun"/>
                <w:rFonts w:ascii="Times New Roman" w:hAnsi="Times New Roman" w:cs="Times New Roman"/>
                <w:color w:val="000000"/>
                <w:shd w:val="clear" w:color="auto" w:fill="FFFFFF"/>
              </w:rPr>
              <w:t xml:space="preserve">En este contexto, el número de tarifas (33) y los rangos de avalúo por los que se cobran el IPU en predios residenciales se ajustan a los postulados técnicos y lo mencionado por la Corte Constitucional en relación con el principio de progresividad. Sin embargo, en las tarifas más altas, este principio se ve comprometido, pues la tasa de 12,3 por mil a la </w:t>
            </w:r>
            <w:r w:rsidRPr="009D74A3">
              <w:rPr>
                <w:rStyle w:val="normaltextrun"/>
                <w:rFonts w:ascii="Times New Roman" w:hAnsi="Times New Roman" w:cs="Times New Roman"/>
                <w:color w:val="000000" w:themeColor="text1"/>
                <w:shd w:val="clear" w:color="auto" w:fill="FFFFFF"/>
              </w:rPr>
              <w:t>que se cobra por predios con aval</w:t>
            </w:r>
            <w:r w:rsidRPr="009D74A3">
              <w:rPr>
                <w:rStyle w:val="normaltextrun"/>
                <w:rFonts w:ascii="Times New Roman" w:hAnsi="Times New Roman" w:cs="Times New Roman"/>
                <w:color w:val="000000" w:themeColor="text1"/>
                <w:u w:val="single"/>
                <w:shd w:val="clear" w:color="auto" w:fill="FFFFFF"/>
              </w:rPr>
              <w:t xml:space="preserve">úo </w:t>
            </w:r>
            <w:r w:rsidRPr="009D74A3">
              <w:rPr>
                <w:rStyle w:val="normaltextrun"/>
                <w:rFonts w:ascii="Times New Roman" w:hAnsi="Times New Roman" w:cs="Times New Roman"/>
                <w:color w:val="000000" w:themeColor="text1"/>
                <w:shd w:val="clear" w:color="auto" w:fill="FFFFFF"/>
              </w:rPr>
              <w:t>superior a 2.052 millones (año 2024) concentra un número de predios (3.340 predios) que es casi el doble de lo que concentra la anterior tarifa (1.764 predios); así mismo, el valor total de los predios del último rango (</w:t>
            </w:r>
            <w:r w:rsidRPr="009D74A3">
              <w:rPr>
                <w:rStyle w:val="normaltextrun"/>
                <w:rFonts w:ascii="Times New Roman" w:hAnsi="Times New Roman" w:cs="Times New Roman"/>
                <w:color w:val="000000" w:themeColor="text1"/>
                <w:u w:val="single"/>
                <w:shd w:val="clear" w:color="auto" w:fill="FFFFFF"/>
              </w:rPr>
              <w:t>$</w:t>
            </w:r>
            <w:r w:rsidRPr="009D74A3">
              <w:rPr>
                <w:rStyle w:val="normaltextrun"/>
                <w:rFonts w:ascii="Times New Roman" w:hAnsi="Times New Roman" w:cs="Times New Roman"/>
                <w:color w:val="000000" w:themeColor="text1"/>
                <w:shd w:val="clear" w:color="auto" w:fill="FFFFFF"/>
              </w:rPr>
              <w:t>13,7 billones) es cerca de 6 veces más alto que el rango anterior (</w:t>
            </w:r>
            <w:r w:rsidRPr="009D74A3">
              <w:rPr>
                <w:rStyle w:val="normaltextrun"/>
                <w:rFonts w:ascii="Times New Roman" w:hAnsi="Times New Roman" w:cs="Times New Roman"/>
                <w:color w:val="000000" w:themeColor="text1"/>
                <w:u w:val="single"/>
                <w:shd w:val="clear" w:color="auto" w:fill="FFFFFF"/>
              </w:rPr>
              <w:t>$</w:t>
            </w:r>
            <w:r w:rsidRPr="009D74A3">
              <w:rPr>
                <w:rStyle w:val="normaltextrun"/>
                <w:rFonts w:ascii="Times New Roman" w:hAnsi="Times New Roman" w:cs="Times New Roman"/>
                <w:color w:val="000000" w:themeColor="text1"/>
                <w:shd w:val="clear" w:color="auto" w:fill="FFFFFF"/>
              </w:rPr>
              <w:t>3,4 billones)</w:t>
            </w:r>
            <w:r w:rsidR="00BF3C31">
              <w:rPr>
                <w:rStyle w:val="normaltextrun"/>
                <w:rFonts w:ascii="Times New Roman" w:hAnsi="Times New Roman" w:cs="Times New Roman"/>
                <w:color w:val="000000" w:themeColor="text1"/>
                <w:shd w:val="clear" w:color="auto" w:fill="FFFFFF"/>
              </w:rPr>
              <w:t xml:space="preserve"> (</w:t>
            </w:r>
            <w:r w:rsidR="00BF3C31" w:rsidRPr="00BF3C31">
              <w:rPr>
                <w:rStyle w:val="normaltextrun"/>
                <w:rFonts w:ascii="Times New Roman" w:hAnsi="Times New Roman" w:cs="Times New Roman"/>
                <w:b/>
                <w:bCs/>
                <w:color w:val="000000" w:themeColor="text1"/>
                <w:shd w:val="clear" w:color="auto" w:fill="FFFFFF"/>
              </w:rPr>
              <w:t>Gráfico 40</w:t>
            </w:r>
            <w:r w:rsidR="00BF3C31">
              <w:rPr>
                <w:rStyle w:val="normaltextrun"/>
                <w:rFonts w:ascii="Times New Roman" w:hAnsi="Times New Roman" w:cs="Times New Roman"/>
                <w:color w:val="000000" w:themeColor="text1"/>
                <w:shd w:val="clear" w:color="auto" w:fill="FFFFFF"/>
              </w:rPr>
              <w:t>)</w:t>
            </w:r>
            <w:r w:rsidRPr="009D74A3">
              <w:rPr>
                <w:rStyle w:val="normaltextrun"/>
                <w:rFonts w:ascii="Times New Roman" w:hAnsi="Times New Roman" w:cs="Times New Roman"/>
                <w:color w:val="000000" w:themeColor="text1"/>
                <w:shd w:val="clear" w:color="auto" w:fill="FFFFFF"/>
              </w:rPr>
              <w:t>. </w:t>
            </w:r>
            <w:r w:rsidRPr="009D74A3">
              <w:rPr>
                <w:rStyle w:val="eop"/>
                <w:color w:val="000000" w:themeColor="text1"/>
              </w:rPr>
              <w:t> </w:t>
            </w:r>
          </w:p>
          <w:p w14:paraId="249843AF" w14:textId="77777777" w:rsidR="009D74A3" w:rsidRDefault="009D74A3" w:rsidP="009D74A3">
            <w:pPr>
              <w:pStyle w:val="paragraph"/>
              <w:spacing w:before="0" w:beforeAutospacing="0" w:after="0" w:afterAutospacing="0"/>
              <w:jc w:val="both"/>
              <w:textAlignment w:val="baseline"/>
              <w:rPr>
                <w:rStyle w:val="eop"/>
                <w:color w:val="000000"/>
              </w:rPr>
            </w:pPr>
            <w:r w:rsidRPr="341FF177">
              <w:rPr>
                <w:rStyle w:val="eop"/>
                <w:color w:val="000000" w:themeColor="text1"/>
              </w:rPr>
              <w:t> </w:t>
            </w:r>
          </w:p>
          <w:p w14:paraId="4D21FFB8" w14:textId="77777777" w:rsidR="00AA4DC6" w:rsidRDefault="00AA4DC6" w:rsidP="009D74A3">
            <w:pPr>
              <w:pStyle w:val="paragraph"/>
              <w:spacing w:before="0" w:beforeAutospacing="0" w:after="0" w:afterAutospacing="0"/>
              <w:jc w:val="both"/>
              <w:textAlignment w:val="baseline"/>
              <w:rPr>
                <w:rStyle w:val="eop"/>
                <w:color w:val="000000"/>
              </w:rPr>
            </w:pPr>
          </w:p>
          <w:p w14:paraId="00487060" w14:textId="77777777" w:rsidR="007B03D5" w:rsidRDefault="007B03D5" w:rsidP="009D74A3">
            <w:pPr>
              <w:pStyle w:val="paragraph"/>
              <w:spacing w:before="0" w:beforeAutospacing="0" w:after="0" w:afterAutospacing="0"/>
              <w:jc w:val="both"/>
              <w:textAlignment w:val="baseline"/>
              <w:rPr>
                <w:rStyle w:val="eop"/>
                <w:color w:val="000000"/>
              </w:rPr>
            </w:pPr>
          </w:p>
          <w:p w14:paraId="00695776" w14:textId="71ED1B64"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 xml:space="preserve">Gráfico </w:t>
            </w:r>
            <w:r>
              <w:rPr>
                <w:rStyle w:val="normaltextrun"/>
                <w:rFonts w:ascii="Times New Roman" w:hAnsi="Times New Roman" w:cs="Times New Roman"/>
                <w:b/>
                <w:bCs/>
              </w:rPr>
              <w:t>40</w:t>
            </w:r>
            <w:r w:rsidRPr="009D74A3">
              <w:rPr>
                <w:rStyle w:val="normaltextrun"/>
                <w:rFonts w:ascii="Times New Roman" w:hAnsi="Times New Roman" w:cs="Times New Roman"/>
                <w:b/>
                <w:bCs/>
              </w:rPr>
              <w:t>.</w:t>
            </w:r>
            <w:r w:rsidRPr="009D74A3">
              <w:rPr>
                <w:rStyle w:val="eop"/>
                <w:i/>
                <w:iCs/>
              </w:rPr>
              <w:t> </w:t>
            </w:r>
          </w:p>
          <w:p w14:paraId="644CF6E6" w14:textId="77777777"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Numero de predios y valor catastral por tarifas del IPU 2024</w:t>
            </w:r>
            <w:r w:rsidRPr="009D74A3">
              <w:rPr>
                <w:rStyle w:val="eop"/>
                <w:i/>
                <w:iCs/>
              </w:rPr>
              <w:t> </w:t>
            </w:r>
          </w:p>
          <w:p w14:paraId="77A8B5C3" w14:textId="137B9AC6" w:rsidR="009D74A3" w:rsidRPr="009D74A3" w:rsidRDefault="009D74A3" w:rsidP="009D74A3">
            <w:pPr>
              <w:pStyle w:val="paragraph"/>
              <w:spacing w:before="0" w:beforeAutospacing="0" w:after="0" w:afterAutospacing="0"/>
              <w:jc w:val="center"/>
              <w:textAlignment w:val="baseline"/>
              <w:rPr>
                <w:sz w:val="32"/>
                <w:szCs w:val="32"/>
              </w:rPr>
            </w:pPr>
            <w:r w:rsidRPr="009D74A3">
              <w:rPr>
                <w:rFonts w:eastAsiaTheme="minorHAnsi"/>
                <w:noProof/>
                <w:sz w:val="22"/>
                <w:szCs w:val="22"/>
              </w:rPr>
              <w:drawing>
                <wp:inline distT="0" distB="0" distL="0" distR="0" wp14:anchorId="3862A5C6" wp14:editId="4E34777D">
                  <wp:extent cx="4492708" cy="2692896"/>
                  <wp:effectExtent l="0" t="0" r="3175" b="0"/>
                  <wp:docPr id="1283791545"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516945" cy="2707424"/>
                          </a:xfrm>
                          <a:prstGeom prst="rect">
                            <a:avLst/>
                          </a:prstGeom>
                          <a:noFill/>
                          <a:ln>
                            <a:noFill/>
                          </a:ln>
                        </pic:spPr>
                      </pic:pic>
                    </a:graphicData>
                  </a:graphic>
                </wp:inline>
              </w:drawing>
            </w:r>
            <w:r w:rsidRPr="009D74A3">
              <w:rPr>
                <w:rStyle w:val="eop"/>
                <w:color w:val="000000"/>
                <w:sz w:val="22"/>
                <w:szCs w:val="22"/>
              </w:rPr>
              <w:t> </w:t>
            </w:r>
          </w:p>
          <w:p w14:paraId="1E51EAC2" w14:textId="77777777" w:rsidR="009D74A3" w:rsidRPr="009D74A3" w:rsidRDefault="009D74A3" w:rsidP="009D74A3">
            <w:pPr>
              <w:pStyle w:val="paragraph"/>
              <w:spacing w:before="0" w:beforeAutospacing="0" w:after="0" w:afterAutospacing="0"/>
              <w:ind w:firstLine="1485"/>
              <w:textAlignment w:val="baseline"/>
              <w:rPr>
                <w:sz w:val="32"/>
                <w:szCs w:val="32"/>
              </w:rPr>
            </w:pPr>
            <w:r w:rsidRPr="009D74A3">
              <w:rPr>
                <w:rStyle w:val="normaltextrun"/>
                <w:rFonts w:ascii="Times New Roman" w:hAnsi="Times New Roman" w:cs="Times New Roman"/>
                <w:b/>
                <w:bCs/>
                <w:color w:val="000000"/>
                <w:sz w:val="20"/>
                <w:szCs w:val="20"/>
                <w:shd w:val="clear" w:color="auto" w:fill="FFFFFF"/>
              </w:rPr>
              <w:t>Fuente:</w:t>
            </w:r>
            <w:r w:rsidRPr="009D74A3">
              <w:rPr>
                <w:rStyle w:val="normaltextrun"/>
                <w:rFonts w:ascii="Times New Roman" w:hAnsi="Times New Roman" w:cs="Times New Roman"/>
                <w:color w:val="000000"/>
                <w:sz w:val="20"/>
                <w:szCs w:val="20"/>
                <w:shd w:val="clear" w:color="auto" w:fill="FFFFFF"/>
              </w:rPr>
              <w:t xml:space="preserve"> Secretaría Distrital de Hacienda</w:t>
            </w:r>
            <w:r w:rsidRPr="009D74A3">
              <w:rPr>
                <w:rStyle w:val="eop"/>
                <w:color w:val="000000"/>
                <w:sz w:val="20"/>
                <w:szCs w:val="20"/>
              </w:rPr>
              <w:t> </w:t>
            </w:r>
          </w:p>
          <w:p w14:paraId="47A7E420" w14:textId="77777777" w:rsidR="009D74A3" w:rsidRPr="009D74A3" w:rsidRDefault="009D74A3" w:rsidP="009D74A3">
            <w:pPr>
              <w:pStyle w:val="paragraph"/>
              <w:spacing w:before="0" w:beforeAutospacing="0" w:after="0" w:afterAutospacing="0"/>
              <w:ind w:left="360"/>
              <w:jc w:val="both"/>
              <w:textAlignment w:val="baseline"/>
              <w:rPr>
                <w:sz w:val="32"/>
                <w:szCs w:val="32"/>
              </w:rPr>
            </w:pPr>
            <w:r w:rsidRPr="009D74A3">
              <w:rPr>
                <w:rStyle w:val="eop"/>
                <w:sz w:val="22"/>
                <w:szCs w:val="22"/>
              </w:rPr>
              <w:t> </w:t>
            </w:r>
          </w:p>
          <w:p w14:paraId="0EE77CB0" w14:textId="6AC89EC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rPr>
              <w:t xml:space="preserve">El </w:t>
            </w:r>
            <w:r w:rsidRPr="00A13327">
              <w:rPr>
                <w:rStyle w:val="normaltextrun"/>
                <w:rFonts w:ascii="Times New Roman" w:hAnsi="Times New Roman" w:cs="Times New Roman"/>
                <w:b/>
                <w:bCs/>
              </w:rPr>
              <w:t xml:space="preserve">gráfico </w:t>
            </w:r>
            <w:r w:rsidR="00A13327" w:rsidRPr="00A13327">
              <w:rPr>
                <w:rStyle w:val="normaltextrun"/>
                <w:rFonts w:ascii="Times New Roman" w:hAnsi="Times New Roman" w:cs="Times New Roman"/>
                <w:b/>
                <w:bCs/>
              </w:rPr>
              <w:t>41</w:t>
            </w:r>
            <w:r w:rsidRPr="009D74A3">
              <w:rPr>
                <w:rStyle w:val="normaltextrun"/>
                <w:rFonts w:ascii="Times New Roman" w:hAnsi="Times New Roman" w:cs="Times New Roman"/>
              </w:rPr>
              <w:t xml:space="preserve"> muestra la distribución de los predios residenciales (urbanos y rurales), comerciales e industriales a partir del logaritmo natural (ln) de la base gravable y la tarifa que declaran. En este se evidencia el principio de progresividad en los inmuebles de uso residencial con avalúos entre $159 MM (ln = 18,8) y $ 2.053 MM (ln = 21,4), pues, como se señaló en el párrafo anterior, la mayor parte de las 33 tarifas incrementa su valor en la medida que crece la base gravable. Sin embargo, esta tendencia no se cumple para los predios comerciales e industriales. Adicionalmente, se considera necesario establecer dos tarifas adicionales en los predios residenciales, pues existen pocas tarifas que agrupan grandes cantidades de inmuebles con alta variabilidad de avalúos. </w:t>
            </w:r>
            <w:r w:rsidRPr="009D74A3">
              <w:rPr>
                <w:rStyle w:val="eop"/>
              </w:rPr>
              <w:t> </w:t>
            </w:r>
          </w:p>
          <w:p w14:paraId="61A73657" w14:textId="1B76DA6B" w:rsidR="009D74A3" w:rsidRPr="009D74A3" w:rsidRDefault="009D74A3" w:rsidP="009D74A3">
            <w:pPr>
              <w:jc w:val="both"/>
              <w:rPr>
                <w:rFonts w:ascii="Times New Roman" w:hAnsi="Times New Roman" w:cs="Times New Roman"/>
                <w:sz w:val="24"/>
                <w:szCs w:val="24"/>
              </w:rPr>
            </w:pPr>
            <w:r w:rsidRPr="009D74A3">
              <w:rPr>
                <w:rFonts w:ascii="Times New Roman" w:hAnsi="Times New Roman" w:cs="Times New Roman"/>
                <w:sz w:val="24"/>
                <w:szCs w:val="24"/>
              </w:rPr>
              <w:t> </w:t>
            </w:r>
          </w:p>
          <w:p w14:paraId="28618168" w14:textId="45CEDBA7" w:rsidR="009D74A3" w:rsidRPr="009D74A3" w:rsidRDefault="00D87D87" w:rsidP="009D74A3">
            <w:pPr>
              <w:jc w:val="both"/>
              <w:rPr>
                <w:rFonts w:ascii="Times New Roman" w:hAnsi="Times New Roman" w:cs="Times New Roman"/>
                <w:sz w:val="24"/>
                <w:szCs w:val="24"/>
              </w:rPr>
            </w:pPr>
            <w:r>
              <w:rPr>
                <w:rFonts w:ascii="Times New Roman" w:hAnsi="Times New Roman" w:cs="Times New Roman"/>
                <w:sz w:val="24"/>
                <w:szCs w:val="24"/>
              </w:rPr>
              <w:t xml:space="preserve">En cuanto a los predios </w:t>
            </w:r>
            <w:r w:rsidR="009D74A3" w:rsidRPr="009D74A3">
              <w:rPr>
                <w:rFonts w:ascii="Times New Roman" w:hAnsi="Times New Roman" w:cs="Times New Roman"/>
                <w:sz w:val="24"/>
                <w:szCs w:val="24"/>
              </w:rPr>
              <w:t>en usos comerciales se observan predios con una alta variación en los avalúos. Sin embargo, en muchos casos estos liquidan su impuesto con la misma tarifa, a pesar de las marcadas diferencias en el valor de sus inmuebles. De igual forma, al comparar el impuesto a pagar de algunos predios comerciales con el de predios residenciales de avalúo similar, se concluye que estos últimos enfrentan una mayor carga tributaria, a pesar de tratarse de inmuebles cuya vocación no es la generación de ingresos.</w:t>
            </w:r>
          </w:p>
          <w:p w14:paraId="195D085D" w14:textId="77777777" w:rsidR="009D74A3" w:rsidRDefault="009D74A3" w:rsidP="009D74A3">
            <w:pPr>
              <w:pStyle w:val="paragraph"/>
              <w:spacing w:before="0" w:beforeAutospacing="0" w:after="0" w:afterAutospacing="0"/>
              <w:jc w:val="both"/>
              <w:textAlignment w:val="baseline"/>
              <w:rPr>
                <w:rFonts w:ascii="Segoe UI" w:hAnsi="Segoe UI" w:cs="Segoe UI"/>
                <w:color w:val="424242"/>
                <w:shd w:val="clear" w:color="auto" w:fill="FAFAFA"/>
              </w:rPr>
            </w:pPr>
          </w:p>
          <w:p w14:paraId="1C9186B8" w14:textId="2BCD5E20"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rPr>
              <w:t xml:space="preserve">En el caso de los predios residenciales, se evidencia una alta concentración de inmuebles con avalúo inferior a $246 millones, actualmente sujetos a las tarifas más bajas del esquema general (5,5; 5,6; 5,7; 5,8 y 5,9 por mil), excluyendo las tarifas especiales. </w:t>
            </w:r>
            <w:r w:rsidR="00D87D87">
              <w:rPr>
                <w:rStyle w:val="normaltextrun"/>
                <w:rFonts w:ascii="Times New Roman" w:hAnsi="Times New Roman" w:cs="Times New Roman"/>
              </w:rPr>
              <w:t>S</w:t>
            </w:r>
            <w:r w:rsidRPr="009D74A3">
              <w:rPr>
                <w:rStyle w:val="normaltextrun"/>
                <w:rFonts w:ascii="Times New Roman" w:hAnsi="Times New Roman" w:cs="Times New Roman"/>
              </w:rPr>
              <w:t xml:space="preserve">e propone una estructura tarifaria más lineal y progresiva, con valores de 5,0; 5,2; 5,4; 5,6 y 5,8 por mil, con el fin de fortalecer </w:t>
            </w:r>
            <w:r w:rsidR="0538EB2F" w:rsidRPr="46221FE5">
              <w:rPr>
                <w:rStyle w:val="normaltextrun"/>
                <w:rFonts w:ascii="Times New Roman" w:hAnsi="Times New Roman" w:cs="Times New Roman"/>
              </w:rPr>
              <w:t xml:space="preserve">el </w:t>
            </w:r>
            <w:r w:rsidR="0657A565" w:rsidRPr="46221FE5">
              <w:rPr>
                <w:rStyle w:val="normaltextrun"/>
                <w:rFonts w:ascii="Times New Roman" w:hAnsi="Times New Roman" w:cs="Times New Roman"/>
              </w:rPr>
              <w:t>principio de</w:t>
            </w:r>
            <w:r w:rsidRPr="009D74A3">
              <w:rPr>
                <w:rStyle w:val="normaltextrun"/>
                <w:rFonts w:ascii="Times New Roman" w:hAnsi="Times New Roman" w:cs="Times New Roman"/>
              </w:rPr>
              <w:t xml:space="preserve"> capacidad contributiva, y lograr una distribución más equitativa de la carga tributaria entre predios de menor valor.</w:t>
            </w:r>
            <w:r w:rsidRPr="009D74A3">
              <w:rPr>
                <w:rStyle w:val="eop"/>
              </w:rPr>
              <w:t> </w:t>
            </w:r>
          </w:p>
          <w:p w14:paraId="15EA0927"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eop"/>
              </w:rPr>
              <w:t> </w:t>
            </w:r>
          </w:p>
          <w:p w14:paraId="4E6DDB82" w14:textId="5449303B"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rPr>
              <w:t>Adicionalmente, se propone la incorporación de dos nuevas tarifas dentro del tramo actualmente gravado con una tarifa de 12,3 por mil. En concreto, se plantea aplicar una tarifa de 13,1 por mil a los predios con avalúos entre $2.898 millones y $4.010 millones, y una tarifa de 13,9 por mil para aquellos cuyo avalúo supere los $4.010 millones. Esta medida busca reconocer la presencia de valores extremos en los segmentos de mayor avalúo y su correspondiente capacidad de pago. En este nuevo esquema, la tarifa de 12,3 por mil se mantendría únicamente para predios con avalúos entre $2.277 millones y $2.878 millones.</w:t>
            </w:r>
            <w:r w:rsidRPr="009D74A3">
              <w:rPr>
                <w:rStyle w:val="eop"/>
              </w:rPr>
              <w:t> </w:t>
            </w:r>
          </w:p>
          <w:p w14:paraId="0B41EA97" w14:textId="77777777" w:rsidR="00961E7E" w:rsidRDefault="00961E7E" w:rsidP="009D74A3">
            <w:pPr>
              <w:pStyle w:val="paragraph"/>
              <w:spacing w:before="0" w:beforeAutospacing="0" w:after="0" w:afterAutospacing="0"/>
              <w:jc w:val="center"/>
              <w:textAlignment w:val="baseline"/>
              <w:rPr>
                <w:rStyle w:val="normaltextrun"/>
                <w:rFonts w:ascii="Times New Roman" w:hAnsi="Times New Roman" w:cs="Times New Roman"/>
                <w:b/>
                <w:bCs/>
              </w:rPr>
            </w:pPr>
          </w:p>
          <w:p w14:paraId="678AE8DC" w14:textId="5A019F1C"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 xml:space="preserve">Gráfico </w:t>
            </w:r>
            <w:r>
              <w:rPr>
                <w:rStyle w:val="normaltextrun"/>
                <w:rFonts w:ascii="Times New Roman" w:hAnsi="Times New Roman" w:cs="Times New Roman"/>
                <w:b/>
                <w:bCs/>
              </w:rPr>
              <w:t>41</w:t>
            </w:r>
            <w:r w:rsidRPr="009D74A3">
              <w:rPr>
                <w:rStyle w:val="normaltextrun"/>
                <w:rFonts w:ascii="Times New Roman" w:hAnsi="Times New Roman" w:cs="Times New Roman"/>
                <w:b/>
                <w:bCs/>
              </w:rPr>
              <w:t>.</w:t>
            </w:r>
            <w:r w:rsidRPr="009D74A3">
              <w:rPr>
                <w:rStyle w:val="eop"/>
                <w:i/>
                <w:iCs/>
              </w:rPr>
              <w:t> </w:t>
            </w:r>
          </w:p>
          <w:p w14:paraId="57142992" w14:textId="77777777"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Distribución de los predios residenciales (Urbanos y rurales), comerciales e industriales según el logaritmo del avalúo y las tarifas que manejan actualmente</w:t>
            </w:r>
            <w:r w:rsidRPr="009D74A3">
              <w:rPr>
                <w:rStyle w:val="eop"/>
                <w:i/>
                <w:iCs/>
              </w:rPr>
              <w:t> </w:t>
            </w:r>
          </w:p>
          <w:p w14:paraId="3B8BA439" w14:textId="6264A928" w:rsidR="009D74A3" w:rsidRPr="009D74A3" w:rsidRDefault="009D74A3" w:rsidP="009D74A3">
            <w:pPr>
              <w:pStyle w:val="paragraph"/>
              <w:spacing w:before="0" w:beforeAutospacing="0" w:after="0" w:afterAutospacing="0"/>
              <w:jc w:val="center"/>
              <w:textAlignment w:val="baseline"/>
              <w:rPr>
                <w:sz w:val="32"/>
                <w:szCs w:val="32"/>
              </w:rPr>
            </w:pPr>
            <w:r w:rsidRPr="009D74A3">
              <w:rPr>
                <w:rFonts w:eastAsiaTheme="minorHAnsi"/>
                <w:noProof/>
                <w:sz w:val="22"/>
                <w:szCs w:val="22"/>
              </w:rPr>
              <w:drawing>
                <wp:inline distT="0" distB="0" distL="0" distR="0" wp14:anchorId="3B7E7C2A" wp14:editId="1C766024">
                  <wp:extent cx="4820014" cy="2870791"/>
                  <wp:effectExtent l="0" t="0" r="0" b="0"/>
                  <wp:docPr id="1136971909"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829618" cy="2876511"/>
                          </a:xfrm>
                          <a:prstGeom prst="rect">
                            <a:avLst/>
                          </a:prstGeom>
                          <a:noFill/>
                          <a:ln>
                            <a:noFill/>
                          </a:ln>
                        </pic:spPr>
                      </pic:pic>
                    </a:graphicData>
                  </a:graphic>
                </wp:inline>
              </w:drawing>
            </w:r>
            <w:r w:rsidRPr="009D74A3">
              <w:rPr>
                <w:rStyle w:val="eop"/>
                <w:sz w:val="22"/>
                <w:szCs w:val="22"/>
              </w:rPr>
              <w:t> </w:t>
            </w:r>
          </w:p>
          <w:p w14:paraId="772804E8" w14:textId="77777777" w:rsidR="009D74A3" w:rsidRPr="009D74A3" w:rsidRDefault="009D74A3" w:rsidP="009D74A3">
            <w:pPr>
              <w:pStyle w:val="paragraph"/>
              <w:spacing w:before="0" w:beforeAutospacing="0" w:after="0" w:afterAutospacing="0"/>
              <w:ind w:left="1485" w:right="1125"/>
              <w:textAlignment w:val="baseline"/>
              <w:rPr>
                <w:sz w:val="32"/>
                <w:szCs w:val="32"/>
              </w:rPr>
            </w:pPr>
            <w:r w:rsidRPr="009D74A3">
              <w:rPr>
                <w:rStyle w:val="normaltextrun"/>
                <w:rFonts w:ascii="Times New Roman" w:hAnsi="Times New Roman" w:cs="Times New Roman"/>
                <w:b/>
                <w:bCs/>
                <w:sz w:val="20"/>
                <w:szCs w:val="20"/>
              </w:rPr>
              <w:t>Fuente</w:t>
            </w:r>
            <w:r w:rsidRPr="009D74A3">
              <w:rPr>
                <w:rStyle w:val="normaltextrun"/>
                <w:rFonts w:ascii="Times New Roman" w:hAnsi="Times New Roman" w:cs="Times New Roman"/>
                <w:sz w:val="20"/>
                <w:szCs w:val="20"/>
              </w:rPr>
              <w:t>: Cálculos propios Secretaría Distrital de Hacienda con información de la emisión del impuesto predial en 2024.</w:t>
            </w:r>
            <w:r w:rsidRPr="009D74A3">
              <w:rPr>
                <w:rStyle w:val="eop"/>
                <w:sz w:val="20"/>
                <w:szCs w:val="20"/>
              </w:rPr>
              <w:t> </w:t>
            </w:r>
          </w:p>
          <w:p w14:paraId="55512F31"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eop"/>
                <w:sz w:val="22"/>
                <w:szCs w:val="22"/>
              </w:rPr>
              <w:t> </w:t>
            </w:r>
          </w:p>
          <w:p w14:paraId="268C4ED5" w14:textId="3C69549A" w:rsidR="009D74A3" w:rsidRPr="009D74A3" w:rsidRDefault="009D74A3" w:rsidP="009D74A3">
            <w:pPr>
              <w:jc w:val="both"/>
              <w:rPr>
                <w:rFonts w:ascii="Times New Roman" w:hAnsi="Times New Roman" w:cs="Times New Roman"/>
              </w:rPr>
            </w:pPr>
            <w:r w:rsidRPr="0036536C">
              <w:rPr>
                <w:rFonts w:ascii="Times New Roman" w:hAnsi="Times New Roman" w:cs="Times New Roman"/>
                <w:sz w:val="24"/>
                <w:szCs w:val="24"/>
              </w:rPr>
              <w:t>Al revisar la base gravable y las tarifas que se aplican a los predios residenciales urbanos versus los industriales, se observa que la tarifa de 8,5 por mil usada en algunos predios industriales agrupa diversos inmuebles cuyas bases gravables van desde los $417 millones (ln = 26.8) hasta los $776 millones (ln = 20,5), mientras que en el caso de los predios residenciales una tarifa similar de 8,6 por mil agrupa predios con valor catastral que se mueve entre los $948 millones (ln = 20.66) y los $1.007 millones (ln = 20,73). </w:t>
            </w:r>
            <w:r w:rsidRPr="009D74A3">
              <w:rPr>
                <w:rFonts w:ascii="Times New Roman" w:hAnsi="Times New Roman" w:cs="Times New Roman"/>
              </w:rPr>
              <w:t> </w:t>
            </w:r>
          </w:p>
          <w:p w14:paraId="6FB907A9" w14:textId="77777777" w:rsidR="009D74A3" w:rsidRPr="009D74A3" w:rsidRDefault="009D74A3" w:rsidP="009D74A3">
            <w:pPr>
              <w:pStyle w:val="paragraph"/>
              <w:spacing w:before="0" w:beforeAutospacing="0" w:after="0" w:afterAutospacing="0"/>
              <w:ind w:left="360"/>
              <w:jc w:val="both"/>
              <w:textAlignment w:val="baseline"/>
              <w:rPr>
                <w:sz w:val="32"/>
                <w:szCs w:val="32"/>
              </w:rPr>
            </w:pPr>
            <w:r w:rsidRPr="009D74A3">
              <w:rPr>
                <w:rStyle w:val="eop"/>
                <w:color w:val="000000"/>
              </w:rPr>
              <w:t> </w:t>
            </w:r>
          </w:p>
          <w:p w14:paraId="2867C6C5" w14:textId="00A0BDE8" w:rsidR="009D74A3" w:rsidRPr="009D74A3" w:rsidRDefault="009D74A3" w:rsidP="009D74A3">
            <w:pPr>
              <w:jc w:val="both"/>
              <w:rPr>
                <w:rFonts w:ascii="Times New Roman" w:hAnsi="Times New Roman" w:cs="Times New Roman"/>
                <w:sz w:val="24"/>
                <w:szCs w:val="24"/>
              </w:rPr>
            </w:pPr>
            <w:r w:rsidRPr="009D74A3">
              <w:rPr>
                <w:rFonts w:ascii="Times New Roman" w:hAnsi="Times New Roman" w:cs="Times New Roman"/>
                <w:sz w:val="24"/>
                <w:szCs w:val="24"/>
              </w:rPr>
              <w:t>Asimismo, la tarifa del 10 por mil, empleada por el 99,3% de los predios industriales, tienen bases gravables que oscilan entre $12,4 millones (ln = 16,3) y los $219 millones (ln = 26,1), mientras que para predios residenciales la tasa del 10,1 por mil se cobra a inmuebles con una base gravable mucho menos extensa que va desde $1.401 millones (ln = 21) hasta los $1.615 millones (ln = 21.2). (gráfico 13). </w:t>
            </w:r>
          </w:p>
          <w:p w14:paraId="30414E75"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eop"/>
                <w:color w:val="FF0000"/>
              </w:rPr>
              <w:t> </w:t>
            </w:r>
          </w:p>
          <w:p w14:paraId="546B9EA4" w14:textId="570437DA"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rPr>
              <w:t>En el caso de los predios comerciales, la tasa de 9,5 por mil reúne 160</w:t>
            </w:r>
            <w:r w:rsidR="00CF7DB3" w:rsidRPr="00CF7DB3">
              <w:rPr>
                <w:rStyle w:val="normaltextrun"/>
                <w:rFonts w:ascii="Times New Roman" w:hAnsi="Times New Roman" w:cs="Times New Roman"/>
              </w:rPr>
              <w:t>.</w:t>
            </w:r>
            <w:r w:rsidRPr="009D74A3">
              <w:rPr>
                <w:rStyle w:val="normaltextrun"/>
                <w:rFonts w:ascii="Times New Roman" w:hAnsi="Times New Roman" w:cs="Times New Roman"/>
              </w:rPr>
              <w:t xml:space="preserve">937 predios, de los cuales 32.506 (20.2%) tienen un avalúo catastral superior a $1.187 millones, si se compara este rango de bases gravables con las establecidas para el impuesto predial de los inmuebles residenciales se observa que la tarifa de estos últimos predios es superior a la establecida para los predios comerciales. (gráfico </w:t>
            </w:r>
            <w:r w:rsidR="000B3EEC">
              <w:rPr>
                <w:rStyle w:val="normaltextrun"/>
                <w:rFonts w:ascii="Times New Roman" w:hAnsi="Times New Roman" w:cs="Times New Roman"/>
              </w:rPr>
              <w:t>41</w:t>
            </w:r>
            <w:r w:rsidRPr="009D74A3">
              <w:rPr>
                <w:rStyle w:val="normaltextrun"/>
                <w:rFonts w:ascii="Times New Roman" w:hAnsi="Times New Roman" w:cs="Times New Roman"/>
              </w:rPr>
              <w:t>)</w:t>
            </w:r>
            <w:r w:rsidRPr="009D74A3">
              <w:rPr>
                <w:rStyle w:val="eop"/>
              </w:rPr>
              <w:t> </w:t>
            </w:r>
          </w:p>
          <w:p w14:paraId="3FB1E600" w14:textId="77777777" w:rsidR="009D74A3" w:rsidRPr="009D74A3" w:rsidRDefault="009D74A3" w:rsidP="009D74A3">
            <w:pPr>
              <w:pStyle w:val="paragraph"/>
              <w:spacing w:before="0" w:beforeAutospacing="0" w:after="0" w:afterAutospacing="0"/>
              <w:ind w:left="360"/>
              <w:jc w:val="both"/>
              <w:textAlignment w:val="baseline"/>
              <w:rPr>
                <w:sz w:val="32"/>
                <w:szCs w:val="32"/>
              </w:rPr>
            </w:pPr>
            <w:r w:rsidRPr="009D74A3">
              <w:rPr>
                <w:rStyle w:val="eop"/>
              </w:rPr>
              <w:t> </w:t>
            </w:r>
          </w:p>
          <w:p w14:paraId="49951FC5" w14:textId="78407E04" w:rsidR="009D74A3" w:rsidRPr="00961E7E" w:rsidRDefault="009D74A3" w:rsidP="00961E7E">
            <w:pPr>
              <w:pStyle w:val="paragraph"/>
              <w:spacing w:before="0" w:beforeAutospacing="0" w:after="0" w:afterAutospacing="0"/>
              <w:jc w:val="both"/>
              <w:textAlignment w:val="baseline"/>
              <w:rPr>
                <w:color w:val="000000" w:themeColor="text1"/>
                <w:sz w:val="32"/>
                <w:szCs w:val="32"/>
              </w:rPr>
            </w:pPr>
            <w:r w:rsidRPr="009D74A3">
              <w:rPr>
                <w:rStyle w:val="normaltextrun"/>
                <w:rFonts w:ascii="Times New Roman" w:hAnsi="Times New Roman" w:cs="Times New Roman"/>
                <w:color w:val="000000" w:themeColor="text1"/>
              </w:rPr>
              <w:t xml:space="preserve">En resumen, algunas de las tarifas que se aplican a predios industriales y comerciales, conllevan un menor aporte de los sujetos pasivos de estos inmuebles en comparación a lo que ocurre con los predios residenciales donde se observa una mayor progresividad en la alícuota aplicada para el cálculo del tributo dado que esta variable se asigna dependiendo del valor del inmueble. La </w:t>
            </w:r>
            <w:r w:rsidRPr="00C0651A">
              <w:rPr>
                <w:rStyle w:val="normaltextrun"/>
                <w:rFonts w:ascii="Times New Roman" w:hAnsi="Times New Roman" w:cs="Times New Roman"/>
                <w:b/>
                <w:bCs/>
                <w:color w:val="000000" w:themeColor="text1"/>
              </w:rPr>
              <w:t xml:space="preserve">tabla </w:t>
            </w:r>
            <w:r w:rsidR="00935EA4">
              <w:rPr>
                <w:rStyle w:val="normaltextrun"/>
                <w:rFonts w:ascii="Times New Roman" w:hAnsi="Times New Roman" w:cs="Times New Roman"/>
                <w:b/>
                <w:bCs/>
                <w:color w:val="000000" w:themeColor="text1"/>
              </w:rPr>
              <w:t>11</w:t>
            </w:r>
            <w:r w:rsidRPr="009D74A3">
              <w:rPr>
                <w:rStyle w:val="normaltextrun"/>
                <w:rFonts w:ascii="Times New Roman" w:hAnsi="Times New Roman" w:cs="Times New Roman"/>
                <w:color w:val="000000" w:themeColor="text1"/>
              </w:rPr>
              <w:t xml:space="preserve"> muestra el promedio del impuesto recaudado para el año 2024 por rangos de avalúo en los tres tipos de usos del suelo (residencial, comercial e industrial); también se visualiza la relación que existe entre el valor del impuesto que pagan los predios comerciales y los predios residenciales en el mismo rango de avaluó (C/R), y la relación entre el valor del impuesto que pagan los predios industriales y los residenciales en el mismo rango de aval</w:t>
            </w:r>
            <w:r w:rsidR="00D87D87">
              <w:rPr>
                <w:rStyle w:val="normaltextrun"/>
                <w:rFonts w:ascii="Times New Roman" w:hAnsi="Times New Roman" w:cs="Times New Roman"/>
                <w:color w:val="000000" w:themeColor="text1"/>
              </w:rPr>
              <w:t>úo</w:t>
            </w:r>
            <w:r w:rsidRPr="009D74A3">
              <w:rPr>
                <w:rStyle w:val="normaltextrun"/>
                <w:rFonts w:ascii="Times New Roman" w:hAnsi="Times New Roman" w:cs="Times New Roman"/>
                <w:color w:val="000000" w:themeColor="text1"/>
              </w:rPr>
              <w:t xml:space="preserve"> (I/R). Los valores inferiores a uno (1) indican que los predios comerciales o industriales pagan menos impuestos que los predios residenciales a pesar de tener igual base gravable, lo cual ocurre en inmuebles con avalúo superior a los </w:t>
            </w:r>
            <w:r w:rsidRPr="00BD1B2B">
              <w:rPr>
                <w:rStyle w:val="normaltextrun"/>
                <w:rFonts w:ascii="Times New Roman" w:hAnsi="Times New Roman" w:cs="Times New Roman"/>
                <w:color w:val="000000" w:themeColor="text1"/>
              </w:rPr>
              <w:t>$</w:t>
            </w:r>
            <w:r w:rsidRPr="009D74A3">
              <w:rPr>
                <w:rStyle w:val="normaltextrun"/>
                <w:rFonts w:ascii="Times New Roman" w:hAnsi="Times New Roman" w:cs="Times New Roman"/>
                <w:color w:val="000000" w:themeColor="text1"/>
              </w:rPr>
              <w:t xml:space="preserve">1.554 millones en comerciales y mayores a </w:t>
            </w:r>
            <w:r w:rsidRPr="00BD1B2B">
              <w:rPr>
                <w:rStyle w:val="normaltextrun"/>
                <w:rFonts w:ascii="Times New Roman" w:hAnsi="Times New Roman" w:cs="Times New Roman"/>
                <w:color w:val="000000" w:themeColor="text1"/>
              </w:rPr>
              <w:t>$</w:t>
            </w:r>
            <w:r w:rsidRPr="009D74A3">
              <w:rPr>
                <w:rStyle w:val="normaltextrun"/>
                <w:rFonts w:ascii="Times New Roman" w:hAnsi="Times New Roman" w:cs="Times New Roman"/>
                <w:color w:val="000000" w:themeColor="text1"/>
              </w:rPr>
              <w:t>1.792 millones en predios industriales. </w:t>
            </w:r>
            <w:r w:rsidRPr="009D74A3">
              <w:rPr>
                <w:rStyle w:val="eop"/>
                <w:color w:val="000000" w:themeColor="text1"/>
              </w:rPr>
              <w:t> </w:t>
            </w:r>
          </w:p>
          <w:p w14:paraId="78F0A6F9" w14:textId="168EB2F7" w:rsidR="009D74A3" w:rsidRPr="009D74A3" w:rsidRDefault="009D74A3" w:rsidP="009D74A3">
            <w:pPr>
              <w:pStyle w:val="paragraph"/>
              <w:spacing w:before="0" w:beforeAutospacing="0" w:after="0" w:afterAutospacing="0"/>
              <w:jc w:val="center"/>
              <w:textAlignment w:val="baseline"/>
              <w:rPr>
                <w:sz w:val="32"/>
                <w:szCs w:val="32"/>
              </w:rPr>
            </w:pPr>
            <w:r w:rsidRPr="009D74A3">
              <w:rPr>
                <w:rStyle w:val="normaltextrun"/>
                <w:rFonts w:ascii="Times New Roman" w:hAnsi="Times New Roman" w:cs="Times New Roman"/>
                <w:b/>
                <w:bCs/>
              </w:rPr>
              <w:t xml:space="preserve">Tabla </w:t>
            </w:r>
            <w:r w:rsidR="00935EA4">
              <w:rPr>
                <w:rStyle w:val="normaltextrun"/>
                <w:rFonts w:ascii="Times New Roman" w:hAnsi="Times New Roman" w:cs="Times New Roman"/>
                <w:b/>
                <w:bCs/>
              </w:rPr>
              <w:t>11</w:t>
            </w:r>
            <w:r w:rsidRPr="009D74A3">
              <w:rPr>
                <w:rStyle w:val="eop"/>
              </w:rPr>
              <w:t> </w:t>
            </w:r>
          </w:p>
          <w:p w14:paraId="43429990" w14:textId="77777777"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Promedio y relación de los promedios ajustados en los predios residenciales, comerciales e industriales – 2024 </w:t>
            </w:r>
            <w:r w:rsidRPr="009D74A3">
              <w:rPr>
                <w:rStyle w:val="eop"/>
                <w:i/>
                <w:iCs/>
              </w:rPr>
              <w:t> </w:t>
            </w:r>
          </w:p>
          <w:tbl>
            <w:tblPr>
              <w:tblW w:w="7870" w:type="dxa"/>
              <w:jc w:val="center"/>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975"/>
              <w:gridCol w:w="1005"/>
              <w:gridCol w:w="1380"/>
              <w:gridCol w:w="1185"/>
              <w:gridCol w:w="1215"/>
              <w:gridCol w:w="915"/>
              <w:gridCol w:w="1195"/>
            </w:tblGrid>
            <w:tr w:rsidR="00B02EB6" w:rsidRPr="009D74A3" w14:paraId="766ED91F" w14:textId="77777777" w:rsidTr="00B64FFB">
              <w:trPr>
                <w:trHeight w:val="495"/>
                <w:jc w:val="center"/>
              </w:trPr>
              <w:tc>
                <w:tcPr>
                  <w:tcW w:w="1980" w:type="dxa"/>
                  <w:gridSpan w:val="2"/>
                  <w:tcBorders>
                    <w:top w:val="single" w:sz="6" w:space="0" w:color="auto"/>
                    <w:left w:val="single" w:sz="6" w:space="0" w:color="auto"/>
                    <w:bottom w:val="single" w:sz="6" w:space="0" w:color="auto"/>
                    <w:right w:val="single" w:sz="6" w:space="0" w:color="auto"/>
                  </w:tcBorders>
                  <w:shd w:val="clear" w:color="auto" w:fill="002060"/>
                  <w:vAlign w:val="center"/>
                  <w:hideMark/>
                </w:tcPr>
                <w:p w14:paraId="6D0A13EF"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FFFFFF"/>
                      <w:sz w:val="16"/>
                      <w:szCs w:val="16"/>
                    </w:rPr>
                    <w:t>Rangos Avalúo</w:t>
                  </w:r>
                  <w:r w:rsidRPr="009D74A3">
                    <w:rPr>
                      <w:rStyle w:val="eop"/>
                      <w:color w:val="FFFFFF"/>
                      <w:sz w:val="16"/>
                      <w:szCs w:val="16"/>
                    </w:rPr>
                    <w:t> </w:t>
                  </w:r>
                </w:p>
              </w:tc>
              <w:tc>
                <w:tcPr>
                  <w:tcW w:w="3780" w:type="dxa"/>
                  <w:gridSpan w:val="3"/>
                  <w:tcBorders>
                    <w:top w:val="single" w:sz="6" w:space="0" w:color="auto"/>
                    <w:left w:val="nil"/>
                    <w:bottom w:val="single" w:sz="6" w:space="0" w:color="auto"/>
                    <w:right w:val="single" w:sz="6" w:space="0" w:color="auto"/>
                  </w:tcBorders>
                  <w:shd w:val="clear" w:color="auto" w:fill="002060"/>
                  <w:vAlign w:val="center"/>
                  <w:hideMark/>
                </w:tcPr>
                <w:p w14:paraId="36ABA3DF"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FFFFFF"/>
                      <w:sz w:val="16"/>
                      <w:szCs w:val="16"/>
                    </w:rPr>
                    <w:t>Promedio del Impuesto predial ajustado (IA) en Millones de pesos</w:t>
                  </w:r>
                  <w:r w:rsidRPr="009D74A3">
                    <w:rPr>
                      <w:rStyle w:val="eop"/>
                      <w:color w:val="FFFFFF"/>
                      <w:sz w:val="16"/>
                      <w:szCs w:val="16"/>
                    </w:rPr>
                    <w:t> </w:t>
                  </w:r>
                </w:p>
              </w:tc>
              <w:tc>
                <w:tcPr>
                  <w:tcW w:w="915" w:type="dxa"/>
                  <w:vMerge w:val="restart"/>
                  <w:tcBorders>
                    <w:top w:val="single" w:sz="6" w:space="0" w:color="auto"/>
                    <w:left w:val="single" w:sz="6" w:space="0" w:color="auto"/>
                    <w:bottom w:val="single" w:sz="6" w:space="0" w:color="auto"/>
                    <w:right w:val="single" w:sz="6" w:space="0" w:color="auto"/>
                  </w:tcBorders>
                  <w:shd w:val="clear" w:color="auto" w:fill="002060"/>
                  <w:vAlign w:val="center"/>
                  <w:hideMark/>
                </w:tcPr>
                <w:p w14:paraId="71BA7927"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FFFFFF"/>
                      <w:sz w:val="16"/>
                      <w:szCs w:val="16"/>
                    </w:rPr>
                    <w:t>Relación C/R</w:t>
                  </w:r>
                  <w:r w:rsidRPr="009D74A3">
                    <w:rPr>
                      <w:rStyle w:val="eop"/>
                      <w:color w:val="FFFFFF"/>
                      <w:sz w:val="16"/>
                      <w:szCs w:val="16"/>
                    </w:rPr>
                    <w:t> </w:t>
                  </w:r>
                </w:p>
              </w:tc>
              <w:tc>
                <w:tcPr>
                  <w:tcW w:w="1195" w:type="dxa"/>
                  <w:vMerge w:val="restart"/>
                  <w:tcBorders>
                    <w:top w:val="single" w:sz="6" w:space="0" w:color="auto"/>
                    <w:left w:val="single" w:sz="6" w:space="0" w:color="auto"/>
                    <w:bottom w:val="single" w:sz="6" w:space="0" w:color="auto"/>
                    <w:right w:val="single" w:sz="6" w:space="0" w:color="auto"/>
                  </w:tcBorders>
                  <w:shd w:val="clear" w:color="auto" w:fill="002060"/>
                  <w:vAlign w:val="center"/>
                  <w:hideMark/>
                </w:tcPr>
                <w:p w14:paraId="19C6B087"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FFFFFF"/>
                      <w:sz w:val="16"/>
                      <w:szCs w:val="16"/>
                    </w:rPr>
                    <w:t>Relación I/R</w:t>
                  </w:r>
                  <w:r w:rsidRPr="009D74A3">
                    <w:rPr>
                      <w:rStyle w:val="eop"/>
                      <w:color w:val="FFFFFF"/>
                      <w:sz w:val="16"/>
                      <w:szCs w:val="16"/>
                    </w:rPr>
                    <w:t> </w:t>
                  </w:r>
                </w:p>
              </w:tc>
            </w:tr>
            <w:tr w:rsidR="00B02EB6" w:rsidRPr="009D74A3" w14:paraId="7A5D8706" w14:textId="77777777" w:rsidTr="00B64FFB">
              <w:trPr>
                <w:trHeight w:val="285"/>
                <w:jc w:val="center"/>
              </w:trPr>
              <w:tc>
                <w:tcPr>
                  <w:tcW w:w="975" w:type="dxa"/>
                  <w:tcBorders>
                    <w:top w:val="nil"/>
                    <w:left w:val="single" w:sz="6" w:space="0" w:color="auto"/>
                    <w:bottom w:val="single" w:sz="6" w:space="0" w:color="auto"/>
                    <w:right w:val="single" w:sz="6" w:space="0" w:color="auto"/>
                  </w:tcBorders>
                  <w:shd w:val="clear" w:color="auto" w:fill="002060"/>
                  <w:vAlign w:val="center"/>
                  <w:hideMark/>
                </w:tcPr>
                <w:p w14:paraId="158C6F4D"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FFFFFF"/>
                      <w:sz w:val="16"/>
                      <w:szCs w:val="16"/>
                    </w:rPr>
                    <w:t>Lim. inf.</w:t>
                  </w:r>
                  <w:r w:rsidRPr="009D74A3">
                    <w:rPr>
                      <w:rStyle w:val="eop"/>
                      <w:color w:val="FFFFFF"/>
                      <w:sz w:val="16"/>
                      <w:szCs w:val="16"/>
                    </w:rPr>
                    <w:t> </w:t>
                  </w:r>
                </w:p>
              </w:tc>
              <w:tc>
                <w:tcPr>
                  <w:tcW w:w="1005" w:type="dxa"/>
                  <w:tcBorders>
                    <w:top w:val="nil"/>
                    <w:left w:val="nil"/>
                    <w:bottom w:val="single" w:sz="6" w:space="0" w:color="auto"/>
                    <w:right w:val="single" w:sz="6" w:space="0" w:color="auto"/>
                  </w:tcBorders>
                  <w:shd w:val="clear" w:color="auto" w:fill="002060"/>
                  <w:vAlign w:val="center"/>
                  <w:hideMark/>
                </w:tcPr>
                <w:p w14:paraId="4796AC52"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FFFFFF"/>
                      <w:sz w:val="16"/>
                      <w:szCs w:val="16"/>
                    </w:rPr>
                    <w:t>Lim. Sup.</w:t>
                  </w:r>
                  <w:r w:rsidRPr="009D74A3">
                    <w:rPr>
                      <w:rStyle w:val="eop"/>
                      <w:color w:val="FFFFFF"/>
                      <w:sz w:val="16"/>
                      <w:szCs w:val="16"/>
                    </w:rPr>
                    <w:t> </w:t>
                  </w:r>
                </w:p>
              </w:tc>
              <w:tc>
                <w:tcPr>
                  <w:tcW w:w="1380" w:type="dxa"/>
                  <w:tcBorders>
                    <w:top w:val="nil"/>
                    <w:left w:val="nil"/>
                    <w:bottom w:val="single" w:sz="6" w:space="0" w:color="auto"/>
                    <w:right w:val="single" w:sz="6" w:space="0" w:color="auto"/>
                  </w:tcBorders>
                  <w:shd w:val="clear" w:color="auto" w:fill="002060"/>
                  <w:vAlign w:val="center"/>
                  <w:hideMark/>
                </w:tcPr>
                <w:p w14:paraId="7A5DAD56"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FFFFFF"/>
                      <w:sz w:val="16"/>
                      <w:szCs w:val="16"/>
                    </w:rPr>
                    <w:t>Residencial (R)</w:t>
                  </w:r>
                  <w:r w:rsidRPr="009D74A3">
                    <w:rPr>
                      <w:rStyle w:val="eop"/>
                      <w:color w:val="FFFFFF"/>
                      <w:sz w:val="16"/>
                      <w:szCs w:val="16"/>
                    </w:rPr>
                    <w:t> </w:t>
                  </w:r>
                </w:p>
              </w:tc>
              <w:tc>
                <w:tcPr>
                  <w:tcW w:w="1185" w:type="dxa"/>
                  <w:tcBorders>
                    <w:top w:val="nil"/>
                    <w:left w:val="nil"/>
                    <w:bottom w:val="single" w:sz="6" w:space="0" w:color="auto"/>
                    <w:right w:val="single" w:sz="6" w:space="0" w:color="auto"/>
                  </w:tcBorders>
                  <w:shd w:val="clear" w:color="auto" w:fill="002060"/>
                  <w:vAlign w:val="center"/>
                  <w:hideMark/>
                </w:tcPr>
                <w:p w14:paraId="76CFBD7E"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FFFFFF"/>
                      <w:sz w:val="16"/>
                      <w:szCs w:val="16"/>
                    </w:rPr>
                    <w:t>Comercial (C)</w:t>
                  </w:r>
                  <w:r w:rsidRPr="009D74A3">
                    <w:rPr>
                      <w:rStyle w:val="eop"/>
                      <w:color w:val="FFFFFF"/>
                      <w:sz w:val="16"/>
                      <w:szCs w:val="16"/>
                    </w:rPr>
                    <w:t> </w:t>
                  </w:r>
                </w:p>
              </w:tc>
              <w:tc>
                <w:tcPr>
                  <w:tcW w:w="1215" w:type="dxa"/>
                  <w:tcBorders>
                    <w:top w:val="nil"/>
                    <w:left w:val="nil"/>
                    <w:bottom w:val="single" w:sz="6" w:space="0" w:color="auto"/>
                    <w:right w:val="single" w:sz="6" w:space="0" w:color="auto"/>
                  </w:tcBorders>
                  <w:shd w:val="clear" w:color="auto" w:fill="002060"/>
                  <w:vAlign w:val="center"/>
                  <w:hideMark/>
                </w:tcPr>
                <w:p w14:paraId="1AA5715A"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FFFFFF"/>
                      <w:sz w:val="16"/>
                      <w:szCs w:val="16"/>
                    </w:rPr>
                    <w:t>Industrial (I)</w:t>
                  </w:r>
                  <w:r w:rsidRPr="009D74A3">
                    <w:rPr>
                      <w:rStyle w:val="eop"/>
                      <w:color w:val="FFFFFF"/>
                      <w:sz w:val="16"/>
                      <w:szCs w:val="16"/>
                    </w:rPr>
                    <w:t> </w:t>
                  </w:r>
                </w:p>
              </w:tc>
              <w:tc>
                <w:tcPr>
                  <w:tcW w:w="915" w:type="dxa"/>
                  <w:vMerge/>
                  <w:tcBorders>
                    <w:top w:val="single" w:sz="6" w:space="0" w:color="auto"/>
                    <w:left w:val="single" w:sz="6" w:space="0" w:color="auto"/>
                    <w:bottom w:val="single" w:sz="6" w:space="0" w:color="auto"/>
                    <w:right w:val="single" w:sz="6" w:space="0" w:color="auto"/>
                  </w:tcBorders>
                  <w:vAlign w:val="center"/>
                  <w:hideMark/>
                </w:tcPr>
                <w:p w14:paraId="57FA56CC" w14:textId="77777777" w:rsidR="009D74A3" w:rsidRPr="009D74A3" w:rsidRDefault="009D74A3" w:rsidP="009D74A3">
                  <w:pPr>
                    <w:rPr>
                      <w:rFonts w:ascii="Times New Roman" w:hAnsi="Times New Roman" w:cs="Times New Roman"/>
                      <w:sz w:val="16"/>
                      <w:szCs w:val="16"/>
                    </w:rPr>
                  </w:pPr>
                </w:p>
              </w:tc>
              <w:tc>
                <w:tcPr>
                  <w:tcW w:w="1195" w:type="dxa"/>
                  <w:vMerge/>
                  <w:tcBorders>
                    <w:top w:val="single" w:sz="6" w:space="0" w:color="auto"/>
                    <w:left w:val="single" w:sz="6" w:space="0" w:color="auto"/>
                    <w:bottom w:val="single" w:sz="6" w:space="0" w:color="auto"/>
                    <w:right w:val="single" w:sz="6" w:space="0" w:color="auto"/>
                  </w:tcBorders>
                  <w:vAlign w:val="center"/>
                  <w:hideMark/>
                </w:tcPr>
                <w:p w14:paraId="39E0A66D" w14:textId="77777777" w:rsidR="009D74A3" w:rsidRPr="009D74A3" w:rsidRDefault="009D74A3" w:rsidP="009D74A3">
                  <w:pPr>
                    <w:rPr>
                      <w:rFonts w:ascii="Times New Roman" w:hAnsi="Times New Roman" w:cs="Times New Roman"/>
                      <w:sz w:val="16"/>
                      <w:szCs w:val="16"/>
                    </w:rPr>
                  </w:pPr>
                </w:p>
              </w:tc>
            </w:tr>
            <w:tr w:rsidR="009D74A3" w:rsidRPr="009D74A3" w14:paraId="5D9FD133" w14:textId="77777777" w:rsidTr="00740130">
              <w:trPr>
                <w:trHeight w:val="285"/>
                <w:jc w:val="center"/>
              </w:trPr>
              <w:tc>
                <w:tcPr>
                  <w:tcW w:w="975" w:type="dxa"/>
                  <w:tcBorders>
                    <w:top w:val="nil"/>
                    <w:left w:val="single" w:sz="6" w:space="0" w:color="auto"/>
                    <w:bottom w:val="single" w:sz="6" w:space="0" w:color="auto"/>
                    <w:right w:val="single" w:sz="6" w:space="0" w:color="auto"/>
                  </w:tcBorders>
                  <w:vAlign w:val="center"/>
                  <w:hideMark/>
                </w:tcPr>
                <w:p w14:paraId="7111F2CE"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$ 0</w:t>
                  </w:r>
                  <w:r w:rsidRPr="009D74A3">
                    <w:rPr>
                      <w:rStyle w:val="eop"/>
                      <w:color w:val="000000"/>
                      <w:sz w:val="16"/>
                      <w:szCs w:val="16"/>
                    </w:rPr>
                    <w:t> </w:t>
                  </w:r>
                </w:p>
              </w:tc>
              <w:tc>
                <w:tcPr>
                  <w:tcW w:w="1005" w:type="dxa"/>
                  <w:tcBorders>
                    <w:top w:val="nil"/>
                    <w:left w:val="nil"/>
                    <w:bottom w:val="single" w:sz="6" w:space="0" w:color="auto"/>
                    <w:right w:val="single" w:sz="6" w:space="0" w:color="auto"/>
                  </w:tcBorders>
                  <w:vAlign w:val="center"/>
                  <w:hideMark/>
                </w:tcPr>
                <w:p w14:paraId="589CABF7"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$ 330</w:t>
                  </w:r>
                  <w:r w:rsidRPr="009D74A3">
                    <w:rPr>
                      <w:rStyle w:val="eop"/>
                      <w:color w:val="000000"/>
                      <w:sz w:val="16"/>
                      <w:szCs w:val="16"/>
                    </w:rPr>
                    <w:t> </w:t>
                  </w:r>
                </w:p>
              </w:tc>
              <w:tc>
                <w:tcPr>
                  <w:tcW w:w="1380" w:type="dxa"/>
                  <w:tcBorders>
                    <w:top w:val="nil"/>
                    <w:left w:val="nil"/>
                    <w:bottom w:val="single" w:sz="6" w:space="0" w:color="auto"/>
                    <w:right w:val="single" w:sz="6" w:space="0" w:color="auto"/>
                  </w:tcBorders>
                  <w:vAlign w:val="center"/>
                  <w:hideMark/>
                </w:tcPr>
                <w:p w14:paraId="0D7E0890"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$ 0,5</w:t>
                  </w:r>
                  <w:r w:rsidRPr="009D74A3">
                    <w:rPr>
                      <w:rStyle w:val="eop"/>
                      <w:color w:val="000000"/>
                      <w:sz w:val="16"/>
                      <w:szCs w:val="16"/>
                    </w:rPr>
                    <w:t> </w:t>
                  </w:r>
                </w:p>
              </w:tc>
              <w:tc>
                <w:tcPr>
                  <w:tcW w:w="1185" w:type="dxa"/>
                  <w:tcBorders>
                    <w:top w:val="nil"/>
                    <w:left w:val="nil"/>
                    <w:bottom w:val="single" w:sz="6" w:space="0" w:color="auto"/>
                    <w:right w:val="single" w:sz="6" w:space="0" w:color="auto"/>
                  </w:tcBorders>
                  <w:vAlign w:val="center"/>
                  <w:hideMark/>
                </w:tcPr>
                <w:p w14:paraId="371B2A05"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$ 1,2</w:t>
                  </w:r>
                  <w:r w:rsidRPr="009D74A3">
                    <w:rPr>
                      <w:rStyle w:val="eop"/>
                      <w:color w:val="000000"/>
                      <w:sz w:val="16"/>
                      <w:szCs w:val="16"/>
                    </w:rPr>
                    <w:t> </w:t>
                  </w:r>
                </w:p>
              </w:tc>
              <w:tc>
                <w:tcPr>
                  <w:tcW w:w="1215" w:type="dxa"/>
                  <w:tcBorders>
                    <w:top w:val="nil"/>
                    <w:left w:val="nil"/>
                    <w:bottom w:val="single" w:sz="6" w:space="0" w:color="auto"/>
                    <w:right w:val="single" w:sz="6" w:space="0" w:color="auto"/>
                  </w:tcBorders>
                  <w:vAlign w:val="center"/>
                  <w:hideMark/>
                </w:tcPr>
                <w:p w14:paraId="2827D404"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$ 1,6</w:t>
                  </w:r>
                  <w:r w:rsidRPr="009D74A3">
                    <w:rPr>
                      <w:rStyle w:val="eop"/>
                      <w:color w:val="000000"/>
                      <w:sz w:val="16"/>
                      <w:szCs w:val="16"/>
                    </w:rPr>
                    <w:t> </w:t>
                  </w:r>
                </w:p>
              </w:tc>
              <w:tc>
                <w:tcPr>
                  <w:tcW w:w="915" w:type="dxa"/>
                  <w:tcBorders>
                    <w:top w:val="nil"/>
                    <w:left w:val="nil"/>
                    <w:bottom w:val="single" w:sz="6" w:space="0" w:color="auto"/>
                    <w:right w:val="single" w:sz="6" w:space="0" w:color="auto"/>
                  </w:tcBorders>
                  <w:vAlign w:val="center"/>
                  <w:hideMark/>
                </w:tcPr>
                <w:p w14:paraId="1AFD5AE6"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2,17</w:t>
                  </w:r>
                  <w:r w:rsidRPr="009D74A3">
                    <w:rPr>
                      <w:rStyle w:val="eop"/>
                      <w:color w:val="000000"/>
                      <w:sz w:val="16"/>
                      <w:szCs w:val="16"/>
                    </w:rPr>
                    <w:t> </w:t>
                  </w:r>
                </w:p>
              </w:tc>
              <w:tc>
                <w:tcPr>
                  <w:tcW w:w="1195" w:type="dxa"/>
                  <w:tcBorders>
                    <w:top w:val="nil"/>
                    <w:left w:val="nil"/>
                    <w:bottom w:val="single" w:sz="6" w:space="0" w:color="auto"/>
                    <w:right w:val="single" w:sz="6" w:space="0" w:color="auto"/>
                  </w:tcBorders>
                  <w:vAlign w:val="center"/>
                  <w:hideMark/>
                </w:tcPr>
                <w:p w14:paraId="0494DAF0"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3,02</w:t>
                  </w:r>
                  <w:r w:rsidRPr="009D74A3">
                    <w:rPr>
                      <w:rStyle w:val="eop"/>
                      <w:color w:val="000000"/>
                      <w:sz w:val="16"/>
                      <w:szCs w:val="16"/>
                    </w:rPr>
                    <w:t> </w:t>
                  </w:r>
                </w:p>
              </w:tc>
            </w:tr>
            <w:tr w:rsidR="009D74A3" w:rsidRPr="009D74A3" w14:paraId="7945CBD7" w14:textId="77777777" w:rsidTr="00740130">
              <w:trPr>
                <w:trHeight w:val="285"/>
                <w:jc w:val="center"/>
              </w:trPr>
              <w:tc>
                <w:tcPr>
                  <w:tcW w:w="975" w:type="dxa"/>
                  <w:tcBorders>
                    <w:top w:val="nil"/>
                    <w:left w:val="single" w:sz="6" w:space="0" w:color="auto"/>
                    <w:bottom w:val="single" w:sz="6" w:space="0" w:color="auto"/>
                    <w:right w:val="single" w:sz="6" w:space="0" w:color="auto"/>
                  </w:tcBorders>
                  <w:vAlign w:val="center"/>
                  <w:hideMark/>
                </w:tcPr>
                <w:p w14:paraId="57296B37"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$ 330</w:t>
                  </w:r>
                  <w:r w:rsidRPr="009D74A3">
                    <w:rPr>
                      <w:rStyle w:val="eop"/>
                      <w:color w:val="000000"/>
                      <w:sz w:val="16"/>
                      <w:szCs w:val="16"/>
                    </w:rPr>
                    <w:t> </w:t>
                  </w:r>
                </w:p>
              </w:tc>
              <w:tc>
                <w:tcPr>
                  <w:tcW w:w="1005" w:type="dxa"/>
                  <w:tcBorders>
                    <w:top w:val="nil"/>
                    <w:left w:val="nil"/>
                    <w:bottom w:val="single" w:sz="6" w:space="0" w:color="auto"/>
                    <w:right w:val="single" w:sz="6" w:space="0" w:color="auto"/>
                  </w:tcBorders>
                  <w:vAlign w:val="center"/>
                  <w:hideMark/>
                </w:tcPr>
                <w:p w14:paraId="6B030714"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$ 454</w:t>
                  </w:r>
                  <w:r w:rsidRPr="009D74A3">
                    <w:rPr>
                      <w:rStyle w:val="eop"/>
                      <w:color w:val="000000"/>
                      <w:sz w:val="16"/>
                      <w:szCs w:val="16"/>
                    </w:rPr>
                    <w:t> </w:t>
                  </w:r>
                </w:p>
              </w:tc>
              <w:tc>
                <w:tcPr>
                  <w:tcW w:w="1380" w:type="dxa"/>
                  <w:tcBorders>
                    <w:top w:val="nil"/>
                    <w:left w:val="nil"/>
                    <w:bottom w:val="single" w:sz="6" w:space="0" w:color="auto"/>
                    <w:right w:val="single" w:sz="6" w:space="0" w:color="auto"/>
                  </w:tcBorders>
                  <w:vAlign w:val="center"/>
                  <w:hideMark/>
                </w:tcPr>
                <w:p w14:paraId="6E336BE5"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$ 2,3</w:t>
                  </w:r>
                  <w:r w:rsidRPr="009D74A3">
                    <w:rPr>
                      <w:rStyle w:val="eop"/>
                      <w:color w:val="000000"/>
                      <w:sz w:val="16"/>
                      <w:szCs w:val="16"/>
                    </w:rPr>
                    <w:t> </w:t>
                  </w:r>
                </w:p>
              </w:tc>
              <w:tc>
                <w:tcPr>
                  <w:tcW w:w="1185" w:type="dxa"/>
                  <w:tcBorders>
                    <w:top w:val="nil"/>
                    <w:left w:val="nil"/>
                    <w:bottom w:val="single" w:sz="6" w:space="0" w:color="auto"/>
                    <w:right w:val="single" w:sz="6" w:space="0" w:color="auto"/>
                  </w:tcBorders>
                  <w:vAlign w:val="center"/>
                  <w:hideMark/>
                </w:tcPr>
                <w:p w14:paraId="45BF241B"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$ 3,2</w:t>
                  </w:r>
                  <w:r w:rsidRPr="009D74A3">
                    <w:rPr>
                      <w:rStyle w:val="eop"/>
                      <w:color w:val="000000"/>
                      <w:sz w:val="16"/>
                      <w:szCs w:val="16"/>
                    </w:rPr>
                    <w:t> </w:t>
                  </w:r>
                </w:p>
              </w:tc>
              <w:tc>
                <w:tcPr>
                  <w:tcW w:w="1215" w:type="dxa"/>
                  <w:tcBorders>
                    <w:top w:val="nil"/>
                    <w:left w:val="nil"/>
                    <w:bottom w:val="single" w:sz="6" w:space="0" w:color="auto"/>
                    <w:right w:val="single" w:sz="6" w:space="0" w:color="auto"/>
                  </w:tcBorders>
                  <w:vAlign w:val="center"/>
                  <w:hideMark/>
                </w:tcPr>
                <w:p w14:paraId="50D8F9A6"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$ 3,2</w:t>
                  </w:r>
                  <w:r w:rsidRPr="009D74A3">
                    <w:rPr>
                      <w:rStyle w:val="eop"/>
                      <w:color w:val="000000"/>
                      <w:sz w:val="16"/>
                      <w:szCs w:val="16"/>
                    </w:rPr>
                    <w:t> </w:t>
                  </w:r>
                </w:p>
              </w:tc>
              <w:tc>
                <w:tcPr>
                  <w:tcW w:w="915" w:type="dxa"/>
                  <w:tcBorders>
                    <w:top w:val="nil"/>
                    <w:left w:val="nil"/>
                    <w:bottom w:val="single" w:sz="6" w:space="0" w:color="auto"/>
                    <w:right w:val="single" w:sz="6" w:space="0" w:color="auto"/>
                  </w:tcBorders>
                  <w:vAlign w:val="center"/>
                  <w:hideMark/>
                </w:tcPr>
                <w:p w14:paraId="2EEE26FA" w14:textId="4A98CE92" w:rsidR="009D74A3" w:rsidRPr="009D74A3" w:rsidRDefault="009D74A3" w:rsidP="009D74A3">
                  <w:pPr>
                    <w:jc w:val="center"/>
                    <w:rPr>
                      <w:rFonts w:ascii="Times New Roman" w:hAnsi="Times New Roman" w:cs="Times New Roman"/>
                      <w:sz w:val="16"/>
                      <w:szCs w:val="16"/>
                    </w:rPr>
                  </w:pPr>
                  <w:r w:rsidRPr="009D74A3">
                    <w:rPr>
                      <w:rFonts w:ascii="Times New Roman" w:hAnsi="Times New Roman" w:cs="Times New Roman"/>
                      <w:sz w:val="16"/>
                      <w:szCs w:val="16"/>
                    </w:rPr>
                    <w:t>1,38</w:t>
                  </w:r>
                </w:p>
              </w:tc>
              <w:tc>
                <w:tcPr>
                  <w:tcW w:w="1195" w:type="dxa"/>
                  <w:tcBorders>
                    <w:top w:val="nil"/>
                    <w:left w:val="nil"/>
                    <w:bottom w:val="single" w:sz="6" w:space="0" w:color="auto"/>
                    <w:right w:val="single" w:sz="6" w:space="0" w:color="auto"/>
                  </w:tcBorders>
                  <w:vAlign w:val="center"/>
                  <w:hideMark/>
                </w:tcPr>
                <w:p w14:paraId="015A1E37" w14:textId="63398663" w:rsidR="009D74A3" w:rsidRPr="009D74A3" w:rsidRDefault="009D74A3" w:rsidP="009D74A3">
                  <w:pPr>
                    <w:jc w:val="center"/>
                    <w:rPr>
                      <w:rFonts w:ascii="Times New Roman" w:hAnsi="Times New Roman" w:cs="Times New Roman"/>
                      <w:sz w:val="16"/>
                      <w:szCs w:val="16"/>
                    </w:rPr>
                  </w:pPr>
                  <w:r w:rsidRPr="009D74A3">
                    <w:rPr>
                      <w:rFonts w:ascii="Times New Roman" w:hAnsi="Times New Roman" w:cs="Times New Roman"/>
                      <w:sz w:val="16"/>
                      <w:szCs w:val="16"/>
                    </w:rPr>
                    <w:t>1,40</w:t>
                  </w:r>
                </w:p>
              </w:tc>
            </w:tr>
            <w:tr w:rsidR="009D74A3" w:rsidRPr="009D74A3" w14:paraId="78C03248" w14:textId="77777777" w:rsidTr="00740130">
              <w:trPr>
                <w:trHeight w:val="285"/>
                <w:jc w:val="center"/>
              </w:trPr>
              <w:tc>
                <w:tcPr>
                  <w:tcW w:w="975" w:type="dxa"/>
                  <w:tcBorders>
                    <w:top w:val="nil"/>
                    <w:left w:val="single" w:sz="6" w:space="0" w:color="auto"/>
                    <w:bottom w:val="single" w:sz="6" w:space="0" w:color="auto"/>
                    <w:right w:val="single" w:sz="6" w:space="0" w:color="auto"/>
                  </w:tcBorders>
                  <w:vAlign w:val="center"/>
                  <w:hideMark/>
                </w:tcPr>
                <w:p w14:paraId="05A9E93A"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$ 454</w:t>
                  </w:r>
                  <w:r w:rsidRPr="009D74A3">
                    <w:rPr>
                      <w:rStyle w:val="eop"/>
                      <w:color w:val="000000"/>
                      <w:sz w:val="16"/>
                      <w:szCs w:val="16"/>
                    </w:rPr>
                    <w:t> </w:t>
                  </w:r>
                </w:p>
              </w:tc>
              <w:tc>
                <w:tcPr>
                  <w:tcW w:w="1005" w:type="dxa"/>
                  <w:tcBorders>
                    <w:top w:val="nil"/>
                    <w:left w:val="nil"/>
                    <w:bottom w:val="single" w:sz="6" w:space="0" w:color="auto"/>
                    <w:right w:val="single" w:sz="6" w:space="0" w:color="auto"/>
                  </w:tcBorders>
                  <w:vAlign w:val="center"/>
                  <w:hideMark/>
                </w:tcPr>
                <w:p w14:paraId="6265074C"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$ 644</w:t>
                  </w:r>
                  <w:r w:rsidRPr="009D74A3">
                    <w:rPr>
                      <w:rStyle w:val="eop"/>
                      <w:color w:val="000000"/>
                      <w:sz w:val="16"/>
                      <w:szCs w:val="16"/>
                    </w:rPr>
                    <w:t> </w:t>
                  </w:r>
                </w:p>
              </w:tc>
              <w:tc>
                <w:tcPr>
                  <w:tcW w:w="1380" w:type="dxa"/>
                  <w:tcBorders>
                    <w:top w:val="nil"/>
                    <w:left w:val="nil"/>
                    <w:bottom w:val="single" w:sz="6" w:space="0" w:color="auto"/>
                    <w:right w:val="single" w:sz="6" w:space="0" w:color="auto"/>
                  </w:tcBorders>
                  <w:vAlign w:val="center"/>
                  <w:hideMark/>
                </w:tcPr>
                <w:p w14:paraId="58D5D569"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$ 3,4</w:t>
                  </w:r>
                  <w:r w:rsidRPr="009D74A3">
                    <w:rPr>
                      <w:rStyle w:val="eop"/>
                      <w:color w:val="000000"/>
                      <w:sz w:val="16"/>
                      <w:szCs w:val="16"/>
                    </w:rPr>
                    <w:t> </w:t>
                  </w:r>
                </w:p>
              </w:tc>
              <w:tc>
                <w:tcPr>
                  <w:tcW w:w="1185" w:type="dxa"/>
                  <w:tcBorders>
                    <w:top w:val="nil"/>
                    <w:left w:val="nil"/>
                    <w:bottom w:val="single" w:sz="6" w:space="0" w:color="auto"/>
                    <w:right w:val="single" w:sz="6" w:space="0" w:color="auto"/>
                  </w:tcBorders>
                  <w:vAlign w:val="center"/>
                  <w:hideMark/>
                </w:tcPr>
                <w:p w14:paraId="1E68FF14"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$ 4,7</w:t>
                  </w:r>
                  <w:r w:rsidRPr="009D74A3">
                    <w:rPr>
                      <w:rStyle w:val="eop"/>
                      <w:color w:val="000000"/>
                      <w:sz w:val="16"/>
                      <w:szCs w:val="16"/>
                    </w:rPr>
                    <w:t> </w:t>
                  </w:r>
                </w:p>
              </w:tc>
              <w:tc>
                <w:tcPr>
                  <w:tcW w:w="1215" w:type="dxa"/>
                  <w:tcBorders>
                    <w:top w:val="nil"/>
                    <w:left w:val="nil"/>
                    <w:bottom w:val="single" w:sz="6" w:space="0" w:color="auto"/>
                    <w:right w:val="single" w:sz="6" w:space="0" w:color="auto"/>
                  </w:tcBorders>
                  <w:vAlign w:val="center"/>
                  <w:hideMark/>
                </w:tcPr>
                <w:p w14:paraId="3D0E6541"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$ 4,9</w:t>
                  </w:r>
                  <w:r w:rsidRPr="009D74A3">
                    <w:rPr>
                      <w:rStyle w:val="eop"/>
                      <w:color w:val="000000"/>
                      <w:sz w:val="16"/>
                      <w:szCs w:val="16"/>
                    </w:rPr>
                    <w:t> </w:t>
                  </w:r>
                </w:p>
              </w:tc>
              <w:tc>
                <w:tcPr>
                  <w:tcW w:w="915" w:type="dxa"/>
                  <w:tcBorders>
                    <w:top w:val="nil"/>
                    <w:left w:val="nil"/>
                    <w:bottom w:val="single" w:sz="6" w:space="0" w:color="auto"/>
                    <w:right w:val="single" w:sz="6" w:space="0" w:color="auto"/>
                  </w:tcBorders>
                  <w:vAlign w:val="center"/>
                  <w:hideMark/>
                </w:tcPr>
                <w:p w14:paraId="6C4F30EC"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1,40</w:t>
                  </w:r>
                  <w:r w:rsidRPr="009D74A3">
                    <w:rPr>
                      <w:rStyle w:val="eop"/>
                      <w:color w:val="000000"/>
                      <w:sz w:val="16"/>
                      <w:szCs w:val="16"/>
                    </w:rPr>
                    <w:t> </w:t>
                  </w:r>
                </w:p>
              </w:tc>
              <w:tc>
                <w:tcPr>
                  <w:tcW w:w="1195" w:type="dxa"/>
                  <w:tcBorders>
                    <w:top w:val="nil"/>
                    <w:left w:val="nil"/>
                    <w:bottom w:val="single" w:sz="6" w:space="0" w:color="auto"/>
                    <w:right w:val="single" w:sz="6" w:space="0" w:color="auto"/>
                  </w:tcBorders>
                  <w:vAlign w:val="center"/>
                  <w:hideMark/>
                </w:tcPr>
                <w:p w14:paraId="3514C46C"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1,44</w:t>
                  </w:r>
                  <w:r w:rsidRPr="009D74A3">
                    <w:rPr>
                      <w:rStyle w:val="eop"/>
                      <w:color w:val="000000"/>
                      <w:sz w:val="16"/>
                      <w:szCs w:val="16"/>
                    </w:rPr>
                    <w:t> </w:t>
                  </w:r>
                </w:p>
              </w:tc>
            </w:tr>
            <w:tr w:rsidR="009D74A3" w:rsidRPr="009D74A3" w14:paraId="55A0D983" w14:textId="77777777" w:rsidTr="00740130">
              <w:trPr>
                <w:trHeight w:val="285"/>
                <w:jc w:val="center"/>
              </w:trPr>
              <w:tc>
                <w:tcPr>
                  <w:tcW w:w="975" w:type="dxa"/>
                  <w:tcBorders>
                    <w:top w:val="nil"/>
                    <w:left w:val="single" w:sz="6" w:space="0" w:color="auto"/>
                    <w:bottom w:val="single" w:sz="6" w:space="0" w:color="auto"/>
                    <w:right w:val="single" w:sz="6" w:space="0" w:color="auto"/>
                  </w:tcBorders>
                  <w:vAlign w:val="center"/>
                  <w:hideMark/>
                </w:tcPr>
                <w:p w14:paraId="0055E634"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$ 644</w:t>
                  </w:r>
                  <w:r w:rsidRPr="009D74A3">
                    <w:rPr>
                      <w:rStyle w:val="eop"/>
                      <w:color w:val="000000"/>
                      <w:sz w:val="16"/>
                      <w:szCs w:val="16"/>
                    </w:rPr>
                    <w:t> </w:t>
                  </w:r>
                </w:p>
              </w:tc>
              <w:tc>
                <w:tcPr>
                  <w:tcW w:w="1005" w:type="dxa"/>
                  <w:tcBorders>
                    <w:top w:val="nil"/>
                    <w:left w:val="nil"/>
                    <w:bottom w:val="single" w:sz="6" w:space="0" w:color="auto"/>
                    <w:right w:val="single" w:sz="6" w:space="0" w:color="auto"/>
                  </w:tcBorders>
                  <w:vAlign w:val="center"/>
                  <w:hideMark/>
                </w:tcPr>
                <w:p w14:paraId="7A6CF7AF"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$ 853</w:t>
                  </w:r>
                  <w:r w:rsidRPr="009D74A3">
                    <w:rPr>
                      <w:rStyle w:val="eop"/>
                      <w:color w:val="000000"/>
                      <w:sz w:val="16"/>
                      <w:szCs w:val="16"/>
                    </w:rPr>
                    <w:t> </w:t>
                  </w:r>
                </w:p>
              </w:tc>
              <w:tc>
                <w:tcPr>
                  <w:tcW w:w="1380" w:type="dxa"/>
                  <w:tcBorders>
                    <w:top w:val="nil"/>
                    <w:left w:val="nil"/>
                    <w:bottom w:val="single" w:sz="6" w:space="0" w:color="auto"/>
                    <w:right w:val="single" w:sz="6" w:space="0" w:color="auto"/>
                  </w:tcBorders>
                  <w:vAlign w:val="center"/>
                  <w:hideMark/>
                </w:tcPr>
                <w:p w14:paraId="4166E784"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$ 5,2</w:t>
                  </w:r>
                  <w:r w:rsidRPr="009D74A3">
                    <w:rPr>
                      <w:rStyle w:val="eop"/>
                      <w:color w:val="000000"/>
                      <w:sz w:val="16"/>
                      <w:szCs w:val="16"/>
                    </w:rPr>
                    <w:t> </w:t>
                  </w:r>
                </w:p>
              </w:tc>
              <w:tc>
                <w:tcPr>
                  <w:tcW w:w="1185" w:type="dxa"/>
                  <w:tcBorders>
                    <w:top w:val="nil"/>
                    <w:left w:val="nil"/>
                    <w:bottom w:val="single" w:sz="6" w:space="0" w:color="auto"/>
                    <w:right w:val="single" w:sz="6" w:space="0" w:color="auto"/>
                  </w:tcBorders>
                  <w:vAlign w:val="center"/>
                  <w:hideMark/>
                </w:tcPr>
                <w:p w14:paraId="23CC8D3E"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$ 6,7</w:t>
                  </w:r>
                  <w:r w:rsidRPr="009D74A3">
                    <w:rPr>
                      <w:rStyle w:val="eop"/>
                      <w:color w:val="000000"/>
                      <w:sz w:val="16"/>
                      <w:szCs w:val="16"/>
                    </w:rPr>
                    <w:t> </w:t>
                  </w:r>
                </w:p>
              </w:tc>
              <w:tc>
                <w:tcPr>
                  <w:tcW w:w="1215" w:type="dxa"/>
                  <w:tcBorders>
                    <w:top w:val="nil"/>
                    <w:left w:val="nil"/>
                    <w:bottom w:val="single" w:sz="6" w:space="0" w:color="auto"/>
                    <w:right w:val="single" w:sz="6" w:space="0" w:color="auto"/>
                  </w:tcBorders>
                  <w:vAlign w:val="center"/>
                  <w:hideMark/>
                </w:tcPr>
                <w:p w14:paraId="795358A4"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$ 6,9</w:t>
                  </w:r>
                  <w:r w:rsidRPr="009D74A3">
                    <w:rPr>
                      <w:rStyle w:val="eop"/>
                      <w:color w:val="000000"/>
                      <w:sz w:val="16"/>
                      <w:szCs w:val="16"/>
                    </w:rPr>
                    <w:t> </w:t>
                  </w:r>
                </w:p>
              </w:tc>
              <w:tc>
                <w:tcPr>
                  <w:tcW w:w="915" w:type="dxa"/>
                  <w:tcBorders>
                    <w:top w:val="nil"/>
                    <w:left w:val="nil"/>
                    <w:bottom w:val="single" w:sz="6" w:space="0" w:color="auto"/>
                    <w:right w:val="single" w:sz="6" w:space="0" w:color="auto"/>
                  </w:tcBorders>
                  <w:vAlign w:val="center"/>
                  <w:hideMark/>
                </w:tcPr>
                <w:p w14:paraId="0D7C729C"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1,28</w:t>
                  </w:r>
                  <w:r w:rsidRPr="009D74A3">
                    <w:rPr>
                      <w:rStyle w:val="eop"/>
                      <w:color w:val="000000"/>
                      <w:sz w:val="16"/>
                      <w:szCs w:val="16"/>
                    </w:rPr>
                    <w:t> </w:t>
                  </w:r>
                </w:p>
              </w:tc>
              <w:tc>
                <w:tcPr>
                  <w:tcW w:w="1195" w:type="dxa"/>
                  <w:tcBorders>
                    <w:top w:val="nil"/>
                    <w:left w:val="nil"/>
                    <w:bottom w:val="single" w:sz="6" w:space="0" w:color="auto"/>
                    <w:right w:val="single" w:sz="6" w:space="0" w:color="auto"/>
                  </w:tcBorders>
                  <w:vAlign w:val="center"/>
                  <w:hideMark/>
                </w:tcPr>
                <w:p w14:paraId="7A4574DA"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1,33</w:t>
                  </w:r>
                  <w:r w:rsidRPr="009D74A3">
                    <w:rPr>
                      <w:rStyle w:val="eop"/>
                      <w:color w:val="000000"/>
                      <w:sz w:val="16"/>
                      <w:szCs w:val="16"/>
                    </w:rPr>
                    <w:t> </w:t>
                  </w:r>
                </w:p>
              </w:tc>
            </w:tr>
            <w:tr w:rsidR="009D74A3" w:rsidRPr="009D74A3" w14:paraId="49043604" w14:textId="77777777" w:rsidTr="00740130">
              <w:trPr>
                <w:trHeight w:val="285"/>
                <w:jc w:val="center"/>
              </w:trPr>
              <w:tc>
                <w:tcPr>
                  <w:tcW w:w="975" w:type="dxa"/>
                  <w:tcBorders>
                    <w:top w:val="nil"/>
                    <w:left w:val="single" w:sz="6" w:space="0" w:color="auto"/>
                    <w:bottom w:val="single" w:sz="6" w:space="0" w:color="auto"/>
                    <w:right w:val="single" w:sz="6" w:space="0" w:color="auto"/>
                  </w:tcBorders>
                  <w:vAlign w:val="center"/>
                  <w:hideMark/>
                </w:tcPr>
                <w:p w14:paraId="16C55C6C"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$ 853</w:t>
                  </w:r>
                  <w:r w:rsidRPr="009D74A3">
                    <w:rPr>
                      <w:rStyle w:val="eop"/>
                      <w:color w:val="000000"/>
                      <w:sz w:val="16"/>
                      <w:szCs w:val="16"/>
                    </w:rPr>
                    <w:t> </w:t>
                  </w:r>
                </w:p>
              </w:tc>
              <w:tc>
                <w:tcPr>
                  <w:tcW w:w="1005" w:type="dxa"/>
                  <w:tcBorders>
                    <w:top w:val="nil"/>
                    <w:left w:val="nil"/>
                    <w:bottom w:val="single" w:sz="6" w:space="0" w:color="auto"/>
                    <w:right w:val="single" w:sz="6" w:space="0" w:color="auto"/>
                  </w:tcBorders>
                  <w:vAlign w:val="center"/>
                  <w:hideMark/>
                </w:tcPr>
                <w:p w14:paraId="2C7748F1"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$ 1.118</w:t>
                  </w:r>
                  <w:r w:rsidRPr="009D74A3">
                    <w:rPr>
                      <w:rStyle w:val="eop"/>
                      <w:color w:val="000000"/>
                      <w:sz w:val="16"/>
                      <w:szCs w:val="16"/>
                    </w:rPr>
                    <w:t> </w:t>
                  </w:r>
                </w:p>
              </w:tc>
              <w:tc>
                <w:tcPr>
                  <w:tcW w:w="1380" w:type="dxa"/>
                  <w:tcBorders>
                    <w:top w:val="nil"/>
                    <w:left w:val="nil"/>
                    <w:bottom w:val="single" w:sz="6" w:space="0" w:color="auto"/>
                    <w:right w:val="single" w:sz="6" w:space="0" w:color="auto"/>
                  </w:tcBorders>
                  <w:vAlign w:val="center"/>
                  <w:hideMark/>
                </w:tcPr>
                <w:p w14:paraId="773617BE"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$ 7,5</w:t>
                  </w:r>
                  <w:r w:rsidRPr="009D74A3">
                    <w:rPr>
                      <w:rStyle w:val="eop"/>
                      <w:color w:val="000000"/>
                      <w:sz w:val="16"/>
                      <w:szCs w:val="16"/>
                    </w:rPr>
                    <w:t> </w:t>
                  </w:r>
                </w:p>
              </w:tc>
              <w:tc>
                <w:tcPr>
                  <w:tcW w:w="1185" w:type="dxa"/>
                  <w:tcBorders>
                    <w:top w:val="nil"/>
                    <w:left w:val="nil"/>
                    <w:bottom w:val="single" w:sz="6" w:space="0" w:color="auto"/>
                    <w:right w:val="single" w:sz="6" w:space="0" w:color="auto"/>
                  </w:tcBorders>
                  <w:vAlign w:val="center"/>
                  <w:hideMark/>
                </w:tcPr>
                <w:p w14:paraId="7139DE30"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$ 8,9</w:t>
                  </w:r>
                  <w:r w:rsidRPr="009D74A3">
                    <w:rPr>
                      <w:rStyle w:val="eop"/>
                      <w:color w:val="000000"/>
                      <w:sz w:val="16"/>
                      <w:szCs w:val="16"/>
                    </w:rPr>
                    <w:t> </w:t>
                  </w:r>
                </w:p>
              </w:tc>
              <w:tc>
                <w:tcPr>
                  <w:tcW w:w="1215" w:type="dxa"/>
                  <w:tcBorders>
                    <w:top w:val="nil"/>
                    <w:left w:val="nil"/>
                    <w:bottom w:val="single" w:sz="6" w:space="0" w:color="auto"/>
                    <w:right w:val="single" w:sz="6" w:space="0" w:color="auto"/>
                  </w:tcBorders>
                  <w:vAlign w:val="center"/>
                  <w:hideMark/>
                </w:tcPr>
                <w:p w14:paraId="540DD58A"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$ 9,3</w:t>
                  </w:r>
                  <w:r w:rsidRPr="009D74A3">
                    <w:rPr>
                      <w:rStyle w:val="eop"/>
                      <w:color w:val="000000"/>
                      <w:sz w:val="16"/>
                      <w:szCs w:val="16"/>
                    </w:rPr>
                    <w:t> </w:t>
                  </w:r>
                </w:p>
              </w:tc>
              <w:tc>
                <w:tcPr>
                  <w:tcW w:w="915" w:type="dxa"/>
                  <w:tcBorders>
                    <w:top w:val="nil"/>
                    <w:left w:val="nil"/>
                    <w:bottom w:val="single" w:sz="6" w:space="0" w:color="auto"/>
                    <w:right w:val="single" w:sz="6" w:space="0" w:color="auto"/>
                  </w:tcBorders>
                  <w:vAlign w:val="center"/>
                  <w:hideMark/>
                </w:tcPr>
                <w:p w14:paraId="31C603F2"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1,18</w:t>
                  </w:r>
                  <w:r w:rsidRPr="009D74A3">
                    <w:rPr>
                      <w:rStyle w:val="eop"/>
                      <w:color w:val="000000"/>
                      <w:sz w:val="16"/>
                      <w:szCs w:val="16"/>
                    </w:rPr>
                    <w:t> </w:t>
                  </w:r>
                </w:p>
              </w:tc>
              <w:tc>
                <w:tcPr>
                  <w:tcW w:w="1195" w:type="dxa"/>
                  <w:tcBorders>
                    <w:top w:val="nil"/>
                    <w:left w:val="nil"/>
                    <w:bottom w:val="single" w:sz="6" w:space="0" w:color="auto"/>
                    <w:right w:val="single" w:sz="6" w:space="0" w:color="auto"/>
                  </w:tcBorders>
                  <w:vAlign w:val="center"/>
                  <w:hideMark/>
                </w:tcPr>
                <w:p w14:paraId="14923B93"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1,24</w:t>
                  </w:r>
                  <w:r w:rsidRPr="009D74A3">
                    <w:rPr>
                      <w:rStyle w:val="eop"/>
                      <w:color w:val="000000"/>
                      <w:sz w:val="16"/>
                      <w:szCs w:val="16"/>
                    </w:rPr>
                    <w:t> </w:t>
                  </w:r>
                </w:p>
              </w:tc>
            </w:tr>
            <w:tr w:rsidR="009D74A3" w:rsidRPr="009D74A3" w14:paraId="16043E0D" w14:textId="77777777" w:rsidTr="00740130">
              <w:trPr>
                <w:trHeight w:val="285"/>
                <w:jc w:val="center"/>
              </w:trPr>
              <w:tc>
                <w:tcPr>
                  <w:tcW w:w="975" w:type="dxa"/>
                  <w:tcBorders>
                    <w:top w:val="nil"/>
                    <w:left w:val="single" w:sz="6" w:space="0" w:color="auto"/>
                    <w:bottom w:val="single" w:sz="6" w:space="0" w:color="auto"/>
                    <w:right w:val="single" w:sz="6" w:space="0" w:color="auto"/>
                  </w:tcBorders>
                  <w:vAlign w:val="center"/>
                  <w:hideMark/>
                </w:tcPr>
                <w:p w14:paraId="41991976"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$ 1.118</w:t>
                  </w:r>
                  <w:r w:rsidRPr="009D74A3">
                    <w:rPr>
                      <w:rStyle w:val="eop"/>
                      <w:color w:val="000000"/>
                      <w:sz w:val="16"/>
                      <w:szCs w:val="16"/>
                    </w:rPr>
                    <w:t> </w:t>
                  </w:r>
                </w:p>
              </w:tc>
              <w:tc>
                <w:tcPr>
                  <w:tcW w:w="1005" w:type="dxa"/>
                  <w:tcBorders>
                    <w:top w:val="nil"/>
                    <w:left w:val="nil"/>
                    <w:bottom w:val="single" w:sz="6" w:space="0" w:color="auto"/>
                    <w:right w:val="single" w:sz="6" w:space="0" w:color="auto"/>
                  </w:tcBorders>
                  <w:vAlign w:val="center"/>
                  <w:hideMark/>
                </w:tcPr>
                <w:p w14:paraId="29728DD3"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$ 1.317</w:t>
                  </w:r>
                  <w:r w:rsidRPr="009D74A3">
                    <w:rPr>
                      <w:rStyle w:val="eop"/>
                      <w:color w:val="000000"/>
                      <w:sz w:val="16"/>
                      <w:szCs w:val="16"/>
                    </w:rPr>
                    <w:t> </w:t>
                  </w:r>
                </w:p>
              </w:tc>
              <w:tc>
                <w:tcPr>
                  <w:tcW w:w="1380" w:type="dxa"/>
                  <w:tcBorders>
                    <w:top w:val="nil"/>
                    <w:left w:val="nil"/>
                    <w:bottom w:val="single" w:sz="6" w:space="0" w:color="auto"/>
                    <w:right w:val="single" w:sz="6" w:space="0" w:color="auto"/>
                  </w:tcBorders>
                  <w:vAlign w:val="center"/>
                  <w:hideMark/>
                </w:tcPr>
                <w:p w14:paraId="2AB795D8"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$ 10,2</w:t>
                  </w:r>
                  <w:r w:rsidRPr="009D74A3">
                    <w:rPr>
                      <w:rStyle w:val="eop"/>
                      <w:color w:val="000000"/>
                      <w:sz w:val="16"/>
                      <w:szCs w:val="16"/>
                    </w:rPr>
                    <w:t> </w:t>
                  </w:r>
                </w:p>
              </w:tc>
              <w:tc>
                <w:tcPr>
                  <w:tcW w:w="1185" w:type="dxa"/>
                  <w:tcBorders>
                    <w:top w:val="nil"/>
                    <w:left w:val="nil"/>
                    <w:bottom w:val="single" w:sz="6" w:space="0" w:color="auto"/>
                    <w:right w:val="single" w:sz="6" w:space="0" w:color="auto"/>
                  </w:tcBorders>
                  <w:vAlign w:val="center"/>
                  <w:hideMark/>
                </w:tcPr>
                <w:p w14:paraId="5FFC502A"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$ 11,1</w:t>
                  </w:r>
                  <w:r w:rsidRPr="009D74A3">
                    <w:rPr>
                      <w:rStyle w:val="eop"/>
                      <w:color w:val="000000"/>
                      <w:sz w:val="16"/>
                      <w:szCs w:val="16"/>
                    </w:rPr>
                    <w:t> </w:t>
                  </w:r>
                </w:p>
              </w:tc>
              <w:tc>
                <w:tcPr>
                  <w:tcW w:w="1215" w:type="dxa"/>
                  <w:tcBorders>
                    <w:top w:val="nil"/>
                    <w:left w:val="nil"/>
                    <w:bottom w:val="single" w:sz="6" w:space="0" w:color="auto"/>
                    <w:right w:val="single" w:sz="6" w:space="0" w:color="auto"/>
                  </w:tcBorders>
                  <w:vAlign w:val="center"/>
                  <w:hideMark/>
                </w:tcPr>
                <w:p w14:paraId="6D9C4D25"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$ 11,5</w:t>
                  </w:r>
                  <w:r w:rsidRPr="009D74A3">
                    <w:rPr>
                      <w:rStyle w:val="eop"/>
                      <w:color w:val="000000"/>
                      <w:sz w:val="16"/>
                      <w:szCs w:val="16"/>
                    </w:rPr>
                    <w:t> </w:t>
                  </w:r>
                </w:p>
              </w:tc>
              <w:tc>
                <w:tcPr>
                  <w:tcW w:w="915" w:type="dxa"/>
                  <w:tcBorders>
                    <w:top w:val="nil"/>
                    <w:left w:val="nil"/>
                    <w:bottom w:val="single" w:sz="6" w:space="0" w:color="auto"/>
                    <w:right w:val="single" w:sz="6" w:space="0" w:color="auto"/>
                  </w:tcBorders>
                  <w:vAlign w:val="center"/>
                  <w:hideMark/>
                </w:tcPr>
                <w:p w14:paraId="2048883E"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1,08</w:t>
                  </w:r>
                  <w:r w:rsidRPr="009D74A3">
                    <w:rPr>
                      <w:rStyle w:val="eop"/>
                      <w:color w:val="000000"/>
                      <w:sz w:val="16"/>
                      <w:szCs w:val="16"/>
                    </w:rPr>
                    <w:t> </w:t>
                  </w:r>
                </w:p>
              </w:tc>
              <w:tc>
                <w:tcPr>
                  <w:tcW w:w="1195" w:type="dxa"/>
                  <w:tcBorders>
                    <w:top w:val="nil"/>
                    <w:left w:val="nil"/>
                    <w:bottom w:val="single" w:sz="6" w:space="0" w:color="auto"/>
                    <w:right w:val="single" w:sz="6" w:space="0" w:color="auto"/>
                  </w:tcBorders>
                  <w:vAlign w:val="center"/>
                  <w:hideMark/>
                </w:tcPr>
                <w:p w14:paraId="199F797C"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1,13</w:t>
                  </w:r>
                  <w:r w:rsidRPr="009D74A3">
                    <w:rPr>
                      <w:rStyle w:val="eop"/>
                      <w:color w:val="000000"/>
                      <w:sz w:val="16"/>
                      <w:szCs w:val="16"/>
                    </w:rPr>
                    <w:t> </w:t>
                  </w:r>
                </w:p>
              </w:tc>
            </w:tr>
            <w:tr w:rsidR="009D74A3" w:rsidRPr="009D74A3" w14:paraId="24780A78" w14:textId="77777777" w:rsidTr="00740130">
              <w:trPr>
                <w:trHeight w:val="285"/>
                <w:jc w:val="center"/>
              </w:trPr>
              <w:tc>
                <w:tcPr>
                  <w:tcW w:w="975" w:type="dxa"/>
                  <w:tcBorders>
                    <w:top w:val="nil"/>
                    <w:left w:val="single" w:sz="6" w:space="0" w:color="auto"/>
                    <w:bottom w:val="single" w:sz="6" w:space="0" w:color="auto"/>
                    <w:right w:val="single" w:sz="6" w:space="0" w:color="auto"/>
                  </w:tcBorders>
                  <w:vAlign w:val="center"/>
                  <w:hideMark/>
                </w:tcPr>
                <w:p w14:paraId="3BCD2E72"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$ 1.317</w:t>
                  </w:r>
                  <w:r w:rsidRPr="009D74A3">
                    <w:rPr>
                      <w:rStyle w:val="eop"/>
                      <w:color w:val="000000"/>
                      <w:sz w:val="16"/>
                      <w:szCs w:val="16"/>
                    </w:rPr>
                    <w:t> </w:t>
                  </w:r>
                </w:p>
              </w:tc>
              <w:tc>
                <w:tcPr>
                  <w:tcW w:w="1005" w:type="dxa"/>
                  <w:tcBorders>
                    <w:top w:val="nil"/>
                    <w:left w:val="nil"/>
                    <w:bottom w:val="single" w:sz="6" w:space="0" w:color="auto"/>
                    <w:right w:val="single" w:sz="6" w:space="0" w:color="auto"/>
                  </w:tcBorders>
                  <w:vAlign w:val="center"/>
                  <w:hideMark/>
                </w:tcPr>
                <w:p w14:paraId="497BAE52"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$ 1.554</w:t>
                  </w:r>
                  <w:r w:rsidRPr="009D74A3">
                    <w:rPr>
                      <w:rStyle w:val="eop"/>
                      <w:color w:val="000000"/>
                      <w:sz w:val="16"/>
                      <w:szCs w:val="16"/>
                    </w:rPr>
                    <w:t> </w:t>
                  </w:r>
                </w:p>
              </w:tc>
              <w:tc>
                <w:tcPr>
                  <w:tcW w:w="1380" w:type="dxa"/>
                  <w:tcBorders>
                    <w:top w:val="nil"/>
                    <w:left w:val="nil"/>
                    <w:bottom w:val="single" w:sz="6" w:space="0" w:color="auto"/>
                    <w:right w:val="single" w:sz="6" w:space="0" w:color="auto"/>
                  </w:tcBorders>
                  <w:vAlign w:val="center"/>
                  <w:hideMark/>
                </w:tcPr>
                <w:p w14:paraId="28DB50A3"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$ 12,7</w:t>
                  </w:r>
                  <w:r w:rsidRPr="009D74A3">
                    <w:rPr>
                      <w:rStyle w:val="eop"/>
                      <w:color w:val="000000"/>
                      <w:sz w:val="16"/>
                      <w:szCs w:val="16"/>
                    </w:rPr>
                    <w:t> </w:t>
                  </w:r>
                </w:p>
              </w:tc>
              <w:tc>
                <w:tcPr>
                  <w:tcW w:w="1185" w:type="dxa"/>
                  <w:tcBorders>
                    <w:top w:val="nil"/>
                    <w:left w:val="nil"/>
                    <w:bottom w:val="single" w:sz="6" w:space="0" w:color="auto"/>
                    <w:right w:val="single" w:sz="6" w:space="0" w:color="auto"/>
                  </w:tcBorders>
                  <w:vAlign w:val="center"/>
                  <w:hideMark/>
                </w:tcPr>
                <w:p w14:paraId="00B156AF"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$ 13,0</w:t>
                  </w:r>
                  <w:r w:rsidRPr="009D74A3">
                    <w:rPr>
                      <w:rStyle w:val="eop"/>
                      <w:color w:val="000000"/>
                      <w:sz w:val="16"/>
                      <w:szCs w:val="16"/>
                    </w:rPr>
                    <w:t> </w:t>
                  </w:r>
                </w:p>
              </w:tc>
              <w:tc>
                <w:tcPr>
                  <w:tcW w:w="1215" w:type="dxa"/>
                  <w:tcBorders>
                    <w:top w:val="nil"/>
                    <w:left w:val="nil"/>
                    <w:bottom w:val="single" w:sz="6" w:space="0" w:color="auto"/>
                    <w:right w:val="single" w:sz="6" w:space="0" w:color="auto"/>
                  </w:tcBorders>
                  <w:vAlign w:val="center"/>
                  <w:hideMark/>
                </w:tcPr>
                <w:p w14:paraId="2E572668"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$ 13,5</w:t>
                  </w:r>
                  <w:r w:rsidRPr="009D74A3">
                    <w:rPr>
                      <w:rStyle w:val="eop"/>
                      <w:color w:val="000000"/>
                      <w:sz w:val="16"/>
                      <w:szCs w:val="16"/>
                    </w:rPr>
                    <w:t> </w:t>
                  </w:r>
                </w:p>
              </w:tc>
              <w:tc>
                <w:tcPr>
                  <w:tcW w:w="915" w:type="dxa"/>
                  <w:tcBorders>
                    <w:top w:val="nil"/>
                    <w:left w:val="nil"/>
                    <w:bottom w:val="single" w:sz="6" w:space="0" w:color="auto"/>
                    <w:right w:val="single" w:sz="6" w:space="0" w:color="auto"/>
                  </w:tcBorders>
                  <w:vAlign w:val="center"/>
                  <w:hideMark/>
                </w:tcPr>
                <w:p w14:paraId="60692B6A"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1,02</w:t>
                  </w:r>
                  <w:r w:rsidRPr="009D74A3">
                    <w:rPr>
                      <w:rStyle w:val="eop"/>
                      <w:color w:val="000000"/>
                      <w:sz w:val="16"/>
                      <w:szCs w:val="16"/>
                    </w:rPr>
                    <w:t> </w:t>
                  </w:r>
                </w:p>
              </w:tc>
              <w:tc>
                <w:tcPr>
                  <w:tcW w:w="1195" w:type="dxa"/>
                  <w:tcBorders>
                    <w:top w:val="nil"/>
                    <w:left w:val="nil"/>
                    <w:bottom w:val="single" w:sz="6" w:space="0" w:color="auto"/>
                    <w:right w:val="single" w:sz="6" w:space="0" w:color="auto"/>
                  </w:tcBorders>
                  <w:vAlign w:val="center"/>
                  <w:hideMark/>
                </w:tcPr>
                <w:p w14:paraId="3DB3595D"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1,06</w:t>
                  </w:r>
                  <w:r w:rsidRPr="009D74A3">
                    <w:rPr>
                      <w:rStyle w:val="eop"/>
                      <w:color w:val="000000"/>
                      <w:sz w:val="16"/>
                      <w:szCs w:val="16"/>
                    </w:rPr>
                    <w:t> </w:t>
                  </w:r>
                </w:p>
              </w:tc>
            </w:tr>
            <w:tr w:rsidR="009D74A3" w:rsidRPr="009D74A3" w14:paraId="236F8F6F" w14:textId="77777777" w:rsidTr="00740130">
              <w:trPr>
                <w:trHeight w:val="285"/>
                <w:jc w:val="center"/>
              </w:trPr>
              <w:tc>
                <w:tcPr>
                  <w:tcW w:w="975" w:type="dxa"/>
                  <w:tcBorders>
                    <w:top w:val="nil"/>
                    <w:left w:val="single" w:sz="6" w:space="0" w:color="auto"/>
                    <w:bottom w:val="single" w:sz="6" w:space="0" w:color="auto"/>
                    <w:right w:val="single" w:sz="6" w:space="0" w:color="auto"/>
                  </w:tcBorders>
                  <w:vAlign w:val="center"/>
                  <w:hideMark/>
                </w:tcPr>
                <w:p w14:paraId="2C367496"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$ 1.554</w:t>
                  </w:r>
                  <w:r w:rsidRPr="009D74A3">
                    <w:rPr>
                      <w:rStyle w:val="eop"/>
                      <w:color w:val="000000"/>
                      <w:sz w:val="16"/>
                      <w:szCs w:val="16"/>
                    </w:rPr>
                    <w:t> </w:t>
                  </w:r>
                </w:p>
              </w:tc>
              <w:tc>
                <w:tcPr>
                  <w:tcW w:w="1005" w:type="dxa"/>
                  <w:tcBorders>
                    <w:top w:val="nil"/>
                    <w:left w:val="nil"/>
                    <w:bottom w:val="single" w:sz="6" w:space="0" w:color="auto"/>
                    <w:right w:val="single" w:sz="6" w:space="0" w:color="auto"/>
                  </w:tcBorders>
                  <w:vAlign w:val="center"/>
                  <w:hideMark/>
                </w:tcPr>
                <w:p w14:paraId="402373E9"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$ 1.792</w:t>
                  </w:r>
                  <w:r w:rsidRPr="009D74A3">
                    <w:rPr>
                      <w:rStyle w:val="eop"/>
                      <w:color w:val="000000"/>
                      <w:sz w:val="16"/>
                      <w:szCs w:val="16"/>
                    </w:rPr>
                    <w:t> </w:t>
                  </w:r>
                </w:p>
              </w:tc>
              <w:tc>
                <w:tcPr>
                  <w:tcW w:w="1380" w:type="dxa"/>
                  <w:tcBorders>
                    <w:top w:val="nil"/>
                    <w:left w:val="nil"/>
                    <w:bottom w:val="single" w:sz="6" w:space="0" w:color="auto"/>
                    <w:right w:val="single" w:sz="6" w:space="0" w:color="auto"/>
                  </w:tcBorders>
                  <w:vAlign w:val="center"/>
                  <w:hideMark/>
                </w:tcPr>
                <w:p w14:paraId="2B228E2F"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$ 15,7</w:t>
                  </w:r>
                  <w:r w:rsidRPr="009D74A3">
                    <w:rPr>
                      <w:rStyle w:val="eop"/>
                      <w:color w:val="000000"/>
                      <w:sz w:val="16"/>
                      <w:szCs w:val="16"/>
                    </w:rPr>
                    <w:t> </w:t>
                  </w:r>
                </w:p>
              </w:tc>
              <w:tc>
                <w:tcPr>
                  <w:tcW w:w="1185" w:type="dxa"/>
                  <w:tcBorders>
                    <w:top w:val="nil"/>
                    <w:left w:val="nil"/>
                    <w:bottom w:val="single" w:sz="6" w:space="0" w:color="auto"/>
                    <w:right w:val="single" w:sz="6" w:space="0" w:color="auto"/>
                  </w:tcBorders>
                  <w:vAlign w:val="center"/>
                  <w:hideMark/>
                </w:tcPr>
                <w:p w14:paraId="67B56110"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$ 15,2</w:t>
                  </w:r>
                  <w:r w:rsidRPr="009D74A3">
                    <w:rPr>
                      <w:rStyle w:val="eop"/>
                      <w:color w:val="000000"/>
                      <w:sz w:val="16"/>
                      <w:szCs w:val="16"/>
                    </w:rPr>
                    <w:t> </w:t>
                  </w:r>
                </w:p>
              </w:tc>
              <w:tc>
                <w:tcPr>
                  <w:tcW w:w="1215" w:type="dxa"/>
                  <w:tcBorders>
                    <w:top w:val="nil"/>
                    <w:left w:val="nil"/>
                    <w:bottom w:val="single" w:sz="6" w:space="0" w:color="auto"/>
                    <w:right w:val="single" w:sz="6" w:space="0" w:color="auto"/>
                  </w:tcBorders>
                  <w:vAlign w:val="center"/>
                  <w:hideMark/>
                </w:tcPr>
                <w:p w14:paraId="3459814C"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$ 16,0</w:t>
                  </w:r>
                  <w:r w:rsidRPr="009D74A3">
                    <w:rPr>
                      <w:rStyle w:val="eop"/>
                      <w:color w:val="000000"/>
                      <w:sz w:val="16"/>
                      <w:szCs w:val="16"/>
                    </w:rPr>
                    <w:t> </w:t>
                  </w:r>
                </w:p>
              </w:tc>
              <w:tc>
                <w:tcPr>
                  <w:tcW w:w="915" w:type="dxa"/>
                  <w:tcBorders>
                    <w:top w:val="nil"/>
                    <w:left w:val="nil"/>
                    <w:bottom w:val="single" w:sz="6" w:space="0" w:color="auto"/>
                    <w:right w:val="single" w:sz="6" w:space="0" w:color="auto"/>
                  </w:tcBorders>
                  <w:shd w:val="clear" w:color="auto" w:fill="FFC000"/>
                  <w:vAlign w:val="center"/>
                  <w:hideMark/>
                </w:tcPr>
                <w:p w14:paraId="68C21C52"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0,97</w:t>
                  </w:r>
                  <w:r w:rsidRPr="009D74A3">
                    <w:rPr>
                      <w:rStyle w:val="eop"/>
                      <w:color w:val="000000"/>
                      <w:sz w:val="16"/>
                      <w:szCs w:val="16"/>
                    </w:rPr>
                    <w:t> </w:t>
                  </w:r>
                </w:p>
              </w:tc>
              <w:tc>
                <w:tcPr>
                  <w:tcW w:w="1195" w:type="dxa"/>
                  <w:tcBorders>
                    <w:top w:val="nil"/>
                    <w:left w:val="nil"/>
                    <w:bottom w:val="single" w:sz="6" w:space="0" w:color="auto"/>
                    <w:right w:val="single" w:sz="6" w:space="0" w:color="auto"/>
                  </w:tcBorders>
                  <w:vAlign w:val="center"/>
                  <w:hideMark/>
                </w:tcPr>
                <w:p w14:paraId="79C55C36"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1,02</w:t>
                  </w:r>
                  <w:r w:rsidRPr="009D74A3">
                    <w:rPr>
                      <w:rStyle w:val="eop"/>
                      <w:color w:val="000000"/>
                      <w:sz w:val="16"/>
                      <w:szCs w:val="16"/>
                    </w:rPr>
                    <w:t> </w:t>
                  </w:r>
                </w:p>
              </w:tc>
            </w:tr>
            <w:tr w:rsidR="009D74A3" w:rsidRPr="009D74A3" w14:paraId="0DCBE1D4" w14:textId="77777777" w:rsidTr="00740130">
              <w:trPr>
                <w:trHeight w:val="285"/>
                <w:jc w:val="center"/>
              </w:trPr>
              <w:tc>
                <w:tcPr>
                  <w:tcW w:w="975" w:type="dxa"/>
                  <w:tcBorders>
                    <w:top w:val="nil"/>
                    <w:left w:val="single" w:sz="6" w:space="0" w:color="auto"/>
                    <w:bottom w:val="single" w:sz="6" w:space="0" w:color="auto"/>
                    <w:right w:val="single" w:sz="6" w:space="0" w:color="auto"/>
                  </w:tcBorders>
                  <w:vAlign w:val="center"/>
                  <w:hideMark/>
                </w:tcPr>
                <w:p w14:paraId="09DE6D12"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$ 1.792</w:t>
                  </w:r>
                  <w:r w:rsidRPr="009D74A3">
                    <w:rPr>
                      <w:rStyle w:val="eop"/>
                      <w:color w:val="000000"/>
                      <w:sz w:val="16"/>
                      <w:szCs w:val="16"/>
                    </w:rPr>
                    <w:t> </w:t>
                  </w:r>
                </w:p>
              </w:tc>
              <w:tc>
                <w:tcPr>
                  <w:tcW w:w="1005" w:type="dxa"/>
                  <w:tcBorders>
                    <w:top w:val="nil"/>
                    <w:left w:val="nil"/>
                    <w:bottom w:val="single" w:sz="6" w:space="0" w:color="auto"/>
                    <w:right w:val="single" w:sz="6" w:space="0" w:color="auto"/>
                  </w:tcBorders>
                  <w:vAlign w:val="center"/>
                  <w:hideMark/>
                </w:tcPr>
                <w:p w14:paraId="350AF38D"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$ 2.029</w:t>
                  </w:r>
                  <w:r w:rsidRPr="009D74A3">
                    <w:rPr>
                      <w:rStyle w:val="eop"/>
                      <w:color w:val="000000"/>
                      <w:sz w:val="16"/>
                      <w:szCs w:val="16"/>
                    </w:rPr>
                    <w:t> </w:t>
                  </w:r>
                </w:p>
              </w:tc>
              <w:tc>
                <w:tcPr>
                  <w:tcW w:w="1380" w:type="dxa"/>
                  <w:tcBorders>
                    <w:top w:val="nil"/>
                    <w:left w:val="nil"/>
                    <w:bottom w:val="single" w:sz="6" w:space="0" w:color="auto"/>
                    <w:right w:val="single" w:sz="6" w:space="0" w:color="auto"/>
                  </w:tcBorders>
                  <w:vAlign w:val="center"/>
                  <w:hideMark/>
                </w:tcPr>
                <w:p w14:paraId="002E41EB"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$ 19,5</w:t>
                  </w:r>
                  <w:r w:rsidRPr="009D74A3">
                    <w:rPr>
                      <w:rStyle w:val="eop"/>
                      <w:color w:val="000000"/>
                      <w:sz w:val="16"/>
                      <w:szCs w:val="16"/>
                    </w:rPr>
                    <w:t> </w:t>
                  </w:r>
                </w:p>
              </w:tc>
              <w:tc>
                <w:tcPr>
                  <w:tcW w:w="1185" w:type="dxa"/>
                  <w:tcBorders>
                    <w:top w:val="nil"/>
                    <w:left w:val="nil"/>
                    <w:bottom w:val="single" w:sz="6" w:space="0" w:color="auto"/>
                    <w:right w:val="single" w:sz="6" w:space="0" w:color="auto"/>
                  </w:tcBorders>
                  <w:vAlign w:val="center"/>
                  <w:hideMark/>
                </w:tcPr>
                <w:p w14:paraId="09A371BF"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$ 17,4</w:t>
                  </w:r>
                  <w:r w:rsidRPr="009D74A3">
                    <w:rPr>
                      <w:rStyle w:val="eop"/>
                      <w:color w:val="000000"/>
                      <w:sz w:val="16"/>
                      <w:szCs w:val="16"/>
                    </w:rPr>
                    <w:t> </w:t>
                  </w:r>
                </w:p>
              </w:tc>
              <w:tc>
                <w:tcPr>
                  <w:tcW w:w="1215" w:type="dxa"/>
                  <w:tcBorders>
                    <w:top w:val="nil"/>
                    <w:left w:val="nil"/>
                    <w:bottom w:val="single" w:sz="6" w:space="0" w:color="auto"/>
                    <w:right w:val="single" w:sz="6" w:space="0" w:color="auto"/>
                  </w:tcBorders>
                  <w:vAlign w:val="center"/>
                  <w:hideMark/>
                </w:tcPr>
                <w:p w14:paraId="5E4F67A8"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$ 18,2</w:t>
                  </w:r>
                  <w:r w:rsidRPr="009D74A3">
                    <w:rPr>
                      <w:rStyle w:val="eop"/>
                      <w:color w:val="000000"/>
                      <w:sz w:val="16"/>
                      <w:szCs w:val="16"/>
                    </w:rPr>
                    <w:t> </w:t>
                  </w:r>
                </w:p>
              </w:tc>
              <w:tc>
                <w:tcPr>
                  <w:tcW w:w="915" w:type="dxa"/>
                  <w:tcBorders>
                    <w:top w:val="nil"/>
                    <w:left w:val="nil"/>
                    <w:bottom w:val="single" w:sz="6" w:space="0" w:color="auto"/>
                    <w:right w:val="single" w:sz="6" w:space="0" w:color="auto"/>
                  </w:tcBorders>
                  <w:shd w:val="clear" w:color="auto" w:fill="FFC000"/>
                  <w:vAlign w:val="center"/>
                  <w:hideMark/>
                </w:tcPr>
                <w:p w14:paraId="274873E3"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0,89</w:t>
                  </w:r>
                  <w:r w:rsidRPr="009D74A3">
                    <w:rPr>
                      <w:rStyle w:val="eop"/>
                      <w:color w:val="000000"/>
                      <w:sz w:val="16"/>
                      <w:szCs w:val="16"/>
                    </w:rPr>
                    <w:t> </w:t>
                  </w:r>
                </w:p>
              </w:tc>
              <w:tc>
                <w:tcPr>
                  <w:tcW w:w="1195" w:type="dxa"/>
                  <w:tcBorders>
                    <w:top w:val="nil"/>
                    <w:left w:val="nil"/>
                    <w:bottom w:val="single" w:sz="6" w:space="0" w:color="auto"/>
                    <w:right w:val="single" w:sz="6" w:space="0" w:color="auto"/>
                  </w:tcBorders>
                  <w:shd w:val="clear" w:color="auto" w:fill="FFC000"/>
                  <w:vAlign w:val="center"/>
                  <w:hideMark/>
                </w:tcPr>
                <w:p w14:paraId="21928A2F"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0,93</w:t>
                  </w:r>
                  <w:r w:rsidRPr="009D74A3">
                    <w:rPr>
                      <w:rStyle w:val="eop"/>
                      <w:color w:val="000000"/>
                      <w:sz w:val="16"/>
                      <w:szCs w:val="16"/>
                    </w:rPr>
                    <w:t> </w:t>
                  </w:r>
                </w:p>
              </w:tc>
            </w:tr>
            <w:tr w:rsidR="009D74A3" w:rsidRPr="009D74A3" w14:paraId="5130A18E" w14:textId="77777777" w:rsidTr="00740130">
              <w:trPr>
                <w:trHeight w:val="285"/>
                <w:jc w:val="center"/>
              </w:trPr>
              <w:tc>
                <w:tcPr>
                  <w:tcW w:w="975" w:type="dxa"/>
                  <w:tcBorders>
                    <w:top w:val="nil"/>
                    <w:left w:val="single" w:sz="6" w:space="0" w:color="auto"/>
                    <w:bottom w:val="single" w:sz="6" w:space="0" w:color="auto"/>
                    <w:right w:val="single" w:sz="6" w:space="0" w:color="auto"/>
                  </w:tcBorders>
                  <w:vAlign w:val="center"/>
                  <w:hideMark/>
                </w:tcPr>
                <w:p w14:paraId="61A330B2"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$ 2.029</w:t>
                  </w:r>
                  <w:r w:rsidRPr="009D74A3">
                    <w:rPr>
                      <w:rStyle w:val="eop"/>
                      <w:color w:val="000000"/>
                      <w:sz w:val="16"/>
                      <w:szCs w:val="16"/>
                    </w:rPr>
                    <w:t> </w:t>
                  </w:r>
                </w:p>
              </w:tc>
              <w:tc>
                <w:tcPr>
                  <w:tcW w:w="1005" w:type="dxa"/>
                  <w:tcBorders>
                    <w:top w:val="nil"/>
                    <w:left w:val="nil"/>
                    <w:bottom w:val="single" w:sz="6" w:space="0" w:color="auto"/>
                    <w:right w:val="single" w:sz="6" w:space="0" w:color="auto"/>
                  </w:tcBorders>
                  <w:vAlign w:val="center"/>
                  <w:hideMark/>
                </w:tcPr>
                <w:p w14:paraId="4C8FFCB9"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$ 2.276</w:t>
                  </w:r>
                  <w:r w:rsidRPr="009D74A3">
                    <w:rPr>
                      <w:rStyle w:val="eop"/>
                      <w:color w:val="000000"/>
                      <w:sz w:val="16"/>
                      <w:szCs w:val="16"/>
                    </w:rPr>
                    <w:t> </w:t>
                  </w:r>
                </w:p>
              </w:tc>
              <w:tc>
                <w:tcPr>
                  <w:tcW w:w="1380" w:type="dxa"/>
                  <w:tcBorders>
                    <w:top w:val="nil"/>
                    <w:left w:val="nil"/>
                    <w:bottom w:val="single" w:sz="6" w:space="0" w:color="auto"/>
                    <w:right w:val="single" w:sz="6" w:space="0" w:color="auto"/>
                  </w:tcBorders>
                  <w:vAlign w:val="center"/>
                  <w:hideMark/>
                </w:tcPr>
                <w:p w14:paraId="4ADF19CD"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$ 23,1</w:t>
                  </w:r>
                  <w:r w:rsidRPr="009D74A3">
                    <w:rPr>
                      <w:rStyle w:val="eop"/>
                      <w:color w:val="000000"/>
                      <w:sz w:val="16"/>
                      <w:szCs w:val="16"/>
                    </w:rPr>
                    <w:t> </w:t>
                  </w:r>
                </w:p>
              </w:tc>
              <w:tc>
                <w:tcPr>
                  <w:tcW w:w="1185" w:type="dxa"/>
                  <w:tcBorders>
                    <w:top w:val="nil"/>
                    <w:left w:val="nil"/>
                    <w:bottom w:val="single" w:sz="6" w:space="0" w:color="auto"/>
                    <w:right w:val="single" w:sz="6" w:space="0" w:color="auto"/>
                  </w:tcBorders>
                  <w:vAlign w:val="center"/>
                  <w:hideMark/>
                </w:tcPr>
                <w:p w14:paraId="6BEDAA15"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$ 19,6</w:t>
                  </w:r>
                  <w:r w:rsidRPr="009D74A3">
                    <w:rPr>
                      <w:rStyle w:val="eop"/>
                      <w:color w:val="000000"/>
                      <w:sz w:val="16"/>
                      <w:szCs w:val="16"/>
                    </w:rPr>
                    <w:t> </w:t>
                  </w:r>
                </w:p>
              </w:tc>
              <w:tc>
                <w:tcPr>
                  <w:tcW w:w="1215" w:type="dxa"/>
                  <w:tcBorders>
                    <w:top w:val="nil"/>
                    <w:left w:val="nil"/>
                    <w:bottom w:val="single" w:sz="6" w:space="0" w:color="auto"/>
                    <w:right w:val="single" w:sz="6" w:space="0" w:color="auto"/>
                  </w:tcBorders>
                  <w:vAlign w:val="center"/>
                  <w:hideMark/>
                </w:tcPr>
                <w:p w14:paraId="17A2D4F4"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$ 20,7</w:t>
                  </w:r>
                  <w:r w:rsidRPr="009D74A3">
                    <w:rPr>
                      <w:rStyle w:val="eop"/>
                      <w:color w:val="000000"/>
                      <w:sz w:val="16"/>
                      <w:szCs w:val="16"/>
                    </w:rPr>
                    <w:t> </w:t>
                  </w:r>
                </w:p>
              </w:tc>
              <w:tc>
                <w:tcPr>
                  <w:tcW w:w="915" w:type="dxa"/>
                  <w:tcBorders>
                    <w:top w:val="nil"/>
                    <w:left w:val="nil"/>
                    <w:bottom w:val="single" w:sz="6" w:space="0" w:color="auto"/>
                    <w:right w:val="single" w:sz="6" w:space="0" w:color="auto"/>
                  </w:tcBorders>
                  <w:shd w:val="clear" w:color="auto" w:fill="FFC000"/>
                  <w:vAlign w:val="center"/>
                  <w:hideMark/>
                </w:tcPr>
                <w:p w14:paraId="5CD048B7"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0,85</w:t>
                  </w:r>
                  <w:r w:rsidRPr="009D74A3">
                    <w:rPr>
                      <w:rStyle w:val="eop"/>
                      <w:color w:val="000000"/>
                      <w:sz w:val="16"/>
                      <w:szCs w:val="16"/>
                    </w:rPr>
                    <w:t> </w:t>
                  </w:r>
                </w:p>
              </w:tc>
              <w:tc>
                <w:tcPr>
                  <w:tcW w:w="1195" w:type="dxa"/>
                  <w:tcBorders>
                    <w:top w:val="nil"/>
                    <w:left w:val="nil"/>
                    <w:bottom w:val="single" w:sz="6" w:space="0" w:color="auto"/>
                    <w:right w:val="single" w:sz="6" w:space="0" w:color="auto"/>
                  </w:tcBorders>
                  <w:shd w:val="clear" w:color="auto" w:fill="FFC000"/>
                  <w:vAlign w:val="center"/>
                  <w:hideMark/>
                </w:tcPr>
                <w:p w14:paraId="3D827789"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0,90</w:t>
                  </w:r>
                  <w:r w:rsidRPr="009D74A3">
                    <w:rPr>
                      <w:rStyle w:val="eop"/>
                      <w:color w:val="000000"/>
                      <w:sz w:val="16"/>
                      <w:szCs w:val="16"/>
                    </w:rPr>
                    <w:t> </w:t>
                  </w:r>
                </w:p>
              </w:tc>
            </w:tr>
            <w:tr w:rsidR="009D74A3" w:rsidRPr="009D74A3" w14:paraId="1FF30111" w14:textId="77777777" w:rsidTr="00740130">
              <w:trPr>
                <w:trHeight w:val="285"/>
                <w:jc w:val="center"/>
              </w:trPr>
              <w:tc>
                <w:tcPr>
                  <w:tcW w:w="975" w:type="dxa"/>
                  <w:tcBorders>
                    <w:top w:val="nil"/>
                    <w:left w:val="single" w:sz="6" w:space="0" w:color="auto"/>
                    <w:bottom w:val="single" w:sz="6" w:space="0" w:color="auto"/>
                    <w:right w:val="single" w:sz="6" w:space="0" w:color="auto"/>
                  </w:tcBorders>
                  <w:vAlign w:val="center"/>
                  <w:hideMark/>
                </w:tcPr>
                <w:p w14:paraId="51B295CF"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&gt;2276</w:t>
                  </w:r>
                  <w:r w:rsidRPr="009D74A3">
                    <w:rPr>
                      <w:rStyle w:val="eop"/>
                      <w:color w:val="000000"/>
                      <w:sz w:val="16"/>
                      <w:szCs w:val="16"/>
                    </w:rPr>
                    <w:t> </w:t>
                  </w:r>
                </w:p>
              </w:tc>
              <w:tc>
                <w:tcPr>
                  <w:tcW w:w="1005" w:type="dxa"/>
                  <w:tcBorders>
                    <w:top w:val="nil"/>
                    <w:left w:val="nil"/>
                    <w:bottom w:val="single" w:sz="6" w:space="0" w:color="auto"/>
                    <w:right w:val="single" w:sz="6" w:space="0" w:color="auto"/>
                  </w:tcBorders>
                  <w:vAlign w:val="center"/>
                  <w:hideMark/>
                </w:tcPr>
                <w:p w14:paraId="4B29FC24"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eop"/>
                      <w:color w:val="000000"/>
                      <w:sz w:val="16"/>
                      <w:szCs w:val="16"/>
                    </w:rPr>
                    <w:t> </w:t>
                  </w:r>
                </w:p>
              </w:tc>
              <w:tc>
                <w:tcPr>
                  <w:tcW w:w="1380" w:type="dxa"/>
                  <w:tcBorders>
                    <w:top w:val="nil"/>
                    <w:left w:val="nil"/>
                    <w:bottom w:val="single" w:sz="6" w:space="0" w:color="auto"/>
                    <w:right w:val="single" w:sz="6" w:space="0" w:color="auto"/>
                  </w:tcBorders>
                  <w:vAlign w:val="center"/>
                  <w:hideMark/>
                </w:tcPr>
                <w:p w14:paraId="24BAD808"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$ 47,6</w:t>
                  </w:r>
                  <w:r w:rsidRPr="009D74A3">
                    <w:rPr>
                      <w:rStyle w:val="eop"/>
                      <w:color w:val="000000"/>
                      <w:sz w:val="16"/>
                      <w:szCs w:val="16"/>
                    </w:rPr>
                    <w:t> </w:t>
                  </w:r>
                </w:p>
              </w:tc>
              <w:tc>
                <w:tcPr>
                  <w:tcW w:w="1185" w:type="dxa"/>
                  <w:tcBorders>
                    <w:top w:val="nil"/>
                    <w:left w:val="nil"/>
                    <w:bottom w:val="single" w:sz="6" w:space="0" w:color="auto"/>
                    <w:right w:val="single" w:sz="6" w:space="0" w:color="auto"/>
                  </w:tcBorders>
                  <w:vAlign w:val="center"/>
                  <w:hideMark/>
                </w:tcPr>
                <w:p w14:paraId="2EFE746A"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$ 59,7</w:t>
                  </w:r>
                  <w:r w:rsidRPr="009D74A3">
                    <w:rPr>
                      <w:rStyle w:val="eop"/>
                      <w:color w:val="000000"/>
                      <w:sz w:val="16"/>
                      <w:szCs w:val="16"/>
                    </w:rPr>
                    <w:t> </w:t>
                  </w:r>
                </w:p>
              </w:tc>
              <w:tc>
                <w:tcPr>
                  <w:tcW w:w="1215" w:type="dxa"/>
                  <w:tcBorders>
                    <w:top w:val="nil"/>
                    <w:left w:val="nil"/>
                    <w:bottom w:val="single" w:sz="6" w:space="0" w:color="auto"/>
                    <w:right w:val="single" w:sz="6" w:space="0" w:color="auto"/>
                  </w:tcBorders>
                  <w:vAlign w:val="center"/>
                  <w:hideMark/>
                </w:tcPr>
                <w:p w14:paraId="72C4C140"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$ 92,7</w:t>
                  </w:r>
                  <w:r w:rsidRPr="009D74A3">
                    <w:rPr>
                      <w:rStyle w:val="eop"/>
                      <w:color w:val="000000"/>
                      <w:sz w:val="16"/>
                      <w:szCs w:val="16"/>
                    </w:rPr>
                    <w:t> </w:t>
                  </w:r>
                </w:p>
              </w:tc>
              <w:tc>
                <w:tcPr>
                  <w:tcW w:w="915" w:type="dxa"/>
                  <w:tcBorders>
                    <w:top w:val="nil"/>
                    <w:left w:val="nil"/>
                    <w:bottom w:val="single" w:sz="6" w:space="0" w:color="auto"/>
                    <w:right w:val="single" w:sz="6" w:space="0" w:color="auto"/>
                  </w:tcBorders>
                  <w:vAlign w:val="center"/>
                  <w:hideMark/>
                </w:tcPr>
                <w:p w14:paraId="01369DAE"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1,25</w:t>
                  </w:r>
                  <w:r w:rsidRPr="009D74A3">
                    <w:rPr>
                      <w:rStyle w:val="eop"/>
                      <w:color w:val="000000"/>
                      <w:sz w:val="16"/>
                      <w:szCs w:val="16"/>
                    </w:rPr>
                    <w:t> </w:t>
                  </w:r>
                </w:p>
              </w:tc>
              <w:tc>
                <w:tcPr>
                  <w:tcW w:w="1195" w:type="dxa"/>
                  <w:tcBorders>
                    <w:top w:val="nil"/>
                    <w:left w:val="nil"/>
                    <w:bottom w:val="single" w:sz="6" w:space="0" w:color="auto"/>
                    <w:right w:val="single" w:sz="6" w:space="0" w:color="auto"/>
                  </w:tcBorders>
                  <w:vAlign w:val="center"/>
                  <w:hideMark/>
                </w:tcPr>
                <w:p w14:paraId="274BBF34" w14:textId="77777777" w:rsidR="009D74A3" w:rsidRPr="009D74A3" w:rsidRDefault="009D74A3" w:rsidP="009D74A3">
                  <w:pPr>
                    <w:pStyle w:val="paragraph"/>
                    <w:spacing w:before="0" w:beforeAutospacing="0" w:after="0" w:afterAutospacing="0"/>
                    <w:jc w:val="center"/>
                    <w:textAlignment w:val="baseline"/>
                    <w:rPr>
                      <w:sz w:val="16"/>
                      <w:szCs w:val="16"/>
                    </w:rPr>
                  </w:pPr>
                  <w:r w:rsidRPr="009D74A3">
                    <w:rPr>
                      <w:rStyle w:val="normaltextrun"/>
                      <w:rFonts w:ascii="Times New Roman" w:hAnsi="Times New Roman" w:cs="Times New Roman"/>
                      <w:color w:val="000000"/>
                      <w:sz w:val="16"/>
                      <w:szCs w:val="16"/>
                    </w:rPr>
                    <w:t>1,95</w:t>
                  </w:r>
                  <w:r w:rsidRPr="009D74A3">
                    <w:rPr>
                      <w:rStyle w:val="eop"/>
                      <w:color w:val="000000"/>
                      <w:sz w:val="16"/>
                      <w:szCs w:val="16"/>
                    </w:rPr>
                    <w:t> </w:t>
                  </w:r>
                </w:p>
              </w:tc>
            </w:tr>
          </w:tbl>
          <w:p w14:paraId="487C999E" w14:textId="77777777" w:rsidR="009D74A3" w:rsidRPr="009D74A3" w:rsidRDefault="009D74A3" w:rsidP="009D74A3">
            <w:pPr>
              <w:pStyle w:val="paragraph"/>
              <w:spacing w:before="0" w:beforeAutospacing="0" w:after="0" w:afterAutospacing="0"/>
              <w:ind w:firstLine="1200"/>
              <w:textAlignment w:val="baseline"/>
              <w:rPr>
                <w:sz w:val="32"/>
                <w:szCs w:val="32"/>
              </w:rPr>
            </w:pPr>
            <w:r w:rsidRPr="009D74A3">
              <w:rPr>
                <w:rStyle w:val="normaltextrun"/>
                <w:rFonts w:ascii="Times New Roman" w:hAnsi="Times New Roman" w:cs="Times New Roman"/>
                <w:b/>
                <w:bCs/>
                <w:sz w:val="20"/>
                <w:szCs w:val="20"/>
              </w:rPr>
              <w:t>Fuente</w:t>
            </w:r>
            <w:r w:rsidRPr="009D74A3">
              <w:rPr>
                <w:rStyle w:val="normaltextrun"/>
                <w:rFonts w:ascii="Times New Roman" w:hAnsi="Times New Roman" w:cs="Times New Roman"/>
                <w:sz w:val="20"/>
                <w:szCs w:val="20"/>
              </w:rPr>
              <w:t>: Cálculos propios Secretaría Distrital de Hacienda.</w:t>
            </w:r>
            <w:r w:rsidRPr="009D74A3">
              <w:rPr>
                <w:rStyle w:val="eop"/>
                <w:sz w:val="20"/>
                <w:szCs w:val="20"/>
              </w:rPr>
              <w:t> </w:t>
            </w:r>
          </w:p>
          <w:p w14:paraId="6F1E1993"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eop"/>
                <w:sz w:val="22"/>
                <w:szCs w:val="22"/>
              </w:rPr>
              <w:t> </w:t>
            </w:r>
          </w:p>
          <w:p w14:paraId="70C81662" w14:textId="0473329C" w:rsidR="009D74A3" w:rsidRPr="009D74A3" w:rsidRDefault="009D74A3" w:rsidP="009D74A3">
            <w:pPr>
              <w:pStyle w:val="paragraph"/>
              <w:spacing w:before="0" w:beforeAutospacing="0" w:after="0" w:afterAutospacing="0"/>
              <w:jc w:val="both"/>
              <w:textAlignment w:val="baseline"/>
              <w:rPr>
                <w:color w:val="000000" w:themeColor="text1"/>
                <w:sz w:val="32"/>
                <w:szCs w:val="32"/>
              </w:rPr>
            </w:pPr>
            <w:r w:rsidRPr="009D74A3">
              <w:rPr>
                <w:rStyle w:val="normaltextrun"/>
                <w:rFonts w:ascii="Times New Roman" w:hAnsi="Times New Roman" w:cs="Times New Roman"/>
                <w:color w:val="000000" w:themeColor="text1"/>
              </w:rPr>
              <w:t xml:space="preserve">La </w:t>
            </w:r>
            <w:r w:rsidRPr="00C0651A">
              <w:rPr>
                <w:rStyle w:val="normaltextrun"/>
                <w:rFonts w:ascii="Times New Roman" w:hAnsi="Times New Roman" w:cs="Times New Roman"/>
                <w:b/>
                <w:bCs/>
                <w:color w:val="000000" w:themeColor="text1"/>
              </w:rPr>
              <w:t xml:space="preserve">tabla </w:t>
            </w:r>
            <w:r w:rsidR="00935EA4">
              <w:rPr>
                <w:rStyle w:val="normaltextrun"/>
                <w:rFonts w:ascii="Times New Roman" w:hAnsi="Times New Roman" w:cs="Times New Roman"/>
                <w:b/>
                <w:bCs/>
                <w:color w:val="000000" w:themeColor="text1"/>
              </w:rPr>
              <w:t>12</w:t>
            </w:r>
            <w:r w:rsidRPr="009D74A3">
              <w:rPr>
                <w:rStyle w:val="normaltextrun"/>
                <w:rFonts w:ascii="Times New Roman" w:hAnsi="Times New Roman" w:cs="Times New Roman"/>
                <w:color w:val="000000" w:themeColor="text1"/>
              </w:rPr>
              <w:t xml:space="preserve"> muestra el promedio del impuesto, detallando rangos de avalúos más altos, iniciando desde los $1.326 millones</w:t>
            </w:r>
            <w:r w:rsidRPr="009D74A3">
              <w:rPr>
                <w:rStyle w:val="normaltextrun"/>
                <w:rFonts w:ascii="Times New Roman" w:hAnsi="Times New Roman" w:cs="Times New Roman"/>
                <w:strike/>
                <w:color w:val="000000" w:themeColor="text1"/>
              </w:rPr>
              <w:t>.</w:t>
            </w:r>
            <w:r w:rsidRPr="009D74A3">
              <w:rPr>
                <w:rStyle w:val="normaltextrun"/>
                <w:rFonts w:ascii="Times New Roman" w:hAnsi="Times New Roman" w:cs="Times New Roman"/>
                <w:color w:val="000000" w:themeColor="text1"/>
              </w:rPr>
              <w:t xml:space="preserve"> Se observa con mayor claridad que el promedio del impuesto en los predios comerciales con avalúo hasta dicho monto triplica el promedio de los impuestos residenciales de los inmuebles ubicados en el mismo rango, mientras que predios con avalúos superiores a $1.598 millones presentan impuestos superiores en los residenciales que, en los comerciales o industriales, a pesar de estar en el mismo rango. </w:t>
            </w:r>
            <w:r w:rsidRPr="009D74A3">
              <w:rPr>
                <w:rStyle w:val="eop"/>
                <w:color w:val="000000" w:themeColor="text1"/>
              </w:rPr>
              <w:t> </w:t>
            </w:r>
          </w:p>
          <w:p w14:paraId="6FC428D2" w14:textId="77777777" w:rsidR="00BC23CC" w:rsidRDefault="00BC23CC" w:rsidP="009D74A3">
            <w:pPr>
              <w:pStyle w:val="paragraph"/>
              <w:spacing w:before="0" w:beforeAutospacing="0" w:after="0" w:afterAutospacing="0"/>
              <w:jc w:val="center"/>
              <w:textAlignment w:val="baseline"/>
              <w:rPr>
                <w:rStyle w:val="normaltextrun"/>
                <w:rFonts w:ascii="Times New Roman" w:hAnsi="Times New Roman" w:cs="Times New Roman"/>
                <w:b/>
                <w:bCs/>
              </w:rPr>
            </w:pPr>
          </w:p>
          <w:p w14:paraId="470FA2B7" w14:textId="6AD21D2C"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 xml:space="preserve">Tabla </w:t>
            </w:r>
            <w:r w:rsidR="00935EA4">
              <w:rPr>
                <w:rStyle w:val="normaltextrun"/>
                <w:rFonts w:ascii="Times New Roman" w:hAnsi="Times New Roman" w:cs="Times New Roman"/>
                <w:b/>
                <w:bCs/>
              </w:rPr>
              <w:t>12</w:t>
            </w:r>
            <w:r w:rsidRPr="009D74A3">
              <w:rPr>
                <w:rStyle w:val="eop"/>
                <w:i/>
                <w:iCs/>
              </w:rPr>
              <w:t> </w:t>
            </w:r>
          </w:p>
          <w:p w14:paraId="71731DDE" w14:textId="5B7139B7" w:rsidR="009D74A3" w:rsidRPr="00C0651A" w:rsidRDefault="009D74A3" w:rsidP="00C0651A">
            <w:pPr>
              <w:pStyle w:val="paragraph"/>
              <w:spacing w:before="0" w:beforeAutospacing="0" w:after="0" w:afterAutospacing="0"/>
              <w:jc w:val="center"/>
              <w:textAlignment w:val="baseline"/>
              <w:rPr>
                <w:i/>
                <w:iCs/>
              </w:rPr>
            </w:pPr>
            <w:r w:rsidRPr="009D74A3">
              <w:rPr>
                <w:rStyle w:val="normaltextrun"/>
                <w:rFonts w:ascii="Times New Roman" w:hAnsi="Times New Roman" w:cs="Times New Roman"/>
                <w:b/>
                <w:bCs/>
              </w:rPr>
              <w:t>Promedio y relación de los promedios ajustados en los predios residenciales, comerciales e industriales detallando grupos de avalúos con más de $1.326 millones de pesos</w:t>
            </w:r>
            <w:r w:rsidRPr="009D74A3">
              <w:rPr>
                <w:rStyle w:val="eop"/>
                <w:i/>
                <w:iCs/>
              </w:rPr>
              <w:t> </w:t>
            </w:r>
          </w:p>
          <w:tbl>
            <w:tblPr>
              <w:tblW w:w="0" w:type="dxa"/>
              <w:jc w:val="center"/>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275"/>
              <w:gridCol w:w="840"/>
              <w:gridCol w:w="1290"/>
              <w:gridCol w:w="1275"/>
              <w:gridCol w:w="1095"/>
              <w:gridCol w:w="915"/>
              <w:gridCol w:w="915"/>
            </w:tblGrid>
            <w:tr w:rsidR="00B02EB6" w:rsidRPr="009D74A3" w14:paraId="6DFF8D68" w14:textId="77777777" w:rsidTr="00B64FFB">
              <w:trPr>
                <w:trHeight w:val="495"/>
                <w:jc w:val="center"/>
              </w:trPr>
              <w:tc>
                <w:tcPr>
                  <w:tcW w:w="2115" w:type="dxa"/>
                  <w:gridSpan w:val="2"/>
                  <w:tcBorders>
                    <w:top w:val="single" w:sz="6" w:space="0" w:color="auto"/>
                    <w:left w:val="single" w:sz="6" w:space="0" w:color="auto"/>
                    <w:bottom w:val="single" w:sz="6" w:space="0" w:color="auto"/>
                    <w:right w:val="single" w:sz="6" w:space="0" w:color="auto"/>
                  </w:tcBorders>
                  <w:shd w:val="clear" w:color="auto" w:fill="002060"/>
                  <w:vAlign w:val="center"/>
                  <w:hideMark/>
                </w:tcPr>
                <w:p w14:paraId="2674C1AC"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FFFFFF"/>
                      <w:sz w:val="18"/>
                      <w:szCs w:val="18"/>
                    </w:rPr>
                    <w:t>Rangos Avalúo</w:t>
                  </w:r>
                  <w:r w:rsidRPr="009D74A3">
                    <w:rPr>
                      <w:rStyle w:val="eop"/>
                      <w:color w:val="FFFFFF"/>
                      <w:sz w:val="18"/>
                      <w:szCs w:val="18"/>
                    </w:rPr>
                    <w:t> </w:t>
                  </w:r>
                </w:p>
              </w:tc>
              <w:tc>
                <w:tcPr>
                  <w:tcW w:w="3660" w:type="dxa"/>
                  <w:gridSpan w:val="3"/>
                  <w:tcBorders>
                    <w:top w:val="single" w:sz="6" w:space="0" w:color="auto"/>
                    <w:left w:val="nil"/>
                    <w:bottom w:val="single" w:sz="6" w:space="0" w:color="auto"/>
                    <w:right w:val="single" w:sz="6" w:space="0" w:color="auto"/>
                  </w:tcBorders>
                  <w:shd w:val="clear" w:color="auto" w:fill="002060"/>
                  <w:vAlign w:val="center"/>
                  <w:hideMark/>
                </w:tcPr>
                <w:p w14:paraId="68369C81"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FFFFFF"/>
                      <w:sz w:val="18"/>
                      <w:szCs w:val="18"/>
                    </w:rPr>
                    <w:t>Promedio del Impuesto predial ajustado (IA) en Millones de pesos</w:t>
                  </w:r>
                  <w:r w:rsidRPr="009D74A3">
                    <w:rPr>
                      <w:rStyle w:val="eop"/>
                      <w:color w:val="FFFFFF"/>
                      <w:sz w:val="18"/>
                      <w:szCs w:val="18"/>
                    </w:rPr>
                    <w:t> </w:t>
                  </w:r>
                </w:p>
              </w:tc>
              <w:tc>
                <w:tcPr>
                  <w:tcW w:w="915" w:type="dxa"/>
                  <w:vMerge w:val="restart"/>
                  <w:tcBorders>
                    <w:top w:val="single" w:sz="6" w:space="0" w:color="auto"/>
                    <w:left w:val="single" w:sz="6" w:space="0" w:color="auto"/>
                    <w:bottom w:val="single" w:sz="6" w:space="0" w:color="auto"/>
                    <w:right w:val="single" w:sz="6" w:space="0" w:color="auto"/>
                  </w:tcBorders>
                  <w:shd w:val="clear" w:color="auto" w:fill="002060"/>
                  <w:vAlign w:val="center"/>
                  <w:hideMark/>
                </w:tcPr>
                <w:p w14:paraId="121EE379"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FFFFFF"/>
                      <w:sz w:val="18"/>
                      <w:szCs w:val="18"/>
                    </w:rPr>
                    <w:t>Relación C/R</w:t>
                  </w:r>
                  <w:r w:rsidRPr="009D74A3">
                    <w:rPr>
                      <w:rStyle w:val="eop"/>
                      <w:color w:val="FFFFFF"/>
                      <w:sz w:val="18"/>
                      <w:szCs w:val="18"/>
                    </w:rPr>
                    <w:t> </w:t>
                  </w:r>
                </w:p>
              </w:tc>
              <w:tc>
                <w:tcPr>
                  <w:tcW w:w="915" w:type="dxa"/>
                  <w:vMerge w:val="restart"/>
                  <w:tcBorders>
                    <w:top w:val="single" w:sz="6" w:space="0" w:color="auto"/>
                    <w:left w:val="single" w:sz="6" w:space="0" w:color="auto"/>
                    <w:bottom w:val="single" w:sz="6" w:space="0" w:color="auto"/>
                    <w:right w:val="single" w:sz="6" w:space="0" w:color="auto"/>
                  </w:tcBorders>
                  <w:shd w:val="clear" w:color="auto" w:fill="002060"/>
                  <w:vAlign w:val="center"/>
                  <w:hideMark/>
                </w:tcPr>
                <w:p w14:paraId="46094DEE"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FFFFFF"/>
                      <w:sz w:val="18"/>
                      <w:szCs w:val="18"/>
                    </w:rPr>
                    <w:t>Relación I/R</w:t>
                  </w:r>
                  <w:r w:rsidRPr="009D74A3">
                    <w:rPr>
                      <w:rStyle w:val="eop"/>
                      <w:color w:val="FFFFFF"/>
                      <w:sz w:val="18"/>
                      <w:szCs w:val="18"/>
                    </w:rPr>
                    <w:t> </w:t>
                  </w:r>
                </w:p>
              </w:tc>
            </w:tr>
            <w:tr w:rsidR="00B02EB6" w:rsidRPr="009D74A3" w14:paraId="505762D0" w14:textId="77777777" w:rsidTr="00B64FFB">
              <w:trPr>
                <w:trHeight w:val="285"/>
                <w:jc w:val="center"/>
              </w:trPr>
              <w:tc>
                <w:tcPr>
                  <w:tcW w:w="1275" w:type="dxa"/>
                  <w:tcBorders>
                    <w:top w:val="nil"/>
                    <w:left w:val="single" w:sz="6" w:space="0" w:color="auto"/>
                    <w:bottom w:val="single" w:sz="6" w:space="0" w:color="auto"/>
                    <w:right w:val="single" w:sz="6" w:space="0" w:color="auto"/>
                  </w:tcBorders>
                  <w:shd w:val="clear" w:color="auto" w:fill="002060"/>
                  <w:vAlign w:val="center"/>
                  <w:hideMark/>
                </w:tcPr>
                <w:p w14:paraId="7FE0C8D6"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FFFFFF"/>
                      <w:sz w:val="18"/>
                      <w:szCs w:val="18"/>
                    </w:rPr>
                    <w:t>Lim. inf.</w:t>
                  </w:r>
                  <w:r w:rsidRPr="009D74A3">
                    <w:rPr>
                      <w:rStyle w:val="eop"/>
                      <w:color w:val="FFFFFF"/>
                      <w:sz w:val="18"/>
                      <w:szCs w:val="18"/>
                    </w:rPr>
                    <w:t> </w:t>
                  </w:r>
                </w:p>
              </w:tc>
              <w:tc>
                <w:tcPr>
                  <w:tcW w:w="825" w:type="dxa"/>
                  <w:tcBorders>
                    <w:top w:val="nil"/>
                    <w:left w:val="nil"/>
                    <w:bottom w:val="single" w:sz="6" w:space="0" w:color="auto"/>
                    <w:right w:val="single" w:sz="6" w:space="0" w:color="auto"/>
                  </w:tcBorders>
                  <w:shd w:val="clear" w:color="auto" w:fill="002060"/>
                  <w:vAlign w:val="center"/>
                  <w:hideMark/>
                </w:tcPr>
                <w:p w14:paraId="6D85B5E5"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FFFFFF"/>
                      <w:sz w:val="18"/>
                      <w:szCs w:val="18"/>
                    </w:rPr>
                    <w:t>Lim. Sup.</w:t>
                  </w:r>
                  <w:r w:rsidRPr="009D74A3">
                    <w:rPr>
                      <w:rStyle w:val="eop"/>
                      <w:color w:val="FFFFFF"/>
                      <w:sz w:val="18"/>
                      <w:szCs w:val="18"/>
                    </w:rPr>
                    <w:t> </w:t>
                  </w:r>
                </w:p>
              </w:tc>
              <w:tc>
                <w:tcPr>
                  <w:tcW w:w="1290" w:type="dxa"/>
                  <w:tcBorders>
                    <w:top w:val="nil"/>
                    <w:left w:val="nil"/>
                    <w:bottom w:val="single" w:sz="6" w:space="0" w:color="auto"/>
                    <w:right w:val="single" w:sz="6" w:space="0" w:color="auto"/>
                  </w:tcBorders>
                  <w:shd w:val="clear" w:color="auto" w:fill="002060"/>
                  <w:vAlign w:val="center"/>
                  <w:hideMark/>
                </w:tcPr>
                <w:p w14:paraId="3DA011A5"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FFFFFF"/>
                      <w:sz w:val="18"/>
                      <w:szCs w:val="18"/>
                    </w:rPr>
                    <w:t>Residencial (R)</w:t>
                  </w:r>
                  <w:r w:rsidRPr="009D74A3">
                    <w:rPr>
                      <w:rStyle w:val="eop"/>
                      <w:color w:val="FFFFFF"/>
                      <w:sz w:val="18"/>
                      <w:szCs w:val="18"/>
                    </w:rPr>
                    <w:t> </w:t>
                  </w:r>
                </w:p>
              </w:tc>
              <w:tc>
                <w:tcPr>
                  <w:tcW w:w="1275" w:type="dxa"/>
                  <w:tcBorders>
                    <w:top w:val="nil"/>
                    <w:left w:val="nil"/>
                    <w:bottom w:val="single" w:sz="6" w:space="0" w:color="auto"/>
                    <w:right w:val="single" w:sz="6" w:space="0" w:color="auto"/>
                  </w:tcBorders>
                  <w:shd w:val="clear" w:color="auto" w:fill="002060"/>
                  <w:vAlign w:val="center"/>
                  <w:hideMark/>
                </w:tcPr>
                <w:p w14:paraId="40D1BFBB"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FFFFFF"/>
                      <w:sz w:val="18"/>
                      <w:szCs w:val="18"/>
                    </w:rPr>
                    <w:t>Comercial (C)</w:t>
                  </w:r>
                  <w:r w:rsidRPr="009D74A3">
                    <w:rPr>
                      <w:rStyle w:val="eop"/>
                      <w:color w:val="FFFFFF"/>
                      <w:sz w:val="18"/>
                      <w:szCs w:val="18"/>
                    </w:rPr>
                    <w:t> </w:t>
                  </w:r>
                </w:p>
              </w:tc>
              <w:tc>
                <w:tcPr>
                  <w:tcW w:w="1080" w:type="dxa"/>
                  <w:tcBorders>
                    <w:top w:val="nil"/>
                    <w:left w:val="nil"/>
                    <w:bottom w:val="single" w:sz="6" w:space="0" w:color="auto"/>
                    <w:right w:val="single" w:sz="6" w:space="0" w:color="auto"/>
                  </w:tcBorders>
                  <w:shd w:val="clear" w:color="auto" w:fill="002060"/>
                  <w:vAlign w:val="center"/>
                  <w:hideMark/>
                </w:tcPr>
                <w:p w14:paraId="49B54C23"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FFFFFF"/>
                      <w:sz w:val="18"/>
                      <w:szCs w:val="18"/>
                    </w:rPr>
                    <w:t>Industrial (I)</w:t>
                  </w:r>
                  <w:r w:rsidRPr="009D74A3">
                    <w:rPr>
                      <w:rStyle w:val="eop"/>
                      <w:color w:val="FFFFFF"/>
                      <w:sz w:val="18"/>
                      <w:szCs w:val="18"/>
                    </w:rPr>
                    <w:t> </w:t>
                  </w:r>
                </w:p>
              </w:tc>
              <w:tc>
                <w:tcPr>
                  <w:tcW w:w="915" w:type="dxa"/>
                  <w:vMerge/>
                  <w:tcBorders>
                    <w:top w:val="single" w:sz="6" w:space="0" w:color="auto"/>
                    <w:left w:val="single" w:sz="6" w:space="0" w:color="auto"/>
                    <w:bottom w:val="single" w:sz="6" w:space="0" w:color="auto"/>
                    <w:right w:val="single" w:sz="6" w:space="0" w:color="auto"/>
                  </w:tcBorders>
                  <w:vAlign w:val="center"/>
                  <w:hideMark/>
                </w:tcPr>
                <w:p w14:paraId="4B36C76F" w14:textId="77777777" w:rsidR="009D74A3" w:rsidRPr="009D74A3" w:rsidRDefault="009D74A3" w:rsidP="009D74A3">
                  <w:pPr>
                    <w:rPr>
                      <w:rFonts w:ascii="Times New Roman" w:hAnsi="Times New Roman" w:cs="Times New Roman"/>
                      <w:sz w:val="24"/>
                      <w:szCs w:val="24"/>
                    </w:rPr>
                  </w:pPr>
                </w:p>
              </w:tc>
              <w:tc>
                <w:tcPr>
                  <w:tcW w:w="915" w:type="dxa"/>
                  <w:vMerge/>
                  <w:tcBorders>
                    <w:top w:val="single" w:sz="6" w:space="0" w:color="auto"/>
                    <w:left w:val="single" w:sz="6" w:space="0" w:color="auto"/>
                    <w:bottom w:val="single" w:sz="6" w:space="0" w:color="auto"/>
                    <w:right w:val="single" w:sz="6" w:space="0" w:color="auto"/>
                  </w:tcBorders>
                  <w:vAlign w:val="center"/>
                  <w:hideMark/>
                </w:tcPr>
                <w:p w14:paraId="0F8DDCAC" w14:textId="77777777" w:rsidR="009D74A3" w:rsidRPr="009D74A3" w:rsidRDefault="009D74A3" w:rsidP="009D74A3">
                  <w:pPr>
                    <w:rPr>
                      <w:rFonts w:ascii="Times New Roman" w:hAnsi="Times New Roman" w:cs="Times New Roman"/>
                      <w:sz w:val="24"/>
                      <w:szCs w:val="24"/>
                    </w:rPr>
                  </w:pPr>
                </w:p>
              </w:tc>
            </w:tr>
            <w:tr w:rsidR="009D74A3" w:rsidRPr="009D74A3" w14:paraId="7051C0A0" w14:textId="77777777" w:rsidTr="00740130">
              <w:trPr>
                <w:trHeight w:val="285"/>
                <w:jc w:val="center"/>
              </w:trPr>
              <w:tc>
                <w:tcPr>
                  <w:tcW w:w="1275" w:type="dxa"/>
                  <w:tcBorders>
                    <w:top w:val="nil"/>
                    <w:left w:val="single" w:sz="6" w:space="0" w:color="auto"/>
                    <w:bottom w:val="single" w:sz="6" w:space="0" w:color="auto"/>
                    <w:right w:val="single" w:sz="6" w:space="0" w:color="auto"/>
                  </w:tcBorders>
                  <w:vAlign w:val="center"/>
                  <w:hideMark/>
                </w:tcPr>
                <w:p w14:paraId="4376A579"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$ 0</w:t>
                  </w:r>
                  <w:r w:rsidRPr="009D74A3">
                    <w:rPr>
                      <w:rStyle w:val="eop"/>
                      <w:color w:val="000000"/>
                      <w:sz w:val="18"/>
                      <w:szCs w:val="18"/>
                    </w:rPr>
                    <w:t> </w:t>
                  </w:r>
                </w:p>
              </w:tc>
              <w:tc>
                <w:tcPr>
                  <w:tcW w:w="825" w:type="dxa"/>
                  <w:tcBorders>
                    <w:top w:val="nil"/>
                    <w:left w:val="nil"/>
                    <w:bottom w:val="single" w:sz="6" w:space="0" w:color="auto"/>
                    <w:right w:val="single" w:sz="6" w:space="0" w:color="auto"/>
                  </w:tcBorders>
                  <w:vAlign w:val="center"/>
                  <w:hideMark/>
                </w:tcPr>
                <w:p w14:paraId="39B6D99D"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$ 1.326</w:t>
                  </w:r>
                  <w:r w:rsidRPr="009D74A3">
                    <w:rPr>
                      <w:rStyle w:val="eop"/>
                      <w:color w:val="000000"/>
                      <w:sz w:val="18"/>
                      <w:szCs w:val="18"/>
                    </w:rPr>
                    <w:t> </w:t>
                  </w:r>
                </w:p>
              </w:tc>
              <w:tc>
                <w:tcPr>
                  <w:tcW w:w="1290" w:type="dxa"/>
                  <w:tcBorders>
                    <w:top w:val="nil"/>
                    <w:left w:val="nil"/>
                    <w:bottom w:val="single" w:sz="6" w:space="0" w:color="auto"/>
                    <w:right w:val="single" w:sz="6" w:space="0" w:color="auto"/>
                  </w:tcBorders>
                  <w:vAlign w:val="bottom"/>
                  <w:hideMark/>
                </w:tcPr>
                <w:p w14:paraId="36C740E4"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$ 1,1</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bottom"/>
                  <w:hideMark/>
                </w:tcPr>
                <w:p w14:paraId="1511310A"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$ 3,4</w:t>
                  </w:r>
                  <w:r w:rsidRPr="009D74A3">
                    <w:rPr>
                      <w:rStyle w:val="eop"/>
                      <w:color w:val="000000"/>
                      <w:sz w:val="18"/>
                      <w:szCs w:val="18"/>
                    </w:rPr>
                    <w:t> </w:t>
                  </w:r>
                </w:p>
              </w:tc>
              <w:tc>
                <w:tcPr>
                  <w:tcW w:w="1080" w:type="dxa"/>
                  <w:tcBorders>
                    <w:top w:val="nil"/>
                    <w:left w:val="nil"/>
                    <w:bottom w:val="single" w:sz="6" w:space="0" w:color="auto"/>
                    <w:right w:val="single" w:sz="6" w:space="0" w:color="auto"/>
                  </w:tcBorders>
                  <w:vAlign w:val="bottom"/>
                  <w:hideMark/>
                </w:tcPr>
                <w:p w14:paraId="4F9307AD"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$ 5,1</w:t>
                  </w:r>
                  <w:r w:rsidRPr="009D74A3">
                    <w:rPr>
                      <w:rStyle w:val="eop"/>
                      <w:color w:val="000000"/>
                      <w:sz w:val="18"/>
                      <w:szCs w:val="18"/>
                    </w:rPr>
                    <w:t> </w:t>
                  </w:r>
                </w:p>
              </w:tc>
              <w:tc>
                <w:tcPr>
                  <w:tcW w:w="915" w:type="dxa"/>
                  <w:tcBorders>
                    <w:top w:val="nil"/>
                    <w:left w:val="nil"/>
                    <w:bottom w:val="single" w:sz="6" w:space="0" w:color="auto"/>
                    <w:right w:val="single" w:sz="6" w:space="0" w:color="auto"/>
                  </w:tcBorders>
                  <w:vAlign w:val="bottom"/>
                  <w:hideMark/>
                </w:tcPr>
                <w:p w14:paraId="569A56C8"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3,10</w:t>
                  </w:r>
                  <w:r w:rsidRPr="009D74A3">
                    <w:rPr>
                      <w:rStyle w:val="eop"/>
                      <w:color w:val="000000"/>
                      <w:sz w:val="18"/>
                      <w:szCs w:val="18"/>
                    </w:rPr>
                    <w:t> </w:t>
                  </w:r>
                </w:p>
              </w:tc>
              <w:tc>
                <w:tcPr>
                  <w:tcW w:w="915" w:type="dxa"/>
                  <w:tcBorders>
                    <w:top w:val="nil"/>
                    <w:left w:val="nil"/>
                    <w:bottom w:val="single" w:sz="6" w:space="0" w:color="auto"/>
                    <w:right w:val="single" w:sz="6" w:space="0" w:color="auto"/>
                  </w:tcBorders>
                  <w:vAlign w:val="bottom"/>
                  <w:hideMark/>
                </w:tcPr>
                <w:p w14:paraId="7A0015D0"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4,58</w:t>
                  </w:r>
                  <w:r w:rsidRPr="009D74A3">
                    <w:rPr>
                      <w:rStyle w:val="eop"/>
                      <w:color w:val="000000"/>
                      <w:sz w:val="18"/>
                      <w:szCs w:val="18"/>
                    </w:rPr>
                    <w:t> </w:t>
                  </w:r>
                </w:p>
              </w:tc>
            </w:tr>
            <w:tr w:rsidR="009D74A3" w:rsidRPr="009D74A3" w14:paraId="5DC0ED85" w14:textId="77777777" w:rsidTr="00740130">
              <w:trPr>
                <w:trHeight w:val="285"/>
                <w:jc w:val="center"/>
              </w:trPr>
              <w:tc>
                <w:tcPr>
                  <w:tcW w:w="1275" w:type="dxa"/>
                  <w:tcBorders>
                    <w:top w:val="nil"/>
                    <w:left w:val="single" w:sz="6" w:space="0" w:color="auto"/>
                    <w:bottom w:val="single" w:sz="6" w:space="0" w:color="auto"/>
                    <w:right w:val="single" w:sz="6" w:space="0" w:color="auto"/>
                  </w:tcBorders>
                  <w:vAlign w:val="center"/>
                  <w:hideMark/>
                </w:tcPr>
                <w:p w14:paraId="0B57A1E7"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$ 1.327</w:t>
                  </w:r>
                  <w:r w:rsidRPr="009D74A3">
                    <w:rPr>
                      <w:rStyle w:val="eop"/>
                      <w:color w:val="000000"/>
                      <w:sz w:val="18"/>
                      <w:szCs w:val="18"/>
                    </w:rPr>
                    <w:t> </w:t>
                  </w:r>
                </w:p>
              </w:tc>
              <w:tc>
                <w:tcPr>
                  <w:tcW w:w="825" w:type="dxa"/>
                  <w:tcBorders>
                    <w:top w:val="nil"/>
                    <w:left w:val="nil"/>
                    <w:bottom w:val="single" w:sz="6" w:space="0" w:color="auto"/>
                    <w:right w:val="single" w:sz="6" w:space="0" w:color="auto"/>
                  </w:tcBorders>
                  <w:vAlign w:val="center"/>
                  <w:hideMark/>
                </w:tcPr>
                <w:p w14:paraId="3BEAE46C"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$ 1.364</w:t>
                  </w:r>
                  <w:r w:rsidRPr="009D74A3">
                    <w:rPr>
                      <w:rStyle w:val="eop"/>
                      <w:color w:val="000000"/>
                      <w:sz w:val="18"/>
                      <w:szCs w:val="18"/>
                    </w:rPr>
                    <w:t> </w:t>
                  </w:r>
                </w:p>
              </w:tc>
              <w:tc>
                <w:tcPr>
                  <w:tcW w:w="1290" w:type="dxa"/>
                  <w:tcBorders>
                    <w:top w:val="nil"/>
                    <w:left w:val="nil"/>
                    <w:bottom w:val="single" w:sz="6" w:space="0" w:color="auto"/>
                    <w:right w:val="single" w:sz="6" w:space="0" w:color="auto"/>
                  </w:tcBorders>
                  <w:vAlign w:val="bottom"/>
                  <w:hideMark/>
                </w:tcPr>
                <w:p w14:paraId="3D49E458"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$ 12,0</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bottom"/>
                  <w:hideMark/>
                </w:tcPr>
                <w:p w14:paraId="56C9C707"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$ 12,3</w:t>
                  </w:r>
                  <w:r w:rsidRPr="009D74A3">
                    <w:rPr>
                      <w:rStyle w:val="eop"/>
                      <w:color w:val="000000"/>
                      <w:sz w:val="18"/>
                      <w:szCs w:val="18"/>
                    </w:rPr>
                    <w:t> </w:t>
                  </w:r>
                </w:p>
              </w:tc>
              <w:tc>
                <w:tcPr>
                  <w:tcW w:w="1080" w:type="dxa"/>
                  <w:tcBorders>
                    <w:top w:val="nil"/>
                    <w:left w:val="nil"/>
                    <w:bottom w:val="single" w:sz="6" w:space="0" w:color="auto"/>
                    <w:right w:val="single" w:sz="6" w:space="0" w:color="auto"/>
                  </w:tcBorders>
                  <w:vAlign w:val="bottom"/>
                  <w:hideMark/>
                </w:tcPr>
                <w:p w14:paraId="15E54730"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$ 12,8</w:t>
                  </w:r>
                  <w:r w:rsidRPr="009D74A3">
                    <w:rPr>
                      <w:rStyle w:val="eop"/>
                      <w:color w:val="000000"/>
                      <w:sz w:val="18"/>
                      <w:szCs w:val="18"/>
                    </w:rPr>
                    <w:t> </w:t>
                  </w:r>
                </w:p>
              </w:tc>
              <w:tc>
                <w:tcPr>
                  <w:tcW w:w="915" w:type="dxa"/>
                  <w:tcBorders>
                    <w:top w:val="nil"/>
                    <w:left w:val="nil"/>
                    <w:bottom w:val="single" w:sz="6" w:space="0" w:color="auto"/>
                    <w:right w:val="single" w:sz="6" w:space="0" w:color="auto"/>
                  </w:tcBorders>
                  <w:vAlign w:val="bottom"/>
                  <w:hideMark/>
                </w:tcPr>
                <w:p w14:paraId="17E8C8A4"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1,03</w:t>
                  </w:r>
                  <w:r w:rsidRPr="009D74A3">
                    <w:rPr>
                      <w:rStyle w:val="eop"/>
                      <w:color w:val="000000"/>
                      <w:sz w:val="18"/>
                      <w:szCs w:val="18"/>
                    </w:rPr>
                    <w:t> </w:t>
                  </w:r>
                </w:p>
              </w:tc>
              <w:tc>
                <w:tcPr>
                  <w:tcW w:w="915" w:type="dxa"/>
                  <w:tcBorders>
                    <w:top w:val="nil"/>
                    <w:left w:val="nil"/>
                    <w:bottom w:val="single" w:sz="6" w:space="0" w:color="auto"/>
                    <w:right w:val="single" w:sz="6" w:space="0" w:color="auto"/>
                  </w:tcBorders>
                  <w:vAlign w:val="bottom"/>
                  <w:hideMark/>
                </w:tcPr>
                <w:p w14:paraId="58660B00"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1,07</w:t>
                  </w:r>
                  <w:r w:rsidRPr="009D74A3">
                    <w:rPr>
                      <w:rStyle w:val="eop"/>
                      <w:color w:val="000000"/>
                      <w:sz w:val="18"/>
                      <w:szCs w:val="18"/>
                    </w:rPr>
                    <w:t> </w:t>
                  </w:r>
                </w:p>
              </w:tc>
            </w:tr>
            <w:tr w:rsidR="009D74A3" w:rsidRPr="009D74A3" w14:paraId="4B2F4BD7" w14:textId="77777777" w:rsidTr="00740130">
              <w:trPr>
                <w:trHeight w:val="285"/>
                <w:jc w:val="center"/>
              </w:trPr>
              <w:tc>
                <w:tcPr>
                  <w:tcW w:w="1275" w:type="dxa"/>
                  <w:tcBorders>
                    <w:top w:val="nil"/>
                    <w:left w:val="single" w:sz="6" w:space="0" w:color="auto"/>
                    <w:bottom w:val="single" w:sz="6" w:space="0" w:color="auto"/>
                    <w:right w:val="single" w:sz="6" w:space="0" w:color="auto"/>
                  </w:tcBorders>
                  <w:vAlign w:val="center"/>
                  <w:hideMark/>
                </w:tcPr>
                <w:p w14:paraId="4D64DE15"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$ 1.365</w:t>
                  </w:r>
                  <w:r w:rsidRPr="009D74A3">
                    <w:rPr>
                      <w:rStyle w:val="eop"/>
                      <w:color w:val="000000"/>
                      <w:sz w:val="18"/>
                      <w:szCs w:val="18"/>
                    </w:rPr>
                    <w:t> </w:t>
                  </w:r>
                </w:p>
              </w:tc>
              <w:tc>
                <w:tcPr>
                  <w:tcW w:w="825" w:type="dxa"/>
                  <w:tcBorders>
                    <w:top w:val="nil"/>
                    <w:left w:val="nil"/>
                    <w:bottom w:val="single" w:sz="6" w:space="0" w:color="auto"/>
                    <w:right w:val="single" w:sz="6" w:space="0" w:color="auto"/>
                  </w:tcBorders>
                  <w:vAlign w:val="center"/>
                  <w:hideMark/>
                </w:tcPr>
                <w:p w14:paraId="31A8B282"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$ 1.414</w:t>
                  </w:r>
                  <w:r w:rsidRPr="009D74A3">
                    <w:rPr>
                      <w:rStyle w:val="eop"/>
                      <w:color w:val="000000"/>
                      <w:sz w:val="18"/>
                      <w:szCs w:val="18"/>
                    </w:rPr>
                    <w:t> </w:t>
                  </w:r>
                </w:p>
              </w:tc>
              <w:tc>
                <w:tcPr>
                  <w:tcW w:w="1290" w:type="dxa"/>
                  <w:tcBorders>
                    <w:top w:val="nil"/>
                    <w:left w:val="nil"/>
                    <w:bottom w:val="single" w:sz="6" w:space="0" w:color="auto"/>
                    <w:right w:val="single" w:sz="6" w:space="0" w:color="auto"/>
                  </w:tcBorders>
                  <w:vAlign w:val="bottom"/>
                  <w:hideMark/>
                </w:tcPr>
                <w:p w14:paraId="2FD4E7C4"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$ 12,4</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bottom"/>
                  <w:hideMark/>
                </w:tcPr>
                <w:p w14:paraId="15CC0912"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$ 12,7</w:t>
                  </w:r>
                  <w:r w:rsidRPr="009D74A3">
                    <w:rPr>
                      <w:rStyle w:val="eop"/>
                      <w:color w:val="000000"/>
                      <w:sz w:val="18"/>
                      <w:szCs w:val="18"/>
                    </w:rPr>
                    <w:t> </w:t>
                  </w:r>
                </w:p>
              </w:tc>
              <w:tc>
                <w:tcPr>
                  <w:tcW w:w="1080" w:type="dxa"/>
                  <w:tcBorders>
                    <w:top w:val="nil"/>
                    <w:left w:val="nil"/>
                    <w:bottom w:val="single" w:sz="6" w:space="0" w:color="auto"/>
                    <w:right w:val="single" w:sz="6" w:space="0" w:color="auto"/>
                  </w:tcBorders>
                  <w:vAlign w:val="bottom"/>
                  <w:hideMark/>
                </w:tcPr>
                <w:p w14:paraId="4F84BA3A"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$ 12,9</w:t>
                  </w:r>
                  <w:r w:rsidRPr="009D74A3">
                    <w:rPr>
                      <w:rStyle w:val="eop"/>
                      <w:color w:val="000000"/>
                      <w:sz w:val="18"/>
                      <w:szCs w:val="18"/>
                    </w:rPr>
                    <w:t> </w:t>
                  </w:r>
                </w:p>
              </w:tc>
              <w:tc>
                <w:tcPr>
                  <w:tcW w:w="915" w:type="dxa"/>
                  <w:tcBorders>
                    <w:top w:val="nil"/>
                    <w:left w:val="nil"/>
                    <w:bottom w:val="single" w:sz="6" w:space="0" w:color="auto"/>
                    <w:right w:val="single" w:sz="6" w:space="0" w:color="auto"/>
                  </w:tcBorders>
                  <w:vAlign w:val="bottom"/>
                  <w:hideMark/>
                </w:tcPr>
                <w:p w14:paraId="31E90FDF"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1,03</w:t>
                  </w:r>
                  <w:r w:rsidRPr="009D74A3">
                    <w:rPr>
                      <w:rStyle w:val="eop"/>
                      <w:color w:val="000000"/>
                      <w:sz w:val="18"/>
                      <w:szCs w:val="18"/>
                    </w:rPr>
                    <w:t> </w:t>
                  </w:r>
                </w:p>
              </w:tc>
              <w:tc>
                <w:tcPr>
                  <w:tcW w:w="915" w:type="dxa"/>
                  <w:tcBorders>
                    <w:top w:val="nil"/>
                    <w:left w:val="nil"/>
                    <w:bottom w:val="single" w:sz="6" w:space="0" w:color="auto"/>
                    <w:right w:val="single" w:sz="6" w:space="0" w:color="auto"/>
                  </w:tcBorders>
                  <w:vAlign w:val="bottom"/>
                  <w:hideMark/>
                </w:tcPr>
                <w:p w14:paraId="5512BED1"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1,04</w:t>
                  </w:r>
                  <w:r w:rsidRPr="009D74A3">
                    <w:rPr>
                      <w:rStyle w:val="eop"/>
                      <w:color w:val="000000"/>
                      <w:sz w:val="18"/>
                      <w:szCs w:val="18"/>
                    </w:rPr>
                    <w:t> </w:t>
                  </w:r>
                </w:p>
              </w:tc>
            </w:tr>
            <w:tr w:rsidR="009D74A3" w:rsidRPr="009D74A3" w14:paraId="66CF7F21" w14:textId="77777777" w:rsidTr="00740130">
              <w:trPr>
                <w:trHeight w:val="285"/>
                <w:jc w:val="center"/>
              </w:trPr>
              <w:tc>
                <w:tcPr>
                  <w:tcW w:w="1275" w:type="dxa"/>
                  <w:tcBorders>
                    <w:top w:val="nil"/>
                    <w:left w:val="single" w:sz="6" w:space="0" w:color="auto"/>
                    <w:bottom w:val="single" w:sz="6" w:space="0" w:color="auto"/>
                    <w:right w:val="single" w:sz="6" w:space="0" w:color="auto"/>
                  </w:tcBorders>
                  <w:vAlign w:val="center"/>
                  <w:hideMark/>
                </w:tcPr>
                <w:p w14:paraId="707D50DE"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$ 1.415</w:t>
                  </w:r>
                  <w:r w:rsidRPr="009D74A3">
                    <w:rPr>
                      <w:rStyle w:val="eop"/>
                      <w:color w:val="000000"/>
                      <w:sz w:val="18"/>
                      <w:szCs w:val="18"/>
                    </w:rPr>
                    <w:t> </w:t>
                  </w:r>
                </w:p>
              </w:tc>
              <w:tc>
                <w:tcPr>
                  <w:tcW w:w="825" w:type="dxa"/>
                  <w:tcBorders>
                    <w:top w:val="nil"/>
                    <w:left w:val="nil"/>
                    <w:bottom w:val="single" w:sz="6" w:space="0" w:color="auto"/>
                    <w:right w:val="single" w:sz="6" w:space="0" w:color="auto"/>
                  </w:tcBorders>
                  <w:vAlign w:val="center"/>
                  <w:hideMark/>
                </w:tcPr>
                <w:p w14:paraId="129445B8"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$ 1.597</w:t>
                  </w:r>
                  <w:r w:rsidRPr="009D74A3">
                    <w:rPr>
                      <w:rStyle w:val="eop"/>
                      <w:color w:val="000000"/>
                      <w:sz w:val="18"/>
                      <w:szCs w:val="18"/>
                    </w:rPr>
                    <w:t> </w:t>
                  </w:r>
                </w:p>
              </w:tc>
              <w:tc>
                <w:tcPr>
                  <w:tcW w:w="1290" w:type="dxa"/>
                  <w:tcBorders>
                    <w:top w:val="nil"/>
                    <w:left w:val="nil"/>
                    <w:bottom w:val="single" w:sz="6" w:space="0" w:color="auto"/>
                    <w:right w:val="single" w:sz="6" w:space="0" w:color="auto"/>
                  </w:tcBorders>
                  <w:vAlign w:val="bottom"/>
                  <w:hideMark/>
                </w:tcPr>
                <w:p w14:paraId="5D435B10"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$ 13,6</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bottom"/>
                  <w:hideMark/>
                </w:tcPr>
                <w:p w14:paraId="7C096FFE"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$ 13,7</w:t>
                  </w:r>
                  <w:r w:rsidRPr="009D74A3">
                    <w:rPr>
                      <w:rStyle w:val="eop"/>
                      <w:color w:val="000000"/>
                      <w:sz w:val="18"/>
                      <w:szCs w:val="18"/>
                    </w:rPr>
                    <w:t> </w:t>
                  </w:r>
                </w:p>
              </w:tc>
              <w:tc>
                <w:tcPr>
                  <w:tcW w:w="1080" w:type="dxa"/>
                  <w:tcBorders>
                    <w:top w:val="nil"/>
                    <w:left w:val="nil"/>
                    <w:bottom w:val="single" w:sz="6" w:space="0" w:color="auto"/>
                    <w:right w:val="single" w:sz="6" w:space="0" w:color="auto"/>
                  </w:tcBorders>
                  <w:vAlign w:val="bottom"/>
                  <w:hideMark/>
                </w:tcPr>
                <w:p w14:paraId="111A54CB"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$ 14,3</w:t>
                  </w:r>
                  <w:r w:rsidRPr="009D74A3">
                    <w:rPr>
                      <w:rStyle w:val="eop"/>
                      <w:color w:val="000000"/>
                      <w:sz w:val="18"/>
                      <w:szCs w:val="18"/>
                    </w:rPr>
                    <w:t> </w:t>
                  </w:r>
                </w:p>
              </w:tc>
              <w:tc>
                <w:tcPr>
                  <w:tcW w:w="915" w:type="dxa"/>
                  <w:tcBorders>
                    <w:top w:val="nil"/>
                    <w:left w:val="nil"/>
                    <w:bottom w:val="single" w:sz="6" w:space="0" w:color="auto"/>
                    <w:right w:val="single" w:sz="6" w:space="0" w:color="auto"/>
                  </w:tcBorders>
                  <w:vAlign w:val="bottom"/>
                  <w:hideMark/>
                </w:tcPr>
                <w:p w14:paraId="3A33AA6A"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1,00</w:t>
                  </w:r>
                  <w:r w:rsidRPr="009D74A3">
                    <w:rPr>
                      <w:rStyle w:val="eop"/>
                      <w:color w:val="000000"/>
                      <w:sz w:val="18"/>
                      <w:szCs w:val="18"/>
                    </w:rPr>
                    <w:t> </w:t>
                  </w:r>
                </w:p>
              </w:tc>
              <w:tc>
                <w:tcPr>
                  <w:tcW w:w="915" w:type="dxa"/>
                  <w:tcBorders>
                    <w:top w:val="nil"/>
                    <w:left w:val="nil"/>
                    <w:bottom w:val="single" w:sz="6" w:space="0" w:color="auto"/>
                    <w:right w:val="single" w:sz="6" w:space="0" w:color="auto"/>
                  </w:tcBorders>
                  <w:vAlign w:val="bottom"/>
                  <w:hideMark/>
                </w:tcPr>
                <w:p w14:paraId="6B1D86F6"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1,05</w:t>
                  </w:r>
                  <w:r w:rsidRPr="009D74A3">
                    <w:rPr>
                      <w:rStyle w:val="eop"/>
                      <w:color w:val="000000"/>
                      <w:sz w:val="18"/>
                      <w:szCs w:val="18"/>
                    </w:rPr>
                    <w:t> </w:t>
                  </w:r>
                </w:p>
              </w:tc>
            </w:tr>
            <w:tr w:rsidR="009D74A3" w:rsidRPr="009D74A3" w14:paraId="66E965BA" w14:textId="77777777" w:rsidTr="00740130">
              <w:trPr>
                <w:trHeight w:val="285"/>
                <w:jc w:val="center"/>
              </w:trPr>
              <w:tc>
                <w:tcPr>
                  <w:tcW w:w="1275" w:type="dxa"/>
                  <w:tcBorders>
                    <w:top w:val="nil"/>
                    <w:left w:val="single" w:sz="6" w:space="0" w:color="auto"/>
                    <w:bottom w:val="single" w:sz="6" w:space="0" w:color="auto"/>
                    <w:right w:val="single" w:sz="6" w:space="0" w:color="auto"/>
                  </w:tcBorders>
                  <w:vAlign w:val="center"/>
                  <w:hideMark/>
                </w:tcPr>
                <w:p w14:paraId="414D0741"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$ 1.598</w:t>
                  </w:r>
                  <w:r w:rsidRPr="009D74A3">
                    <w:rPr>
                      <w:rStyle w:val="eop"/>
                      <w:color w:val="000000"/>
                      <w:sz w:val="18"/>
                      <w:szCs w:val="18"/>
                    </w:rPr>
                    <w:t> </w:t>
                  </w:r>
                </w:p>
              </w:tc>
              <w:tc>
                <w:tcPr>
                  <w:tcW w:w="825" w:type="dxa"/>
                  <w:tcBorders>
                    <w:top w:val="nil"/>
                    <w:left w:val="nil"/>
                    <w:bottom w:val="single" w:sz="6" w:space="0" w:color="auto"/>
                    <w:right w:val="single" w:sz="6" w:space="0" w:color="auto"/>
                  </w:tcBorders>
                  <w:vAlign w:val="center"/>
                  <w:hideMark/>
                </w:tcPr>
                <w:p w14:paraId="431C2287"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$ 2.146</w:t>
                  </w:r>
                  <w:r w:rsidRPr="009D74A3">
                    <w:rPr>
                      <w:rStyle w:val="eop"/>
                      <w:color w:val="000000"/>
                      <w:sz w:val="18"/>
                      <w:szCs w:val="18"/>
                    </w:rPr>
                    <w:t> </w:t>
                  </w:r>
                </w:p>
              </w:tc>
              <w:tc>
                <w:tcPr>
                  <w:tcW w:w="1290" w:type="dxa"/>
                  <w:tcBorders>
                    <w:top w:val="nil"/>
                    <w:left w:val="nil"/>
                    <w:bottom w:val="single" w:sz="6" w:space="0" w:color="auto"/>
                    <w:right w:val="single" w:sz="6" w:space="0" w:color="auto"/>
                  </w:tcBorders>
                  <w:vAlign w:val="bottom"/>
                  <w:hideMark/>
                </w:tcPr>
                <w:p w14:paraId="29656DAF"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$ 18,4</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bottom"/>
                  <w:hideMark/>
                </w:tcPr>
                <w:p w14:paraId="332DA7D8"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$ 16,8</w:t>
                  </w:r>
                  <w:r w:rsidRPr="009D74A3">
                    <w:rPr>
                      <w:rStyle w:val="eop"/>
                      <w:color w:val="000000"/>
                      <w:sz w:val="18"/>
                      <w:szCs w:val="18"/>
                    </w:rPr>
                    <w:t> </w:t>
                  </w:r>
                </w:p>
              </w:tc>
              <w:tc>
                <w:tcPr>
                  <w:tcW w:w="1080" w:type="dxa"/>
                  <w:tcBorders>
                    <w:top w:val="nil"/>
                    <w:left w:val="nil"/>
                    <w:bottom w:val="single" w:sz="6" w:space="0" w:color="auto"/>
                    <w:right w:val="single" w:sz="6" w:space="0" w:color="auto"/>
                  </w:tcBorders>
                  <w:vAlign w:val="bottom"/>
                  <w:hideMark/>
                </w:tcPr>
                <w:p w14:paraId="798CD811"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$ 17,7</w:t>
                  </w:r>
                  <w:r w:rsidRPr="009D74A3">
                    <w:rPr>
                      <w:rStyle w:val="eop"/>
                      <w:color w:val="000000"/>
                      <w:sz w:val="18"/>
                      <w:szCs w:val="18"/>
                    </w:rPr>
                    <w:t> </w:t>
                  </w:r>
                </w:p>
              </w:tc>
              <w:tc>
                <w:tcPr>
                  <w:tcW w:w="915" w:type="dxa"/>
                  <w:tcBorders>
                    <w:top w:val="nil"/>
                    <w:left w:val="nil"/>
                    <w:bottom w:val="single" w:sz="6" w:space="0" w:color="auto"/>
                    <w:right w:val="single" w:sz="6" w:space="0" w:color="auto"/>
                  </w:tcBorders>
                  <w:shd w:val="clear" w:color="auto" w:fill="FFC000"/>
                  <w:vAlign w:val="bottom"/>
                  <w:hideMark/>
                </w:tcPr>
                <w:p w14:paraId="2B49F2C6"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0,92</w:t>
                  </w:r>
                  <w:r w:rsidRPr="009D74A3">
                    <w:rPr>
                      <w:rStyle w:val="eop"/>
                      <w:color w:val="000000"/>
                      <w:sz w:val="18"/>
                      <w:szCs w:val="18"/>
                    </w:rPr>
                    <w:t> </w:t>
                  </w:r>
                </w:p>
              </w:tc>
              <w:tc>
                <w:tcPr>
                  <w:tcW w:w="915" w:type="dxa"/>
                  <w:tcBorders>
                    <w:top w:val="nil"/>
                    <w:left w:val="nil"/>
                    <w:bottom w:val="single" w:sz="6" w:space="0" w:color="auto"/>
                    <w:right w:val="single" w:sz="6" w:space="0" w:color="auto"/>
                  </w:tcBorders>
                  <w:shd w:val="clear" w:color="auto" w:fill="FFC000"/>
                  <w:vAlign w:val="bottom"/>
                  <w:hideMark/>
                </w:tcPr>
                <w:p w14:paraId="4EF34D4D"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0,96</w:t>
                  </w:r>
                  <w:r w:rsidRPr="009D74A3">
                    <w:rPr>
                      <w:rStyle w:val="eop"/>
                      <w:color w:val="000000"/>
                      <w:sz w:val="18"/>
                      <w:szCs w:val="18"/>
                    </w:rPr>
                    <w:t> </w:t>
                  </w:r>
                </w:p>
              </w:tc>
            </w:tr>
            <w:tr w:rsidR="009D74A3" w:rsidRPr="009D74A3" w14:paraId="5E899CD3" w14:textId="77777777" w:rsidTr="00740130">
              <w:trPr>
                <w:trHeight w:val="285"/>
                <w:jc w:val="center"/>
              </w:trPr>
              <w:tc>
                <w:tcPr>
                  <w:tcW w:w="1275" w:type="dxa"/>
                  <w:tcBorders>
                    <w:top w:val="nil"/>
                    <w:left w:val="single" w:sz="6" w:space="0" w:color="auto"/>
                    <w:bottom w:val="single" w:sz="6" w:space="0" w:color="auto"/>
                    <w:right w:val="single" w:sz="6" w:space="0" w:color="auto"/>
                  </w:tcBorders>
                  <w:vAlign w:val="center"/>
                  <w:hideMark/>
                </w:tcPr>
                <w:p w14:paraId="22F079D9"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$ 2.147</w:t>
                  </w:r>
                  <w:r w:rsidRPr="009D74A3">
                    <w:rPr>
                      <w:rStyle w:val="eop"/>
                      <w:color w:val="000000"/>
                      <w:sz w:val="18"/>
                      <w:szCs w:val="18"/>
                    </w:rPr>
                    <w:t> </w:t>
                  </w:r>
                </w:p>
              </w:tc>
              <w:tc>
                <w:tcPr>
                  <w:tcW w:w="825" w:type="dxa"/>
                  <w:tcBorders>
                    <w:top w:val="nil"/>
                    <w:left w:val="nil"/>
                    <w:bottom w:val="single" w:sz="6" w:space="0" w:color="auto"/>
                    <w:right w:val="single" w:sz="6" w:space="0" w:color="auto"/>
                  </w:tcBorders>
                  <w:vAlign w:val="center"/>
                  <w:hideMark/>
                </w:tcPr>
                <w:p w14:paraId="7E7F352C"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$ 3.465</w:t>
                  </w:r>
                  <w:r w:rsidRPr="009D74A3">
                    <w:rPr>
                      <w:rStyle w:val="eop"/>
                      <w:color w:val="000000"/>
                      <w:sz w:val="18"/>
                      <w:szCs w:val="18"/>
                    </w:rPr>
                    <w:t> </w:t>
                  </w:r>
                </w:p>
              </w:tc>
              <w:tc>
                <w:tcPr>
                  <w:tcW w:w="1290" w:type="dxa"/>
                  <w:tcBorders>
                    <w:top w:val="nil"/>
                    <w:left w:val="nil"/>
                    <w:bottom w:val="single" w:sz="6" w:space="0" w:color="auto"/>
                    <w:right w:val="single" w:sz="6" w:space="0" w:color="auto"/>
                  </w:tcBorders>
                  <w:vAlign w:val="bottom"/>
                  <w:hideMark/>
                </w:tcPr>
                <w:p w14:paraId="7127D3CA"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$ 28,7</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bottom"/>
                  <w:hideMark/>
                </w:tcPr>
                <w:p w14:paraId="1FF4E17F"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$ 24,7</w:t>
                  </w:r>
                  <w:r w:rsidRPr="009D74A3">
                    <w:rPr>
                      <w:rStyle w:val="eop"/>
                      <w:color w:val="000000"/>
                      <w:sz w:val="18"/>
                      <w:szCs w:val="18"/>
                    </w:rPr>
                    <w:t> </w:t>
                  </w:r>
                </w:p>
              </w:tc>
              <w:tc>
                <w:tcPr>
                  <w:tcW w:w="1080" w:type="dxa"/>
                  <w:tcBorders>
                    <w:top w:val="nil"/>
                    <w:left w:val="nil"/>
                    <w:bottom w:val="single" w:sz="6" w:space="0" w:color="auto"/>
                    <w:right w:val="single" w:sz="6" w:space="0" w:color="auto"/>
                  </w:tcBorders>
                  <w:vAlign w:val="bottom"/>
                  <w:hideMark/>
                </w:tcPr>
                <w:p w14:paraId="107B9B62"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$ 26,3</w:t>
                  </w:r>
                  <w:r w:rsidRPr="009D74A3">
                    <w:rPr>
                      <w:rStyle w:val="eop"/>
                      <w:color w:val="000000"/>
                      <w:sz w:val="18"/>
                      <w:szCs w:val="18"/>
                    </w:rPr>
                    <w:t> </w:t>
                  </w:r>
                </w:p>
              </w:tc>
              <w:tc>
                <w:tcPr>
                  <w:tcW w:w="915" w:type="dxa"/>
                  <w:tcBorders>
                    <w:top w:val="nil"/>
                    <w:left w:val="nil"/>
                    <w:bottom w:val="single" w:sz="6" w:space="0" w:color="auto"/>
                    <w:right w:val="single" w:sz="6" w:space="0" w:color="auto"/>
                  </w:tcBorders>
                  <w:shd w:val="clear" w:color="auto" w:fill="FFC000"/>
                  <w:vAlign w:val="bottom"/>
                  <w:hideMark/>
                </w:tcPr>
                <w:p w14:paraId="7104B4B2"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0,86</w:t>
                  </w:r>
                  <w:r w:rsidRPr="009D74A3">
                    <w:rPr>
                      <w:rStyle w:val="eop"/>
                      <w:color w:val="000000"/>
                      <w:sz w:val="18"/>
                      <w:szCs w:val="18"/>
                    </w:rPr>
                    <w:t> </w:t>
                  </w:r>
                </w:p>
              </w:tc>
              <w:tc>
                <w:tcPr>
                  <w:tcW w:w="915" w:type="dxa"/>
                  <w:tcBorders>
                    <w:top w:val="nil"/>
                    <w:left w:val="nil"/>
                    <w:bottom w:val="single" w:sz="6" w:space="0" w:color="auto"/>
                    <w:right w:val="single" w:sz="6" w:space="0" w:color="auto"/>
                  </w:tcBorders>
                  <w:shd w:val="clear" w:color="auto" w:fill="FFC000"/>
                  <w:vAlign w:val="bottom"/>
                  <w:hideMark/>
                </w:tcPr>
                <w:p w14:paraId="5C951669"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0,92</w:t>
                  </w:r>
                  <w:r w:rsidRPr="009D74A3">
                    <w:rPr>
                      <w:rStyle w:val="eop"/>
                      <w:color w:val="000000"/>
                      <w:sz w:val="18"/>
                      <w:szCs w:val="18"/>
                    </w:rPr>
                    <w:t> </w:t>
                  </w:r>
                </w:p>
              </w:tc>
            </w:tr>
            <w:tr w:rsidR="009D74A3" w:rsidRPr="009D74A3" w14:paraId="2C27B242" w14:textId="77777777" w:rsidTr="00740130">
              <w:trPr>
                <w:trHeight w:val="285"/>
                <w:jc w:val="center"/>
              </w:trPr>
              <w:tc>
                <w:tcPr>
                  <w:tcW w:w="1275" w:type="dxa"/>
                  <w:tcBorders>
                    <w:top w:val="nil"/>
                    <w:left w:val="single" w:sz="6" w:space="0" w:color="auto"/>
                    <w:bottom w:val="single" w:sz="6" w:space="0" w:color="auto"/>
                    <w:right w:val="single" w:sz="6" w:space="0" w:color="auto"/>
                  </w:tcBorders>
                  <w:vAlign w:val="center"/>
                  <w:hideMark/>
                </w:tcPr>
                <w:p w14:paraId="60522CF5"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$ 3.466</w:t>
                  </w:r>
                  <w:r w:rsidRPr="009D74A3">
                    <w:rPr>
                      <w:rStyle w:val="eop"/>
                      <w:color w:val="000000"/>
                      <w:sz w:val="18"/>
                      <w:szCs w:val="18"/>
                    </w:rPr>
                    <w:t> </w:t>
                  </w:r>
                </w:p>
              </w:tc>
              <w:tc>
                <w:tcPr>
                  <w:tcW w:w="825" w:type="dxa"/>
                  <w:tcBorders>
                    <w:top w:val="nil"/>
                    <w:left w:val="nil"/>
                    <w:bottom w:val="single" w:sz="6" w:space="0" w:color="auto"/>
                    <w:right w:val="single" w:sz="6" w:space="0" w:color="auto"/>
                  </w:tcBorders>
                  <w:vAlign w:val="center"/>
                  <w:hideMark/>
                </w:tcPr>
                <w:p w14:paraId="4B9398D5"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$ 6.387</w:t>
                  </w:r>
                  <w:r w:rsidRPr="009D74A3">
                    <w:rPr>
                      <w:rStyle w:val="eop"/>
                      <w:color w:val="000000"/>
                      <w:sz w:val="18"/>
                      <w:szCs w:val="18"/>
                    </w:rPr>
                    <w:t> </w:t>
                  </w:r>
                </w:p>
              </w:tc>
              <w:tc>
                <w:tcPr>
                  <w:tcW w:w="1290" w:type="dxa"/>
                  <w:tcBorders>
                    <w:top w:val="nil"/>
                    <w:left w:val="nil"/>
                    <w:bottom w:val="single" w:sz="6" w:space="0" w:color="auto"/>
                    <w:right w:val="single" w:sz="6" w:space="0" w:color="auto"/>
                  </w:tcBorders>
                  <w:vAlign w:val="bottom"/>
                  <w:hideMark/>
                </w:tcPr>
                <w:p w14:paraId="785AF772"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$ 50,1</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bottom"/>
                  <w:hideMark/>
                </w:tcPr>
                <w:p w14:paraId="54D3C8F9"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$ 42,3</w:t>
                  </w:r>
                  <w:r w:rsidRPr="009D74A3">
                    <w:rPr>
                      <w:rStyle w:val="eop"/>
                      <w:color w:val="000000"/>
                      <w:sz w:val="18"/>
                      <w:szCs w:val="18"/>
                    </w:rPr>
                    <w:t> </w:t>
                  </w:r>
                </w:p>
              </w:tc>
              <w:tc>
                <w:tcPr>
                  <w:tcW w:w="1080" w:type="dxa"/>
                  <w:tcBorders>
                    <w:top w:val="nil"/>
                    <w:left w:val="nil"/>
                    <w:bottom w:val="single" w:sz="6" w:space="0" w:color="auto"/>
                    <w:right w:val="single" w:sz="6" w:space="0" w:color="auto"/>
                  </w:tcBorders>
                  <w:vAlign w:val="bottom"/>
                  <w:hideMark/>
                </w:tcPr>
                <w:p w14:paraId="5BD1DC56"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$ 44,7</w:t>
                  </w:r>
                  <w:r w:rsidRPr="009D74A3">
                    <w:rPr>
                      <w:rStyle w:val="eop"/>
                      <w:color w:val="000000"/>
                      <w:sz w:val="18"/>
                      <w:szCs w:val="18"/>
                    </w:rPr>
                    <w:t> </w:t>
                  </w:r>
                </w:p>
              </w:tc>
              <w:tc>
                <w:tcPr>
                  <w:tcW w:w="915" w:type="dxa"/>
                  <w:tcBorders>
                    <w:top w:val="nil"/>
                    <w:left w:val="nil"/>
                    <w:bottom w:val="single" w:sz="6" w:space="0" w:color="auto"/>
                    <w:right w:val="single" w:sz="6" w:space="0" w:color="auto"/>
                  </w:tcBorders>
                  <w:shd w:val="clear" w:color="auto" w:fill="FFC000"/>
                  <w:vAlign w:val="bottom"/>
                  <w:hideMark/>
                </w:tcPr>
                <w:p w14:paraId="1CFEADF4"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0,84</w:t>
                  </w:r>
                  <w:r w:rsidRPr="009D74A3">
                    <w:rPr>
                      <w:rStyle w:val="eop"/>
                      <w:color w:val="000000"/>
                      <w:sz w:val="18"/>
                      <w:szCs w:val="18"/>
                    </w:rPr>
                    <w:t> </w:t>
                  </w:r>
                </w:p>
              </w:tc>
              <w:tc>
                <w:tcPr>
                  <w:tcW w:w="915" w:type="dxa"/>
                  <w:tcBorders>
                    <w:top w:val="nil"/>
                    <w:left w:val="nil"/>
                    <w:bottom w:val="single" w:sz="6" w:space="0" w:color="auto"/>
                    <w:right w:val="single" w:sz="6" w:space="0" w:color="auto"/>
                  </w:tcBorders>
                  <w:shd w:val="clear" w:color="auto" w:fill="FFC000"/>
                  <w:vAlign w:val="bottom"/>
                  <w:hideMark/>
                </w:tcPr>
                <w:p w14:paraId="716433E4"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0,89</w:t>
                  </w:r>
                  <w:r w:rsidRPr="009D74A3">
                    <w:rPr>
                      <w:rStyle w:val="eop"/>
                      <w:color w:val="000000"/>
                      <w:sz w:val="18"/>
                      <w:szCs w:val="18"/>
                    </w:rPr>
                    <w:t> </w:t>
                  </w:r>
                </w:p>
              </w:tc>
            </w:tr>
            <w:tr w:rsidR="009D74A3" w:rsidRPr="009D74A3" w14:paraId="6D3686B1" w14:textId="77777777" w:rsidTr="00740130">
              <w:trPr>
                <w:trHeight w:val="285"/>
                <w:jc w:val="center"/>
              </w:trPr>
              <w:tc>
                <w:tcPr>
                  <w:tcW w:w="1275" w:type="dxa"/>
                  <w:tcBorders>
                    <w:top w:val="nil"/>
                    <w:left w:val="single" w:sz="6" w:space="0" w:color="auto"/>
                    <w:bottom w:val="single" w:sz="6" w:space="0" w:color="auto"/>
                    <w:right w:val="single" w:sz="6" w:space="0" w:color="auto"/>
                  </w:tcBorders>
                  <w:vAlign w:val="center"/>
                  <w:hideMark/>
                </w:tcPr>
                <w:p w14:paraId="09EE4E58"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$ 6.388</w:t>
                  </w:r>
                  <w:r w:rsidRPr="009D74A3">
                    <w:rPr>
                      <w:rStyle w:val="eop"/>
                      <w:color w:val="000000"/>
                      <w:sz w:val="18"/>
                      <w:szCs w:val="18"/>
                    </w:rPr>
                    <w:t> </w:t>
                  </w:r>
                </w:p>
              </w:tc>
              <w:tc>
                <w:tcPr>
                  <w:tcW w:w="825" w:type="dxa"/>
                  <w:tcBorders>
                    <w:top w:val="nil"/>
                    <w:left w:val="nil"/>
                    <w:bottom w:val="single" w:sz="6" w:space="0" w:color="auto"/>
                    <w:right w:val="single" w:sz="6" w:space="0" w:color="auto"/>
                  </w:tcBorders>
                  <w:vAlign w:val="center"/>
                  <w:hideMark/>
                </w:tcPr>
                <w:p w14:paraId="16403A92"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$ 9.789</w:t>
                  </w:r>
                  <w:r w:rsidRPr="009D74A3">
                    <w:rPr>
                      <w:rStyle w:val="eop"/>
                      <w:color w:val="000000"/>
                      <w:sz w:val="18"/>
                      <w:szCs w:val="18"/>
                    </w:rPr>
                    <w:t> </w:t>
                  </w:r>
                </w:p>
              </w:tc>
              <w:tc>
                <w:tcPr>
                  <w:tcW w:w="1290" w:type="dxa"/>
                  <w:tcBorders>
                    <w:top w:val="nil"/>
                    <w:left w:val="nil"/>
                    <w:bottom w:val="single" w:sz="6" w:space="0" w:color="auto"/>
                    <w:right w:val="single" w:sz="6" w:space="0" w:color="auto"/>
                  </w:tcBorders>
                  <w:vAlign w:val="bottom"/>
                  <w:hideMark/>
                </w:tcPr>
                <w:p w14:paraId="3913BA26"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$ 80,6</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bottom"/>
                  <w:hideMark/>
                </w:tcPr>
                <w:p w14:paraId="44D905BE"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$ 70,7</w:t>
                  </w:r>
                  <w:r w:rsidRPr="009D74A3">
                    <w:rPr>
                      <w:rStyle w:val="eop"/>
                      <w:color w:val="000000"/>
                      <w:sz w:val="18"/>
                      <w:szCs w:val="18"/>
                    </w:rPr>
                    <w:t> </w:t>
                  </w:r>
                </w:p>
              </w:tc>
              <w:tc>
                <w:tcPr>
                  <w:tcW w:w="1080" w:type="dxa"/>
                  <w:tcBorders>
                    <w:top w:val="nil"/>
                    <w:left w:val="nil"/>
                    <w:bottom w:val="single" w:sz="6" w:space="0" w:color="auto"/>
                    <w:right w:val="single" w:sz="6" w:space="0" w:color="auto"/>
                  </w:tcBorders>
                  <w:vAlign w:val="bottom"/>
                  <w:hideMark/>
                </w:tcPr>
                <w:p w14:paraId="54BE1DDE"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$ 77,8</w:t>
                  </w:r>
                  <w:r w:rsidRPr="009D74A3">
                    <w:rPr>
                      <w:rStyle w:val="eop"/>
                      <w:color w:val="000000"/>
                      <w:sz w:val="18"/>
                      <w:szCs w:val="18"/>
                    </w:rPr>
                    <w:t> </w:t>
                  </w:r>
                </w:p>
              </w:tc>
              <w:tc>
                <w:tcPr>
                  <w:tcW w:w="915" w:type="dxa"/>
                  <w:tcBorders>
                    <w:top w:val="nil"/>
                    <w:left w:val="nil"/>
                    <w:bottom w:val="single" w:sz="6" w:space="0" w:color="auto"/>
                    <w:right w:val="single" w:sz="6" w:space="0" w:color="auto"/>
                  </w:tcBorders>
                  <w:shd w:val="clear" w:color="auto" w:fill="FFC000"/>
                  <w:vAlign w:val="bottom"/>
                  <w:hideMark/>
                </w:tcPr>
                <w:p w14:paraId="1C8CB14E"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0,88</w:t>
                  </w:r>
                  <w:r w:rsidRPr="009D74A3">
                    <w:rPr>
                      <w:rStyle w:val="eop"/>
                      <w:color w:val="000000"/>
                      <w:sz w:val="18"/>
                      <w:szCs w:val="18"/>
                    </w:rPr>
                    <w:t> </w:t>
                  </w:r>
                </w:p>
              </w:tc>
              <w:tc>
                <w:tcPr>
                  <w:tcW w:w="915" w:type="dxa"/>
                  <w:tcBorders>
                    <w:top w:val="nil"/>
                    <w:left w:val="nil"/>
                    <w:bottom w:val="single" w:sz="6" w:space="0" w:color="auto"/>
                    <w:right w:val="single" w:sz="6" w:space="0" w:color="auto"/>
                  </w:tcBorders>
                  <w:shd w:val="clear" w:color="auto" w:fill="FFC000"/>
                  <w:vAlign w:val="bottom"/>
                  <w:hideMark/>
                </w:tcPr>
                <w:p w14:paraId="5C7AC724"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0,96</w:t>
                  </w:r>
                  <w:r w:rsidRPr="009D74A3">
                    <w:rPr>
                      <w:rStyle w:val="eop"/>
                      <w:color w:val="000000"/>
                      <w:sz w:val="18"/>
                      <w:szCs w:val="18"/>
                    </w:rPr>
                    <w:t> </w:t>
                  </w:r>
                </w:p>
              </w:tc>
            </w:tr>
            <w:tr w:rsidR="009D74A3" w:rsidRPr="009D74A3" w14:paraId="6CE2F036" w14:textId="77777777" w:rsidTr="00740130">
              <w:trPr>
                <w:trHeight w:val="285"/>
                <w:jc w:val="center"/>
              </w:trPr>
              <w:tc>
                <w:tcPr>
                  <w:tcW w:w="1275" w:type="dxa"/>
                  <w:tcBorders>
                    <w:top w:val="nil"/>
                    <w:left w:val="single" w:sz="6" w:space="0" w:color="auto"/>
                    <w:bottom w:val="single" w:sz="6" w:space="0" w:color="auto"/>
                    <w:right w:val="single" w:sz="6" w:space="0" w:color="auto"/>
                  </w:tcBorders>
                  <w:vAlign w:val="center"/>
                  <w:hideMark/>
                </w:tcPr>
                <w:p w14:paraId="5FDA339A"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&gt;9.789</w:t>
                  </w:r>
                  <w:r w:rsidRPr="009D74A3">
                    <w:rPr>
                      <w:rStyle w:val="eop"/>
                      <w:color w:val="000000"/>
                      <w:sz w:val="18"/>
                      <w:szCs w:val="18"/>
                    </w:rPr>
                    <w:t> </w:t>
                  </w:r>
                </w:p>
              </w:tc>
              <w:tc>
                <w:tcPr>
                  <w:tcW w:w="825" w:type="dxa"/>
                  <w:tcBorders>
                    <w:top w:val="nil"/>
                    <w:left w:val="nil"/>
                    <w:bottom w:val="single" w:sz="6" w:space="0" w:color="auto"/>
                    <w:right w:val="single" w:sz="6" w:space="0" w:color="auto"/>
                  </w:tcBorders>
                  <w:vAlign w:val="center"/>
                  <w:hideMark/>
                </w:tcPr>
                <w:p w14:paraId="50FA8C29" w14:textId="77777777" w:rsidR="009D74A3" w:rsidRPr="009D74A3" w:rsidRDefault="009D74A3" w:rsidP="009D74A3">
                  <w:pPr>
                    <w:pStyle w:val="paragraph"/>
                    <w:spacing w:before="0" w:beforeAutospacing="0" w:after="0" w:afterAutospacing="0"/>
                    <w:jc w:val="center"/>
                    <w:textAlignment w:val="baseline"/>
                  </w:pPr>
                  <w:r w:rsidRPr="009D74A3">
                    <w:rPr>
                      <w:rStyle w:val="eop"/>
                      <w:color w:val="000000"/>
                      <w:sz w:val="18"/>
                      <w:szCs w:val="18"/>
                    </w:rPr>
                    <w:t> </w:t>
                  </w:r>
                </w:p>
              </w:tc>
              <w:tc>
                <w:tcPr>
                  <w:tcW w:w="1290" w:type="dxa"/>
                  <w:tcBorders>
                    <w:top w:val="nil"/>
                    <w:left w:val="nil"/>
                    <w:bottom w:val="single" w:sz="6" w:space="0" w:color="auto"/>
                    <w:right w:val="single" w:sz="6" w:space="0" w:color="auto"/>
                  </w:tcBorders>
                  <w:vAlign w:val="bottom"/>
                  <w:hideMark/>
                </w:tcPr>
                <w:p w14:paraId="36DFEC58"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$ 263,4</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bottom"/>
                  <w:hideMark/>
                </w:tcPr>
                <w:p w14:paraId="477AB194"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$ 245,4</w:t>
                  </w:r>
                  <w:r w:rsidRPr="009D74A3">
                    <w:rPr>
                      <w:rStyle w:val="eop"/>
                      <w:color w:val="000000"/>
                      <w:sz w:val="18"/>
                      <w:szCs w:val="18"/>
                    </w:rPr>
                    <w:t> </w:t>
                  </w:r>
                </w:p>
              </w:tc>
              <w:tc>
                <w:tcPr>
                  <w:tcW w:w="1080" w:type="dxa"/>
                  <w:tcBorders>
                    <w:top w:val="nil"/>
                    <w:left w:val="nil"/>
                    <w:bottom w:val="single" w:sz="6" w:space="0" w:color="auto"/>
                    <w:right w:val="single" w:sz="6" w:space="0" w:color="auto"/>
                  </w:tcBorders>
                  <w:vAlign w:val="bottom"/>
                  <w:hideMark/>
                </w:tcPr>
                <w:p w14:paraId="48FB4ACA"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$ 287,7</w:t>
                  </w:r>
                  <w:r w:rsidRPr="009D74A3">
                    <w:rPr>
                      <w:rStyle w:val="eop"/>
                      <w:color w:val="000000"/>
                      <w:sz w:val="18"/>
                      <w:szCs w:val="18"/>
                    </w:rPr>
                    <w:t> </w:t>
                  </w:r>
                </w:p>
              </w:tc>
              <w:tc>
                <w:tcPr>
                  <w:tcW w:w="915" w:type="dxa"/>
                  <w:tcBorders>
                    <w:top w:val="nil"/>
                    <w:left w:val="nil"/>
                    <w:bottom w:val="single" w:sz="6" w:space="0" w:color="auto"/>
                    <w:right w:val="single" w:sz="6" w:space="0" w:color="auto"/>
                  </w:tcBorders>
                  <w:shd w:val="clear" w:color="auto" w:fill="FFC000"/>
                  <w:vAlign w:val="bottom"/>
                  <w:hideMark/>
                </w:tcPr>
                <w:p w14:paraId="6B7100EB"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0,93</w:t>
                  </w:r>
                  <w:r w:rsidRPr="009D74A3">
                    <w:rPr>
                      <w:rStyle w:val="eop"/>
                      <w:color w:val="000000"/>
                      <w:sz w:val="18"/>
                      <w:szCs w:val="18"/>
                    </w:rPr>
                    <w:t> </w:t>
                  </w:r>
                </w:p>
              </w:tc>
              <w:tc>
                <w:tcPr>
                  <w:tcW w:w="915" w:type="dxa"/>
                  <w:tcBorders>
                    <w:top w:val="nil"/>
                    <w:left w:val="nil"/>
                    <w:bottom w:val="single" w:sz="6" w:space="0" w:color="auto"/>
                    <w:right w:val="single" w:sz="6" w:space="0" w:color="auto"/>
                  </w:tcBorders>
                  <w:vAlign w:val="bottom"/>
                  <w:hideMark/>
                </w:tcPr>
                <w:p w14:paraId="693D39E5"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1,09</w:t>
                  </w:r>
                  <w:r w:rsidRPr="009D74A3">
                    <w:rPr>
                      <w:rStyle w:val="eop"/>
                      <w:color w:val="000000"/>
                      <w:sz w:val="18"/>
                      <w:szCs w:val="18"/>
                    </w:rPr>
                    <w:t> </w:t>
                  </w:r>
                </w:p>
              </w:tc>
            </w:tr>
          </w:tbl>
          <w:p w14:paraId="592648A4" w14:textId="77777777" w:rsidR="009D74A3" w:rsidRPr="009D74A3" w:rsidRDefault="009D74A3" w:rsidP="009D74A3">
            <w:pPr>
              <w:pStyle w:val="paragraph"/>
              <w:spacing w:before="0" w:beforeAutospacing="0" w:after="0" w:afterAutospacing="0"/>
              <w:ind w:firstLine="1200"/>
              <w:textAlignment w:val="baseline"/>
              <w:rPr>
                <w:sz w:val="32"/>
                <w:szCs w:val="32"/>
              </w:rPr>
            </w:pPr>
            <w:r w:rsidRPr="009D74A3">
              <w:rPr>
                <w:rStyle w:val="normaltextrun"/>
                <w:rFonts w:ascii="Times New Roman" w:hAnsi="Times New Roman" w:cs="Times New Roman"/>
                <w:b/>
                <w:bCs/>
                <w:sz w:val="20"/>
                <w:szCs w:val="20"/>
              </w:rPr>
              <w:t>Fuente</w:t>
            </w:r>
            <w:r w:rsidRPr="009D74A3">
              <w:rPr>
                <w:rStyle w:val="normaltextrun"/>
                <w:rFonts w:ascii="Times New Roman" w:hAnsi="Times New Roman" w:cs="Times New Roman"/>
                <w:sz w:val="20"/>
                <w:szCs w:val="20"/>
              </w:rPr>
              <w:t>: Cálculos propios Secretaría Distrital de Hacienda</w:t>
            </w:r>
            <w:r w:rsidRPr="009D74A3">
              <w:rPr>
                <w:rStyle w:val="eop"/>
                <w:sz w:val="20"/>
                <w:szCs w:val="20"/>
              </w:rPr>
              <w:t> </w:t>
            </w:r>
          </w:p>
          <w:p w14:paraId="2CBDB3B1"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eop"/>
                <w:sz w:val="22"/>
                <w:szCs w:val="22"/>
              </w:rPr>
              <w:t> </w:t>
            </w:r>
          </w:p>
          <w:p w14:paraId="04A3474D" w14:textId="6AC170BB"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rPr>
              <w:t xml:space="preserve">La base gravable (BG) y el impuesto ajustado (IA) de los predios residenciales, comerciales e industriales presentan alta dispersión con comportamientos diferenciales en su estructura y presencia de valores atípicos tal como se observa en la </w:t>
            </w:r>
            <w:r w:rsidR="00D87D87" w:rsidRPr="00540A65">
              <w:rPr>
                <w:rStyle w:val="normaltextrun"/>
                <w:rFonts w:ascii="Times New Roman" w:hAnsi="Times New Roman" w:cs="Times New Roman"/>
                <w:b/>
                <w:bCs/>
              </w:rPr>
              <w:t xml:space="preserve">Tabla </w:t>
            </w:r>
            <w:r w:rsidR="00935EA4">
              <w:rPr>
                <w:rStyle w:val="normaltextrun"/>
                <w:rFonts w:ascii="Times New Roman" w:hAnsi="Times New Roman" w:cs="Times New Roman"/>
                <w:b/>
                <w:bCs/>
              </w:rPr>
              <w:t>13</w:t>
            </w:r>
            <w:r w:rsidRPr="009D74A3">
              <w:rPr>
                <w:rStyle w:val="normaltextrun"/>
                <w:rFonts w:ascii="Times New Roman" w:hAnsi="Times New Roman" w:cs="Times New Roman"/>
              </w:rPr>
              <w:t>. El promedio de la BG de los predios residenciales urbanos es de $231,64 millones, inferior al de los predios comerciales e industriales donde el promedio es de $740,01 y $1.505,56 millones respectivamente. Esta tendencia es similar en mediana, ya que el 50% de los predios residenciales con menor BG tienen valores inferiores a $163,5 millones y en los comerciales y residenciales es de $341,98 y $553,78 millones. </w:t>
            </w:r>
            <w:r w:rsidRPr="009D74A3">
              <w:rPr>
                <w:rStyle w:val="eop"/>
              </w:rPr>
              <w:t> </w:t>
            </w:r>
          </w:p>
          <w:p w14:paraId="06F2F8B8" w14:textId="77777777" w:rsidR="009D74A3" w:rsidRPr="009D74A3" w:rsidRDefault="009D74A3" w:rsidP="009D74A3">
            <w:pPr>
              <w:pStyle w:val="paragraph"/>
              <w:spacing w:before="0" w:beforeAutospacing="0" w:after="0" w:afterAutospacing="0"/>
              <w:ind w:left="720"/>
              <w:jc w:val="both"/>
              <w:textAlignment w:val="baseline"/>
              <w:rPr>
                <w:sz w:val="32"/>
                <w:szCs w:val="32"/>
              </w:rPr>
            </w:pPr>
            <w:r w:rsidRPr="009D74A3">
              <w:rPr>
                <w:rStyle w:val="eop"/>
              </w:rPr>
              <w:t> </w:t>
            </w:r>
          </w:p>
          <w:p w14:paraId="323C509C" w14:textId="4CF1C0BC"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rPr>
              <w:t>De igual forma, se observa que el 10% de los predios residenciales urbanos con mayor BG superan los $420,7 millones lo representan el 48,98% del impuesto, mientras que el 10% de los predios comerciales se ubican en avalúos superiores a $1.291,6 millones lo que conlleva una participación en el de su agrupación del 55%, por su parte el 10% inmuebles industriales con mayor BG inician en avalúos de $2.1971 millones aportando el 63% del impuesto de este grupo</w:t>
            </w:r>
            <w:r w:rsidR="00540A65">
              <w:rPr>
                <w:rStyle w:val="normaltextrun"/>
                <w:rFonts w:ascii="Times New Roman" w:hAnsi="Times New Roman" w:cs="Times New Roman"/>
              </w:rPr>
              <w:t xml:space="preserve"> (</w:t>
            </w:r>
            <w:r w:rsidR="00540A65" w:rsidRPr="00540A65">
              <w:rPr>
                <w:rStyle w:val="normaltextrun"/>
                <w:rFonts w:ascii="Times New Roman" w:hAnsi="Times New Roman" w:cs="Times New Roman"/>
                <w:b/>
                <w:bCs/>
              </w:rPr>
              <w:t xml:space="preserve">Tabla </w:t>
            </w:r>
            <w:r w:rsidR="00AC4B9A">
              <w:rPr>
                <w:rStyle w:val="normaltextrun"/>
                <w:rFonts w:ascii="Times New Roman" w:hAnsi="Times New Roman" w:cs="Times New Roman"/>
                <w:b/>
                <w:bCs/>
              </w:rPr>
              <w:t>13</w:t>
            </w:r>
            <w:r w:rsidR="00540A65">
              <w:rPr>
                <w:rStyle w:val="normaltextrun"/>
                <w:rFonts w:ascii="Times New Roman" w:hAnsi="Times New Roman" w:cs="Times New Roman"/>
              </w:rPr>
              <w:t>)</w:t>
            </w:r>
            <w:r w:rsidRPr="009D74A3">
              <w:rPr>
                <w:rStyle w:val="normaltextrun"/>
                <w:rFonts w:ascii="Times New Roman" w:hAnsi="Times New Roman" w:cs="Times New Roman"/>
              </w:rPr>
              <w:t>. </w:t>
            </w:r>
            <w:r w:rsidRPr="009D74A3">
              <w:rPr>
                <w:rStyle w:val="eop"/>
              </w:rPr>
              <w:t> </w:t>
            </w:r>
          </w:p>
          <w:p w14:paraId="4EED3920"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eop"/>
              </w:rPr>
              <w:t> </w:t>
            </w:r>
          </w:p>
          <w:p w14:paraId="7DB57343" w14:textId="1F3E19B0" w:rsidR="009D74A3" w:rsidRPr="009D74A3" w:rsidRDefault="009D74A3" w:rsidP="009D74A3">
            <w:pPr>
              <w:pStyle w:val="paragraph"/>
              <w:spacing w:before="0" w:beforeAutospacing="0" w:after="0" w:afterAutospacing="0"/>
              <w:jc w:val="center"/>
              <w:textAlignment w:val="baseline"/>
              <w:rPr>
                <w:sz w:val="32"/>
                <w:szCs w:val="32"/>
              </w:rPr>
            </w:pPr>
            <w:r w:rsidRPr="009D74A3">
              <w:rPr>
                <w:rStyle w:val="normaltextrun"/>
                <w:rFonts w:ascii="Times New Roman" w:hAnsi="Times New Roman" w:cs="Times New Roman"/>
                <w:b/>
                <w:bCs/>
              </w:rPr>
              <w:t xml:space="preserve">Tabla </w:t>
            </w:r>
            <w:r w:rsidR="00AC4B9A">
              <w:rPr>
                <w:rStyle w:val="normaltextrun"/>
                <w:rFonts w:ascii="Times New Roman" w:hAnsi="Times New Roman" w:cs="Times New Roman"/>
                <w:b/>
                <w:bCs/>
              </w:rPr>
              <w:t>13</w:t>
            </w:r>
            <w:r w:rsidRPr="009D74A3">
              <w:rPr>
                <w:rStyle w:val="eop"/>
              </w:rPr>
              <w:t> </w:t>
            </w:r>
          </w:p>
          <w:p w14:paraId="3513CE19" w14:textId="67929F63"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Resumen estadístico de la base gravable (BG) y el impuesto ajustado (IA) en millones de pesos (M), de los predios residenciales, comerciales e industriales – 2024 </w:t>
            </w:r>
            <w:r w:rsidRPr="009D74A3">
              <w:rPr>
                <w:rStyle w:val="eop"/>
                <w:i/>
                <w:iCs/>
              </w:rPr>
              <w:t> </w:t>
            </w:r>
          </w:p>
          <w:tbl>
            <w:tblPr>
              <w:tblW w:w="0" w:type="dxa"/>
              <w:jc w:val="center"/>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575"/>
              <w:gridCol w:w="1605"/>
              <w:gridCol w:w="1485"/>
              <w:gridCol w:w="1275"/>
              <w:gridCol w:w="1545"/>
            </w:tblGrid>
            <w:tr w:rsidR="0058759F" w:rsidRPr="009D74A3" w14:paraId="6B65EBE0" w14:textId="77777777" w:rsidTr="00B64FFB">
              <w:trPr>
                <w:trHeight w:val="285"/>
                <w:jc w:val="center"/>
              </w:trPr>
              <w:tc>
                <w:tcPr>
                  <w:tcW w:w="1575" w:type="dxa"/>
                  <w:vMerge w:val="restart"/>
                  <w:tcBorders>
                    <w:top w:val="single" w:sz="6" w:space="0" w:color="auto"/>
                    <w:left w:val="single" w:sz="6" w:space="0" w:color="auto"/>
                    <w:bottom w:val="single" w:sz="6" w:space="0" w:color="auto"/>
                    <w:right w:val="single" w:sz="6" w:space="0" w:color="auto"/>
                  </w:tcBorders>
                  <w:shd w:val="clear" w:color="auto" w:fill="002060"/>
                  <w:vAlign w:val="center"/>
                  <w:hideMark/>
                </w:tcPr>
                <w:p w14:paraId="53D65931"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b/>
                      <w:bCs/>
                      <w:color w:val="FFFFFF"/>
                      <w:sz w:val="18"/>
                      <w:szCs w:val="18"/>
                    </w:rPr>
                    <w:t>Estadística</w:t>
                  </w:r>
                  <w:r w:rsidRPr="009D74A3">
                    <w:rPr>
                      <w:rStyle w:val="eop"/>
                      <w:color w:val="FFFFFF"/>
                      <w:sz w:val="18"/>
                      <w:szCs w:val="18"/>
                    </w:rPr>
                    <w:t> </w:t>
                  </w:r>
                </w:p>
              </w:tc>
              <w:tc>
                <w:tcPr>
                  <w:tcW w:w="5910" w:type="dxa"/>
                  <w:gridSpan w:val="4"/>
                  <w:tcBorders>
                    <w:top w:val="single" w:sz="6" w:space="0" w:color="auto"/>
                    <w:left w:val="nil"/>
                    <w:bottom w:val="single" w:sz="6" w:space="0" w:color="auto"/>
                    <w:right w:val="single" w:sz="6" w:space="0" w:color="auto"/>
                  </w:tcBorders>
                  <w:shd w:val="clear" w:color="auto" w:fill="002060"/>
                  <w:vAlign w:val="center"/>
                  <w:hideMark/>
                </w:tcPr>
                <w:p w14:paraId="61288AE9"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b/>
                      <w:bCs/>
                      <w:color w:val="FFFFFF"/>
                      <w:sz w:val="18"/>
                      <w:szCs w:val="18"/>
                    </w:rPr>
                    <w:t>Destino Hacendario</w:t>
                  </w:r>
                  <w:r w:rsidRPr="009D74A3">
                    <w:rPr>
                      <w:rStyle w:val="eop"/>
                      <w:color w:val="FFFFFF"/>
                      <w:sz w:val="18"/>
                      <w:szCs w:val="18"/>
                    </w:rPr>
                    <w:t> </w:t>
                  </w:r>
                </w:p>
              </w:tc>
            </w:tr>
            <w:tr w:rsidR="004A4D81" w:rsidRPr="009D74A3" w14:paraId="2D8F0437" w14:textId="77777777" w:rsidTr="00B64FFB">
              <w:trPr>
                <w:trHeight w:val="285"/>
                <w:jc w:val="center"/>
              </w:trPr>
              <w:tc>
                <w:tcPr>
                  <w:tcW w:w="1575" w:type="dxa"/>
                  <w:vMerge/>
                  <w:tcBorders>
                    <w:top w:val="single" w:sz="6" w:space="0" w:color="auto"/>
                    <w:left w:val="single" w:sz="6" w:space="0" w:color="auto"/>
                    <w:bottom w:val="single" w:sz="6" w:space="0" w:color="auto"/>
                    <w:right w:val="single" w:sz="6" w:space="0" w:color="auto"/>
                  </w:tcBorders>
                  <w:vAlign w:val="center"/>
                  <w:hideMark/>
                </w:tcPr>
                <w:p w14:paraId="4016EB68" w14:textId="77777777" w:rsidR="009D74A3" w:rsidRPr="009D74A3" w:rsidRDefault="009D74A3" w:rsidP="009D74A3">
                  <w:pPr>
                    <w:rPr>
                      <w:rFonts w:ascii="Times New Roman" w:hAnsi="Times New Roman" w:cs="Times New Roman"/>
                      <w:sz w:val="24"/>
                      <w:szCs w:val="24"/>
                    </w:rPr>
                  </w:pPr>
                </w:p>
              </w:tc>
              <w:tc>
                <w:tcPr>
                  <w:tcW w:w="1605" w:type="dxa"/>
                  <w:tcBorders>
                    <w:top w:val="nil"/>
                    <w:left w:val="nil"/>
                    <w:bottom w:val="single" w:sz="6" w:space="0" w:color="auto"/>
                    <w:right w:val="single" w:sz="6" w:space="0" w:color="auto"/>
                  </w:tcBorders>
                  <w:shd w:val="clear" w:color="auto" w:fill="002060"/>
                  <w:vAlign w:val="center"/>
                  <w:hideMark/>
                </w:tcPr>
                <w:p w14:paraId="4A51D883"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b/>
                      <w:bCs/>
                      <w:color w:val="FFFFFF"/>
                      <w:sz w:val="18"/>
                      <w:szCs w:val="18"/>
                    </w:rPr>
                    <w:t>Comerciales</w:t>
                  </w:r>
                  <w:r w:rsidRPr="009D74A3">
                    <w:rPr>
                      <w:rStyle w:val="eop"/>
                      <w:color w:val="FFFFFF"/>
                      <w:sz w:val="18"/>
                      <w:szCs w:val="18"/>
                    </w:rPr>
                    <w:t> </w:t>
                  </w:r>
                </w:p>
              </w:tc>
              <w:tc>
                <w:tcPr>
                  <w:tcW w:w="1485" w:type="dxa"/>
                  <w:tcBorders>
                    <w:top w:val="nil"/>
                    <w:left w:val="nil"/>
                    <w:bottom w:val="single" w:sz="6" w:space="0" w:color="auto"/>
                    <w:right w:val="single" w:sz="6" w:space="0" w:color="auto"/>
                  </w:tcBorders>
                  <w:shd w:val="clear" w:color="auto" w:fill="002060"/>
                  <w:vAlign w:val="center"/>
                  <w:hideMark/>
                </w:tcPr>
                <w:p w14:paraId="40EBEA5D"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b/>
                      <w:bCs/>
                      <w:color w:val="FFFFFF"/>
                      <w:sz w:val="18"/>
                      <w:szCs w:val="18"/>
                    </w:rPr>
                    <w:t>Industriales</w:t>
                  </w:r>
                  <w:r w:rsidRPr="009D74A3">
                    <w:rPr>
                      <w:rStyle w:val="eop"/>
                      <w:color w:val="FFFFFF"/>
                      <w:sz w:val="18"/>
                      <w:szCs w:val="18"/>
                    </w:rPr>
                    <w:t> </w:t>
                  </w:r>
                </w:p>
              </w:tc>
              <w:tc>
                <w:tcPr>
                  <w:tcW w:w="1275" w:type="dxa"/>
                  <w:tcBorders>
                    <w:top w:val="nil"/>
                    <w:left w:val="nil"/>
                    <w:bottom w:val="single" w:sz="6" w:space="0" w:color="auto"/>
                    <w:right w:val="single" w:sz="6" w:space="0" w:color="auto"/>
                  </w:tcBorders>
                  <w:shd w:val="clear" w:color="auto" w:fill="002060"/>
                  <w:vAlign w:val="center"/>
                  <w:hideMark/>
                </w:tcPr>
                <w:p w14:paraId="358AC448"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b/>
                      <w:bCs/>
                      <w:color w:val="FFFFFF"/>
                      <w:sz w:val="18"/>
                      <w:szCs w:val="18"/>
                    </w:rPr>
                    <w:t>Res. Rural</w:t>
                  </w:r>
                  <w:r w:rsidRPr="009D74A3">
                    <w:rPr>
                      <w:rStyle w:val="eop"/>
                      <w:color w:val="FFFFFF"/>
                      <w:sz w:val="18"/>
                      <w:szCs w:val="18"/>
                    </w:rPr>
                    <w:t> </w:t>
                  </w:r>
                </w:p>
              </w:tc>
              <w:tc>
                <w:tcPr>
                  <w:tcW w:w="1530" w:type="dxa"/>
                  <w:tcBorders>
                    <w:top w:val="nil"/>
                    <w:left w:val="nil"/>
                    <w:bottom w:val="single" w:sz="6" w:space="0" w:color="auto"/>
                    <w:right w:val="single" w:sz="6" w:space="0" w:color="auto"/>
                  </w:tcBorders>
                  <w:shd w:val="clear" w:color="auto" w:fill="002060"/>
                  <w:vAlign w:val="center"/>
                  <w:hideMark/>
                </w:tcPr>
                <w:p w14:paraId="2798D779"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b/>
                      <w:bCs/>
                      <w:color w:val="FFFFFF"/>
                      <w:sz w:val="18"/>
                      <w:szCs w:val="18"/>
                    </w:rPr>
                    <w:t>Res. Urbano</w:t>
                  </w:r>
                  <w:r w:rsidRPr="009D74A3">
                    <w:rPr>
                      <w:rStyle w:val="eop"/>
                      <w:color w:val="FFFFFF"/>
                      <w:sz w:val="18"/>
                      <w:szCs w:val="18"/>
                    </w:rPr>
                    <w:t> </w:t>
                  </w:r>
                </w:p>
              </w:tc>
            </w:tr>
            <w:tr w:rsidR="009D74A3" w:rsidRPr="009D74A3" w14:paraId="0D33DBDE" w14:textId="77777777" w:rsidTr="00740130">
              <w:trPr>
                <w:trHeight w:val="285"/>
                <w:jc w:val="center"/>
              </w:trPr>
              <w:tc>
                <w:tcPr>
                  <w:tcW w:w="1575" w:type="dxa"/>
                  <w:tcBorders>
                    <w:top w:val="nil"/>
                    <w:left w:val="single" w:sz="6" w:space="0" w:color="auto"/>
                    <w:bottom w:val="single" w:sz="6" w:space="0" w:color="auto"/>
                    <w:right w:val="single" w:sz="6" w:space="0" w:color="auto"/>
                  </w:tcBorders>
                  <w:vAlign w:val="center"/>
                  <w:hideMark/>
                </w:tcPr>
                <w:p w14:paraId="62A181DA"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Numero de predios</w:t>
                  </w:r>
                  <w:r w:rsidRPr="009D74A3">
                    <w:rPr>
                      <w:rStyle w:val="eop"/>
                      <w:color w:val="000000"/>
                      <w:sz w:val="18"/>
                      <w:szCs w:val="18"/>
                    </w:rPr>
                    <w:t> </w:t>
                  </w:r>
                </w:p>
              </w:tc>
              <w:tc>
                <w:tcPr>
                  <w:tcW w:w="1605" w:type="dxa"/>
                  <w:tcBorders>
                    <w:top w:val="nil"/>
                    <w:left w:val="nil"/>
                    <w:bottom w:val="single" w:sz="6" w:space="0" w:color="auto"/>
                    <w:right w:val="single" w:sz="6" w:space="0" w:color="auto"/>
                  </w:tcBorders>
                  <w:vAlign w:val="center"/>
                  <w:hideMark/>
                </w:tcPr>
                <w:p w14:paraId="68FF7A29"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286.234</w:t>
                  </w:r>
                  <w:r w:rsidRPr="009D74A3">
                    <w:rPr>
                      <w:rStyle w:val="eop"/>
                      <w:color w:val="000000"/>
                      <w:sz w:val="18"/>
                      <w:szCs w:val="18"/>
                    </w:rPr>
                    <w:t> </w:t>
                  </w:r>
                </w:p>
              </w:tc>
              <w:tc>
                <w:tcPr>
                  <w:tcW w:w="1485" w:type="dxa"/>
                  <w:tcBorders>
                    <w:top w:val="nil"/>
                    <w:left w:val="nil"/>
                    <w:bottom w:val="single" w:sz="6" w:space="0" w:color="auto"/>
                    <w:right w:val="single" w:sz="6" w:space="0" w:color="auto"/>
                  </w:tcBorders>
                  <w:vAlign w:val="center"/>
                  <w:hideMark/>
                </w:tcPr>
                <w:p w14:paraId="2BFE5B4D"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12.233</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center"/>
                  <w:hideMark/>
                </w:tcPr>
                <w:p w14:paraId="58015BBC"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42.581</w:t>
                  </w:r>
                  <w:r w:rsidRPr="009D74A3">
                    <w:rPr>
                      <w:rStyle w:val="eop"/>
                      <w:color w:val="000000"/>
                      <w:sz w:val="18"/>
                      <w:szCs w:val="18"/>
                    </w:rPr>
                    <w:t> </w:t>
                  </w:r>
                </w:p>
              </w:tc>
              <w:tc>
                <w:tcPr>
                  <w:tcW w:w="1530" w:type="dxa"/>
                  <w:tcBorders>
                    <w:top w:val="nil"/>
                    <w:left w:val="nil"/>
                    <w:bottom w:val="single" w:sz="6" w:space="0" w:color="auto"/>
                    <w:right w:val="single" w:sz="6" w:space="0" w:color="auto"/>
                  </w:tcBorders>
                  <w:vAlign w:val="center"/>
                  <w:hideMark/>
                </w:tcPr>
                <w:p w14:paraId="47290F11"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1.749.106</w:t>
                  </w:r>
                  <w:r w:rsidRPr="009D74A3">
                    <w:rPr>
                      <w:rStyle w:val="eop"/>
                      <w:color w:val="000000"/>
                      <w:sz w:val="18"/>
                      <w:szCs w:val="18"/>
                    </w:rPr>
                    <w:t> </w:t>
                  </w:r>
                </w:p>
              </w:tc>
            </w:tr>
            <w:tr w:rsidR="009D74A3" w:rsidRPr="009D74A3" w14:paraId="4A5EFF81" w14:textId="77777777" w:rsidTr="00740130">
              <w:trPr>
                <w:trHeight w:val="285"/>
                <w:jc w:val="center"/>
              </w:trPr>
              <w:tc>
                <w:tcPr>
                  <w:tcW w:w="1575" w:type="dxa"/>
                  <w:tcBorders>
                    <w:top w:val="nil"/>
                    <w:left w:val="single" w:sz="6" w:space="0" w:color="auto"/>
                    <w:bottom w:val="single" w:sz="6" w:space="0" w:color="auto"/>
                    <w:right w:val="single" w:sz="6" w:space="0" w:color="auto"/>
                  </w:tcBorders>
                  <w:vAlign w:val="center"/>
                  <w:hideMark/>
                </w:tcPr>
                <w:p w14:paraId="19867B37"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Promedio BG</w:t>
                  </w:r>
                  <w:r w:rsidRPr="009D74A3">
                    <w:rPr>
                      <w:rStyle w:val="eop"/>
                      <w:color w:val="000000"/>
                      <w:sz w:val="18"/>
                      <w:szCs w:val="18"/>
                    </w:rPr>
                    <w:t> </w:t>
                  </w:r>
                </w:p>
              </w:tc>
              <w:tc>
                <w:tcPr>
                  <w:tcW w:w="1605" w:type="dxa"/>
                  <w:tcBorders>
                    <w:top w:val="nil"/>
                    <w:left w:val="nil"/>
                    <w:bottom w:val="single" w:sz="6" w:space="0" w:color="auto"/>
                    <w:right w:val="single" w:sz="6" w:space="0" w:color="auto"/>
                  </w:tcBorders>
                  <w:vAlign w:val="center"/>
                  <w:hideMark/>
                </w:tcPr>
                <w:p w14:paraId="57319CDC"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$ 740,01</w:t>
                  </w:r>
                  <w:r w:rsidRPr="009D74A3">
                    <w:rPr>
                      <w:rStyle w:val="eop"/>
                      <w:color w:val="000000"/>
                      <w:sz w:val="18"/>
                      <w:szCs w:val="18"/>
                    </w:rPr>
                    <w:t> </w:t>
                  </w:r>
                </w:p>
              </w:tc>
              <w:tc>
                <w:tcPr>
                  <w:tcW w:w="1485" w:type="dxa"/>
                  <w:tcBorders>
                    <w:top w:val="nil"/>
                    <w:left w:val="nil"/>
                    <w:bottom w:val="single" w:sz="6" w:space="0" w:color="auto"/>
                    <w:right w:val="single" w:sz="6" w:space="0" w:color="auto"/>
                  </w:tcBorders>
                  <w:vAlign w:val="center"/>
                  <w:hideMark/>
                </w:tcPr>
                <w:p w14:paraId="255B8063"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$ 1.505,56</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center"/>
                  <w:hideMark/>
                </w:tcPr>
                <w:p w14:paraId="42590EFC"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$ 110,78</w:t>
                  </w:r>
                  <w:r w:rsidRPr="009D74A3">
                    <w:rPr>
                      <w:rStyle w:val="eop"/>
                      <w:color w:val="000000"/>
                      <w:sz w:val="18"/>
                      <w:szCs w:val="18"/>
                    </w:rPr>
                    <w:t> </w:t>
                  </w:r>
                </w:p>
              </w:tc>
              <w:tc>
                <w:tcPr>
                  <w:tcW w:w="1530" w:type="dxa"/>
                  <w:tcBorders>
                    <w:top w:val="nil"/>
                    <w:left w:val="nil"/>
                    <w:bottom w:val="single" w:sz="6" w:space="0" w:color="auto"/>
                    <w:right w:val="single" w:sz="6" w:space="0" w:color="auto"/>
                  </w:tcBorders>
                  <w:vAlign w:val="center"/>
                  <w:hideMark/>
                </w:tcPr>
                <w:p w14:paraId="6DA0BC26"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$ 231,64</w:t>
                  </w:r>
                  <w:r w:rsidRPr="009D74A3">
                    <w:rPr>
                      <w:rStyle w:val="eop"/>
                      <w:color w:val="000000"/>
                      <w:sz w:val="18"/>
                      <w:szCs w:val="18"/>
                    </w:rPr>
                    <w:t> </w:t>
                  </w:r>
                </w:p>
              </w:tc>
            </w:tr>
            <w:tr w:rsidR="009D74A3" w:rsidRPr="009D74A3" w14:paraId="128ABC71" w14:textId="77777777" w:rsidTr="00740130">
              <w:trPr>
                <w:trHeight w:val="285"/>
                <w:jc w:val="center"/>
              </w:trPr>
              <w:tc>
                <w:tcPr>
                  <w:tcW w:w="1575" w:type="dxa"/>
                  <w:tcBorders>
                    <w:top w:val="nil"/>
                    <w:left w:val="single" w:sz="6" w:space="0" w:color="auto"/>
                    <w:bottom w:val="single" w:sz="6" w:space="0" w:color="auto"/>
                    <w:right w:val="single" w:sz="6" w:space="0" w:color="auto"/>
                  </w:tcBorders>
                  <w:vAlign w:val="center"/>
                  <w:hideMark/>
                </w:tcPr>
                <w:p w14:paraId="397CE1E3"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Mínima BG</w:t>
                  </w:r>
                  <w:r w:rsidRPr="009D74A3">
                    <w:rPr>
                      <w:rStyle w:val="eop"/>
                      <w:color w:val="000000"/>
                      <w:sz w:val="18"/>
                      <w:szCs w:val="18"/>
                    </w:rPr>
                    <w:t> </w:t>
                  </w:r>
                </w:p>
              </w:tc>
              <w:tc>
                <w:tcPr>
                  <w:tcW w:w="1605" w:type="dxa"/>
                  <w:tcBorders>
                    <w:top w:val="nil"/>
                    <w:left w:val="nil"/>
                    <w:bottom w:val="single" w:sz="6" w:space="0" w:color="auto"/>
                    <w:right w:val="single" w:sz="6" w:space="0" w:color="auto"/>
                  </w:tcBorders>
                  <w:vAlign w:val="center"/>
                  <w:hideMark/>
                </w:tcPr>
                <w:p w14:paraId="06F29C22"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$ 0,55</w:t>
                  </w:r>
                  <w:r w:rsidRPr="009D74A3">
                    <w:rPr>
                      <w:rStyle w:val="eop"/>
                      <w:color w:val="000000"/>
                      <w:sz w:val="18"/>
                      <w:szCs w:val="18"/>
                    </w:rPr>
                    <w:t> </w:t>
                  </w:r>
                </w:p>
              </w:tc>
              <w:tc>
                <w:tcPr>
                  <w:tcW w:w="1485" w:type="dxa"/>
                  <w:tcBorders>
                    <w:top w:val="nil"/>
                    <w:left w:val="nil"/>
                    <w:bottom w:val="single" w:sz="6" w:space="0" w:color="auto"/>
                    <w:right w:val="single" w:sz="6" w:space="0" w:color="auto"/>
                  </w:tcBorders>
                  <w:vAlign w:val="center"/>
                  <w:hideMark/>
                </w:tcPr>
                <w:p w14:paraId="245C6F96"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$ 0,00</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center"/>
                  <w:hideMark/>
                </w:tcPr>
                <w:p w14:paraId="09319FEB"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$ 0,16</w:t>
                  </w:r>
                  <w:r w:rsidRPr="009D74A3">
                    <w:rPr>
                      <w:rStyle w:val="eop"/>
                      <w:color w:val="000000"/>
                      <w:sz w:val="18"/>
                      <w:szCs w:val="18"/>
                    </w:rPr>
                    <w:t> </w:t>
                  </w:r>
                </w:p>
              </w:tc>
              <w:tc>
                <w:tcPr>
                  <w:tcW w:w="1530" w:type="dxa"/>
                  <w:tcBorders>
                    <w:top w:val="nil"/>
                    <w:left w:val="nil"/>
                    <w:bottom w:val="single" w:sz="6" w:space="0" w:color="auto"/>
                    <w:right w:val="single" w:sz="6" w:space="0" w:color="auto"/>
                  </w:tcBorders>
                  <w:vAlign w:val="center"/>
                  <w:hideMark/>
                </w:tcPr>
                <w:p w14:paraId="4FD0A65A"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$ 0,14</w:t>
                  </w:r>
                  <w:r w:rsidRPr="009D74A3">
                    <w:rPr>
                      <w:rStyle w:val="eop"/>
                      <w:color w:val="000000"/>
                      <w:sz w:val="18"/>
                      <w:szCs w:val="18"/>
                    </w:rPr>
                    <w:t> </w:t>
                  </w:r>
                </w:p>
              </w:tc>
            </w:tr>
            <w:tr w:rsidR="009D74A3" w:rsidRPr="009D74A3" w14:paraId="2714DAF9" w14:textId="77777777" w:rsidTr="00740130">
              <w:trPr>
                <w:trHeight w:val="285"/>
                <w:jc w:val="center"/>
              </w:trPr>
              <w:tc>
                <w:tcPr>
                  <w:tcW w:w="1575" w:type="dxa"/>
                  <w:tcBorders>
                    <w:top w:val="nil"/>
                    <w:left w:val="single" w:sz="6" w:space="0" w:color="auto"/>
                    <w:bottom w:val="single" w:sz="6" w:space="0" w:color="auto"/>
                    <w:right w:val="single" w:sz="6" w:space="0" w:color="auto"/>
                  </w:tcBorders>
                  <w:vAlign w:val="center"/>
                  <w:hideMark/>
                </w:tcPr>
                <w:p w14:paraId="6F6BE42F"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Percentil 5 BG</w:t>
                  </w:r>
                  <w:r w:rsidRPr="009D74A3">
                    <w:rPr>
                      <w:rStyle w:val="eop"/>
                      <w:color w:val="000000"/>
                      <w:sz w:val="18"/>
                      <w:szCs w:val="18"/>
                    </w:rPr>
                    <w:t> </w:t>
                  </w:r>
                </w:p>
              </w:tc>
              <w:tc>
                <w:tcPr>
                  <w:tcW w:w="1605" w:type="dxa"/>
                  <w:tcBorders>
                    <w:top w:val="nil"/>
                    <w:left w:val="nil"/>
                    <w:bottom w:val="single" w:sz="6" w:space="0" w:color="auto"/>
                    <w:right w:val="single" w:sz="6" w:space="0" w:color="auto"/>
                  </w:tcBorders>
                  <w:vAlign w:val="center"/>
                  <w:hideMark/>
                </w:tcPr>
                <w:p w14:paraId="191DD491"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$ 43,89</w:t>
                  </w:r>
                  <w:r w:rsidRPr="009D74A3">
                    <w:rPr>
                      <w:rStyle w:val="eop"/>
                      <w:color w:val="000000"/>
                      <w:sz w:val="18"/>
                      <w:szCs w:val="18"/>
                    </w:rPr>
                    <w:t> </w:t>
                  </w:r>
                </w:p>
              </w:tc>
              <w:tc>
                <w:tcPr>
                  <w:tcW w:w="1485" w:type="dxa"/>
                  <w:tcBorders>
                    <w:top w:val="nil"/>
                    <w:left w:val="nil"/>
                    <w:bottom w:val="single" w:sz="6" w:space="0" w:color="auto"/>
                    <w:right w:val="single" w:sz="6" w:space="0" w:color="auto"/>
                  </w:tcBorders>
                  <w:vAlign w:val="center"/>
                  <w:hideMark/>
                </w:tcPr>
                <w:p w14:paraId="28706AF6"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$ 158,27</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center"/>
                  <w:hideMark/>
                </w:tcPr>
                <w:p w14:paraId="7BC42040"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$ 13,67</w:t>
                  </w:r>
                  <w:r w:rsidRPr="009D74A3">
                    <w:rPr>
                      <w:rStyle w:val="eop"/>
                      <w:color w:val="000000"/>
                      <w:sz w:val="18"/>
                      <w:szCs w:val="18"/>
                    </w:rPr>
                    <w:t> </w:t>
                  </w:r>
                </w:p>
              </w:tc>
              <w:tc>
                <w:tcPr>
                  <w:tcW w:w="1530" w:type="dxa"/>
                  <w:tcBorders>
                    <w:top w:val="nil"/>
                    <w:left w:val="nil"/>
                    <w:bottom w:val="single" w:sz="6" w:space="0" w:color="auto"/>
                    <w:right w:val="single" w:sz="6" w:space="0" w:color="auto"/>
                  </w:tcBorders>
                  <w:vAlign w:val="center"/>
                  <w:hideMark/>
                </w:tcPr>
                <w:p w14:paraId="2E1642FE"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$ 67,67</w:t>
                  </w:r>
                  <w:r w:rsidRPr="009D74A3">
                    <w:rPr>
                      <w:rStyle w:val="eop"/>
                      <w:color w:val="000000"/>
                      <w:sz w:val="18"/>
                      <w:szCs w:val="18"/>
                    </w:rPr>
                    <w:t> </w:t>
                  </w:r>
                </w:p>
              </w:tc>
            </w:tr>
            <w:tr w:rsidR="009D74A3" w:rsidRPr="009D74A3" w14:paraId="6D624C3B" w14:textId="77777777" w:rsidTr="00740130">
              <w:trPr>
                <w:trHeight w:val="285"/>
                <w:jc w:val="center"/>
              </w:trPr>
              <w:tc>
                <w:tcPr>
                  <w:tcW w:w="1575" w:type="dxa"/>
                  <w:tcBorders>
                    <w:top w:val="nil"/>
                    <w:left w:val="single" w:sz="6" w:space="0" w:color="auto"/>
                    <w:bottom w:val="single" w:sz="6" w:space="0" w:color="auto"/>
                    <w:right w:val="single" w:sz="6" w:space="0" w:color="auto"/>
                  </w:tcBorders>
                  <w:vAlign w:val="center"/>
                  <w:hideMark/>
                </w:tcPr>
                <w:p w14:paraId="66214DFC"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Percentil 10 BG</w:t>
                  </w:r>
                  <w:r w:rsidRPr="009D74A3">
                    <w:rPr>
                      <w:rStyle w:val="eop"/>
                      <w:color w:val="000000"/>
                      <w:sz w:val="18"/>
                      <w:szCs w:val="18"/>
                    </w:rPr>
                    <w:t> </w:t>
                  </w:r>
                </w:p>
              </w:tc>
              <w:tc>
                <w:tcPr>
                  <w:tcW w:w="1605" w:type="dxa"/>
                  <w:tcBorders>
                    <w:top w:val="nil"/>
                    <w:left w:val="nil"/>
                    <w:bottom w:val="single" w:sz="6" w:space="0" w:color="auto"/>
                    <w:right w:val="single" w:sz="6" w:space="0" w:color="auto"/>
                  </w:tcBorders>
                  <w:vAlign w:val="center"/>
                  <w:hideMark/>
                </w:tcPr>
                <w:p w14:paraId="26B999FC"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$ 77,17</w:t>
                  </w:r>
                  <w:r w:rsidRPr="009D74A3">
                    <w:rPr>
                      <w:rStyle w:val="eop"/>
                      <w:color w:val="000000"/>
                      <w:sz w:val="18"/>
                      <w:szCs w:val="18"/>
                    </w:rPr>
                    <w:t> </w:t>
                  </w:r>
                </w:p>
              </w:tc>
              <w:tc>
                <w:tcPr>
                  <w:tcW w:w="1485" w:type="dxa"/>
                  <w:tcBorders>
                    <w:top w:val="nil"/>
                    <w:left w:val="nil"/>
                    <w:bottom w:val="single" w:sz="6" w:space="0" w:color="auto"/>
                    <w:right w:val="single" w:sz="6" w:space="0" w:color="auto"/>
                  </w:tcBorders>
                  <w:vAlign w:val="center"/>
                  <w:hideMark/>
                </w:tcPr>
                <w:p w14:paraId="39551F6E"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$ 210,21</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center"/>
                  <w:hideMark/>
                </w:tcPr>
                <w:p w14:paraId="11A3925C"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$ 32,80</w:t>
                  </w:r>
                  <w:r w:rsidRPr="009D74A3">
                    <w:rPr>
                      <w:rStyle w:val="eop"/>
                      <w:color w:val="000000"/>
                      <w:sz w:val="18"/>
                      <w:szCs w:val="18"/>
                    </w:rPr>
                    <w:t> </w:t>
                  </w:r>
                </w:p>
              </w:tc>
              <w:tc>
                <w:tcPr>
                  <w:tcW w:w="1530" w:type="dxa"/>
                  <w:tcBorders>
                    <w:top w:val="nil"/>
                    <w:left w:val="nil"/>
                    <w:bottom w:val="single" w:sz="6" w:space="0" w:color="auto"/>
                    <w:right w:val="single" w:sz="6" w:space="0" w:color="auto"/>
                  </w:tcBorders>
                  <w:vAlign w:val="center"/>
                  <w:hideMark/>
                </w:tcPr>
                <w:p w14:paraId="4B328D44"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$ 80,74</w:t>
                  </w:r>
                  <w:r w:rsidRPr="009D74A3">
                    <w:rPr>
                      <w:rStyle w:val="eop"/>
                      <w:color w:val="000000"/>
                      <w:sz w:val="18"/>
                      <w:szCs w:val="18"/>
                    </w:rPr>
                    <w:t> </w:t>
                  </w:r>
                </w:p>
              </w:tc>
            </w:tr>
            <w:tr w:rsidR="009D74A3" w:rsidRPr="009D74A3" w14:paraId="627E616B" w14:textId="77777777" w:rsidTr="00740130">
              <w:trPr>
                <w:trHeight w:val="285"/>
                <w:jc w:val="center"/>
              </w:trPr>
              <w:tc>
                <w:tcPr>
                  <w:tcW w:w="1575" w:type="dxa"/>
                  <w:tcBorders>
                    <w:top w:val="nil"/>
                    <w:left w:val="single" w:sz="6" w:space="0" w:color="auto"/>
                    <w:bottom w:val="single" w:sz="6" w:space="0" w:color="auto"/>
                    <w:right w:val="single" w:sz="6" w:space="0" w:color="auto"/>
                  </w:tcBorders>
                  <w:vAlign w:val="center"/>
                  <w:hideMark/>
                </w:tcPr>
                <w:p w14:paraId="6F136E2A"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Percentil 25 BG</w:t>
                  </w:r>
                  <w:r w:rsidRPr="009D74A3">
                    <w:rPr>
                      <w:rStyle w:val="eop"/>
                      <w:color w:val="000000"/>
                      <w:sz w:val="18"/>
                      <w:szCs w:val="18"/>
                    </w:rPr>
                    <w:t> </w:t>
                  </w:r>
                </w:p>
              </w:tc>
              <w:tc>
                <w:tcPr>
                  <w:tcW w:w="1605" w:type="dxa"/>
                  <w:tcBorders>
                    <w:top w:val="nil"/>
                    <w:left w:val="nil"/>
                    <w:bottom w:val="single" w:sz="6" w:space="0" w:color="auto"/>
                    <w:right w:val="single" w:sz="6" w:space="0" w:color="auto"/>
                  </w:tcBorders>
                  <w:vAlign w:val="center"/>
                  <w:hideMark/>
                </w:tcPr>
                <w:p w14:paraId="57762F7A"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$ 177,86</w:t>
                  </w:r>
                  <w:r w:rsidRPr="009D74A3">
                    <w:rPr>
                      <w:rStyle w:val="eop"/>
                      <w:color w:val="000000"/>
                      <w:sz w:val="18"/>
                      <w:szCs w:val="18"/>
                    </w:rPr>
                    <w:t> </w:t>
                  </w:r>
                </w:p>
              </w:tc>
              <w:tc>
                <w:tcPr>
                  <w:tcW w:w="1485" w:type="dxa"/>
                  <w:tcBorders>
                    <w:top w:val="nil"/>
                    <w:left w:val="nil"/>
                    <w:bottom w:val="single" w:sz="6" w:space="0" w:color="auto"/>
                    <w:right w:val="single" w:sz="6" w:space="0" w:color="auto"/>
                  </w:tcBorders>
                  <w:vAlign w:val="center"/>
                  <w:hideMark/>
                </w:tcPr>
                <w:p w14:paraId="6C083CA6"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$ 324,93</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center"/>
                  <w:hideMark/>
                </w:tcPr>
                <w:p w14:paraId="130BAAA3"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$ 69,16</w:t>
                  </w:r>
                  <w:r w:rsidRPr="009D74A3">
                    <w:rPr>
                      <w:rStyle w:val="eop"/>
                      <w:color w:val="000000"/>
                      <w:sz w:val="18"/>
                      <w:szCs w:val="18"/>
                    </w:rPr>
                    <w:t> </w:t>
                  </w:r>
                </w:p>
              </w:tc>
              <w:tc>
                <w:tcPr>
                  <w:tcW w:w="1530" w:type="dxa"/>
                  <w:tcBorders>
                    <w:top w:val="nil"/>
                    <w:left w:val="nil"/>
                    <w:bottom w:val="single" w:sz="6" w:space="0" w:color="auto"/>
                    <w:right w:val="single" w:sz="6" w:space="0" w:color="auto"/>
                  </w:tcBorders>
                  <w:vAlign w:val="center"/>
                  <w:hideMark/>
                </w:tcPr>
                <w:p w14:paraId="419DEC48"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$ 105,93</w:t>
                  </w:r>
                  <w:r w:rsidRPr="009D74A3">
                    <w:rPr>
                      <w:rStyle w:val="eop"/>
                      <w:color w:val="000000"/>
                      <w:sz w:val="18"/>
                      <w:szCs w:val="18"/>
                    </w:rPr>
                    <w:t> </w:t>
                  </w:r>
                </w:p>
              </w:tc>
            </w:tr>
            <w:tr w:rsidR="009D74A3" w:rsidRPr="009D74A3" w14:paraId="2E2EDB16" w14:textId="77777777" w:rsidTr="00740130">
              <w:trPr>
                <w:trHeight w:val="285"/>
                <w:jc w:val="center"/>
              </w:trPr>
              <w:tc>
                <w:tcPr>
                  <w:tcW w:w="1575" w:type="dxa"/>
                  <w:tcBorders>
                    <w:top w:val="nil"/>
                    <w:left w:val="single" w:sz="6" w:space="0" w:color="auto"/>
                    <w:bottom w:val="single" w:sz="6" w:space="0" w:color="auto"/>
                    <w:right w:val="single" w:sz="6" w:space="0" w:color="auto"/>
                  </w:tcBorders>
                  <w:vAlign w:val="center"/>
                  <w:hideMark/>
                </w:tcPr>
                <w:p w14:paraId="256C28DA"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Percentil 50 BG</w:t>
                  </w:r>
                  <w:r w:rsidRPr="009D74A3">
                    <w:rPr>
                      <w:rStyle w:val="eop"/>
                      <w:color w:val="000000"/>
                      <w:sz w:val="18"/>
                      <w:szCs w:val="18"/>
                    </w:rPr>
                    <w:t> </w:t>
                  </w:r>
                </w:p>
              </w:tc>
              <w:tc>
                <w:tcPr>
                  <w:tcW w:w="1605" w:type="dxa"/>
                  <w:tcBorders>
                    <w:top w:val="nil"/>
                    <w:left w:val="nil"/>
                    <w:bottom w:val="single" w:sz="6" w:space="0" w:color="auto"/>
                    <w:right w:val="single" w:sz="6" w:space="0" w:color="auto"/>
                  </w:tcBorders>
                  <w:vAlign w:val="center"/>
                  <w:hideMark/>
                </w:tcPr>
                <w:p w14:paraId="41680B03"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$ 341,98</w:t>
                  </w:r>
                  <w:r w:rsidRPr="009D74A3">
                    <w:rPr>
                      <w:rStyle w:val="eop"/>
                      <w:color w:val="000000"/>
                      <w:sz w:val="18"/>
                      <w:szCs w:val="18"/>
                    </w:rPr>
                    <w:t> </w:t>
                  </w:r>
                </w:p>
              </w:tc>
              <w:tc>
                <w:tcPr>
                  <w:tcW w:w="1485" w:type="dxa"/>
                  <w:tcBorders>
                    <w:top w:val="nil"/>
                    <w:left w:val="nil"/>
                    <w:bottom w:val="single" w:sz="6" w:space="0" w:color="auto"/>
                    <w:right w:val="single" w:sz="6" w:space="0" w:color="auto"/>
                  </w:tcBorders>
                  <w:vAlign w:val="center"/>
                  <w:hideMark/>
                </w:tcPr>
                <w:p w14:paraId="4F7B476F"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$ 553,78</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center"/>
                  <w:hideMark/>
                </w:tcPr>
                <w:p w14:paraId="477042E4"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$ 78,94</w:t>
                  </w:r>
                  <w:r w:rsidRPr="009D74A3">
                    <w:rPr>
                      <w:rStyle w:val="eop"/>
                      <w:color w:val="000000"/>
                      <w:sz w:val="18"/>
                      <w:szCs w:val="18"/>
                    </w:rPr>
                    <w:t> </w:t>
                  </w:r>
                </w:p>
              </w:tc>
              <w:tc>
                <w:tcPr>
                  <w:tcW w:w="1530" w:type="dxa"/>
                  <w:tcBorders>
                    <w:top w:val="nil"/>
                    <w:left w:val="nil"/>
                    <w:bottom w:val="single" w:sz="6" w:space="0" w:color="auto"/>
                    <w:right w:val="single" w:sz="6" w:space="0" w:color="auto"/>
                  </w:tcBorders>
                  <w:vAlign w:val="center"/>
                  <w:hideMark/>
                </w:tcPr>
                <w:p w14:paraId="38C30F4D"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$ 163,55</w:t>
                  </w:r>
                  <w:r w:rsidRPr="009D74A3">
                    <w:rPr>
                      <w:rStyle w:val="eop"/>
                      <w:color w:val="000000"/>
                      <w:sz w:val="18"/>
                      <w:szCs w:val="18"/>
                    </w:rPr>
                    <w:t> </w:t>
                  </w:r>
                </w:p>
              </w:tc>
            </w:tr>
            <w:tr w:rsidR="009D74A3" w:rsidRPr="009D74A3" w14:paraId="7E9DCB5C" w14:textId="77777777" w:rsidTr="00740130">
              <w:trPr>
                <w:trHeight w:val="285"/>
                <w:jc w:val="center"/>
              </w:trPr>
              <w:tc>
                <w:tcPr>
                  <w:tcW w:w="1575" w:type="dxa"/>
                  <w:tcBorders>
                    <w:top w:val="nil"/>
                    <w:left w:val="single" w:sz="6" w:space="0" w:color="auto"/>
                    <w:bottom w:val="single" w:sz="6" w:space="0" w:color="auto"/>
                    <w:right w:val="single" w:sz="6" w:space="0" w:color="auto"/>
                  </w:tcBorders>
                  <w:vAlign w:val="center"/>
                  <w:hideMark/>
                </w:tcPr>
                <w:p w14:paraId="569793DD"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Percentil 75 BG</w:t>
                  </w:r>
                  <w:r w:rsidRPr="009D74A3">
                    <w:rPr>
                      <w:rStyle w:val="eop"/>
                      <w:color w:val="000000"/>
                      <w:sz w:val="18"/>
                      <w:szCs w:val="18"/>
                    </w:rPr>
                    <w:t> </w:t>
                  </w:r>
                </w:p>
              </w:tc>
              <w:tc>
                <w:tcPr>
                  <w:tcW w:w="1605" w:type="dxa"/>
                  <w:tcBorders>
                    <w:top w:val="nil"/>
                    <w:left w:val="nil"/>
                    <w:bottom w:val="single" w:sz="6" w:space="0" w:color="auto"/>
                    <w:right w:val="single" w:sz="6" w:space="0" w:color="auto"/>
                  </w:tcBorders>
                  <w:vAlign w:val="center"/>
                  <w:hideMark/>
                </w:tcPr>
                <w:p w14:paraId="101059F5"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$ 659,86</w:t>
                  </w:r>
                  <w:r w:rsidRPr="009D74A3">
                    <w:rPr>
                      <w:rStyle w:val="eop"/>
                      <w:color w:val="000000"/>
                      <w:sz w:val="18"/>
                      <w:szCs w:val="18"/>
                    </w:rPr>
                    <w:t> </w:t>
                  </w:r>
                </w:p>
              </w:tc>
              <w:tc>
                <w:tcPr>
                  <w:tcW w:w="1485" w:type="dxa"/>
                  <w:tcBorders>
                    <w:top w:val="nil"/>
                    <w:left w:val="nil"/>
                    <w:bottom w:val="single" w:sz="6" w:space="0" w:color="auto"/>
                    <w:right w:val="single" w:sz="6" w:space="0" w:color="auto"/>
                  </w:tcBorders>
                  <w:vAlign w:val="center"/>
                  <w:hideMark/>
                </w:tcPr>
                <w:p w14:paraId="5E57C938"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$ 998,73</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center"/>
                  <w:hideMark/>
                </w:tcPr>
                <w:p w14:paraId="68CF528A"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$ 95,15</w:t>
                  </w:r>
                  <w:r w:rsidRPr="009D74A3">
                    <w:rPr>
                      <w:rStyle w:val="eop"/>
                      <w:color w:val="000000"/>
                      <w:sz w:val="18"/>
                      <w:szCs w:val="18"/>
                    </w:rPr>
                    <w:t> </w:t>
                  </w:r>
                </w:p>
              </w:tc>
              <w:tc>
                <w:tcPr>
                  <w:tcW w:w="1530" w:type="dxa"/>
                  <w:tcBorders>
                    <w:top w:val="nil"/>
                    <w:left w:val="nil"/>
                    <w:bottom w:val="single" w:sz="6" w:space="0" w:color="auto"/>
                    <w:right w:val="single" w:sz="6" w:space="0" w:color="auto"/>
                  </w:tcBorders>
                  <w:vAlign w:val="center"/>
                  <w:hideMark/>
                </w:tcPr>
                <w:p w14:paraId="749E793B"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$ 270,45</w:t>
                  </w:r>
                  <w:r w:rsidRPr="009D74A3">
                    <w:rPr>
                      <w:rStyle w:val="eop"/>
                      <w:color w:val="000000"/>
                      <w:sz w:val="18"/>
                      <w:szCs w:val="18"/>
                    </w:rPr>
                    <w:t> </w:t>
                  </w:r>
                </w:p>
              </w:tc>
            </w:tr>
            <w:tr w:rsidR="009D74A3" w:rsidRPr="009D74A3" w14:paraId="5F3C0EB8" w14:textId="77777777" w:rsidTr="00740130">
              <w:trPr>
                <w:trHeight w:val="285"/>
                <w:jc w:val="center"/>
              </w:trPr>
              <w:tc>
                <w:tcPr>
                  <w:tcW w:w="1575" w:type="dxa"/>
                  <w:tcBorders>
                    <w:top w:val="nil"/>
                    <w:left w:val="single" w:sz="6" w:space="0" w:color="auto"/>
                    <w:bottom w:val="single" w:sz="6" w:space="0" w:color="auto"/>
                    <w:right w:val="single" w:sz="6" w:space="0" w:color="auto"/>
                  </w:tcBorders>
                  <w:shd w:val="clear" w:color="auto" w:fill="FFC000"/>
                  <w:vAlign w:val="center"/>
                  <w:hideMark/>
                </w:tcPr>
                <w:p w14:paraId="068F7D3D"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Percentil 90 BG</w:t>
                  </w:r>
                  <w:r w:rsidRPr="009D74A3">
                    <w:rPr>
                      <w:rStyle w:val="eop"/>
                      <w:color w:val="000000"/>
                      <w:sz w:val="18"/>
                      <w:szCs w:val="18"/>
                    </w:rPr>
                    <w:t> </w:t>
                  </w:r>
                </w:p>
              </w:tc>
              <w:tc>
                <w:tcPr>
                  <w:tcW w:w="1605" w:type="dxa"/>
                  <w:tcBorders>
                    <w:top w:val="nil"/>
                    <w:left w:val="nil"/>
                    <w:bottom w:val="single" w:sz="6" w:space="0" w:color="auto"/>
                    <w:right w:val="single" w:sz="6" w:space="0" w:color="auto"/>
                  </w:tcBorders>
                  <w:shd w:val="clear" w:color="auto" w:fill="FFC000"/>
                  <w:vAlign w:val="center"/>
                  <w:hideMark/>
                </w:tcPr>
                <w:p w14:paraId="49C44787"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$ 1.291,61</w:t>
                  </w:r>
                  <w:r w:rsidRPr="009D74A3">
                    <w:rPr>
                      <w:rStyle w:val="eop"/>
                      <w:color w:val="000000"/>
                      <w:sz w:val="18"/>
                      <w:szCs w:val="18"/>
                    </w:rPr>
                    <w:t> </w:t>
                  </w:r>
                </w:p>
              </w:tc>
              <w:tc>
                <w:tcPr>
                  <w:tcW w:w="1485" w:type="dxa"/>
                  <w:tcBorders>
                    <w:top w:val="nil"/>
                    <w:left w:val="nil"/>
                    <w:bottom w:val="single" w:sz="6" w:space="0" w:color="auto"/>
                    <w:right w:val="single" w:sz="6" w:space="0" w:color="auto"/>
                  </w:tcBorders>
                  <w:shd w:val="clear" w:color="auto" w:fill="FFC000"/>
                  <w:vAlign w:val="center"/>
                  <w:hideMark/>
                </w:tcPr>
                <w:p w14:paraId="09F8F2FE"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$ 2.197,12</w:t>
                  </w:r>
                  <w:r w:rsidRPr="009D74A3">
                    <w:rPr>
                      <w:rStyle w:val="eop"/>
                      <w:color w:val="000000"/>
                      <w:sz w:val="18"/>
                      <w:szCs w:val="18"/>
                    </w:rPr>
                    <w:t> </w:t>
                  </w:r>
                </w:p>
              </w:tc>
              <w:tc>
                <w:tcPr>
                  <w:tcW w:w="1275" w:type="dxa"/>
                  <w:tcBorders>
                    <w:top w:val="nil"/>
                    <w:left w:val="nil"/>
                    <w:bottom w:val="single" w:sz="6" w:space="0" w:color="auto"/>
                    <w:right w:val="single" w:sz="6" w:space="0" w:color="auto"/>
                  </w:tcBorders>
                  <w:shd w:val="clear" w:color="auto" w:fill="FFC000"/>
                  <w:vAlign w:val="center"/>
                  <w:hideMark/>
                </w:tcPr>
                <w:p w14:paraId="2E8EB1CC"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$ 122,34</w:t>
                  </w:r>
                  <w:r w:rsidRPr="009D74A3">
                    <w:rPr>
                      <w:rStyle w:val="eop"/>
                      <w:color w:val="000000"/>
                      <w:sz w:val="18"/>
                      <w:szCs w:val="18"/>
                    </w:rPr>
                    <w:t> </w:t>
                  </w:r>
                </w:p>
              </w:tc>
              <w:tc>
                <w:tcPr>
                  <w:tcW w:w="1530" w:type="dxa"/>
                  <w:tcBorders>
                    <w:top w:val="nil"/>
                    <w:left w:val="nil"/>
                    <w:bottom w:val="single" w:sz="6" w:space="0" w:color="auto"/>
                    <w:right w:val="single" w:sz="6" w:space="0" w:color="auto"/>
                  </w:tcBorders>
                  <w:shd w:val="clear" w:color="auto" w:fill="FFC000"/>
                  <w:vAlign w:val="center"/>
                  <w:hideMark/>
                </w:tcPr>
                <w:p w14:paraId="3347A970"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$ 420,74</w:t>
                  </w:r>
                  <w:r w:rsidRPr="009D74A3">
                    <w:rPr>
                      <w:rStyle w:val="eop"/>
                      <w:color w:val="000000"/>
                      <w:sz w:val="18"/>
                      <w:szCs w:val="18"/>
                    </w:rPr>
                    <w:t> </w:t>
                  </w:r>
                </w:p>
              </w:tc>
            </w:tr>
            <w:tr w:rsidR="009D74A3" w:rsidRPr="009D74A3" w14:paraId="63B88341" w14:textId="77777777" w:rsidTr="00740130">
              <w:trPr>
                <w:trHeight w:val="285"/>
                <w:jc w:val="center"/>
              </w:trPr>
              <w:tc>
                <w:tcPr>
                  <w:tcW w:w="1575" w:type="dxa"/>
                  <w:tcBorders>
                    <w:top w:val="nil"/>
                    <w:left w:val="single" w:sz="6" w:space="0" w:color="auto"/>
                    <w:bottom w:val="single" w:sz="6" w:space="0" w:color="auto"/>
                    <w:right w:val="single" w:sz="6" w:space="0" w:color="auto"/>
                  </w:tcBorders>
                  <w:vAlign w:val="center"/>
                  <w:hideMark/>
                </w:tcPr>
                <w:p w14:paraId="1E0D8B4D"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Percentil 95 BG</w:t>
                  </w:r>
                  <w:r w:rsidRPr="009D74A3">
                    <w:rPr>
                      <w:rStyle w:val="eop"/>
                      <w:color w:val="000000"/>
                      <w:sz w:val="18"/>
                      <w:szCs w:val="18"/>
                    </w:rPr>
                    <w:t> </w:t>
                  </w:r>
                </w:p>
              </w:tc>
              <w:tc>
                <w:tcPr>
                  <w:tcW w:w="1605" w:type="dxa"/>
                  <w:tcBorders>
                    <w:top w:val="nil"/>
                    <w:left w:val="nil"/>
                    <w:bottom w:val="single" w:sz="6" w:space="0" w:color="auto"/>
                    <w:right w:val="single" w:sz="6" w:space="0" w:color="auto"/>
                  </w:tcBorders>
                  <w:vAlign w:val="center"/>
                  <w:hideMark/>
                </w:tcPr>
                <w:p w14:paraId="08A5D661"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$ 2.127,90</w:t>
                  </w:r>
                  <w:r w:rsidRPr="009D74A3">
                    <w:rPr>
                      <w:rStyle w:val="eop"/>
                      <w:color w:val="000000"/>
                      <w:sz w:val="18"/>
                      <w:szCs w:val="18"/>
                    </w:rPr>
                    <w:t> </w:t>
                  </w:r>
                </w:p>
              </w:tc>
              <w:tc>
                <w:tcPr>
                  <w:tcW w:w="1485" w:type="dxa"/>
                  <w:tcBorders>
                    <w:top w:val="nil"/>
                    <w:left w:val="nil"/>
                    <w:bottom w:val="single" w:sz="6" w:space="0" w:color="auto"/>
                    <w:right w:val="single" w:sz="6" w:space="0" w:color="auto"/>
                  </w:tcBorders>
                  <w:vAlign w:val="center"/>
                  <w:hideMark/>
                </w:tcPr>
                <w:p w14:paraId="5D1DECB3"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$ 4.300,77</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center"/>
                  <w:hideMark/>
                </w:tcPr>
                <w:p w14:paraId="600E8856"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$ 197,47</w:t>
                  </w:r>
                  <w:r w:rsidRPr="009D74A3">
                    <w:rPr>
                      <w:rStyle w:val="eop"/>
                      <w:color w:val="000000"/>
                      <w:sz w:val="18"/>
                      <w:szCs w:val="18"/>
                    </w:rPr>
                    <w:t> </w:t>
                  </w:r>
                </w:p>
              </w:tc>
              <w:tc>
                <w:tcPr>
                  <w:tcW w:w="1530" w:type="dxa"/>
                  <w:tcBorders>
                    <w:top w:val="nil"/>
                    <w:left w:val="nil"/>
                    <w:bottom w:val="single" w:sz="6" w:space="0" w:color="auto"/>
                    <w:right w:val="single" w:sz="6" w:space="0" w:color="auto"/>
                  </w:tcBorders>
                  <w:vAlign w:val="center"/>
                  <w:hideMark/>
                </w:tcPr>
                <w:p w14:paraId="28912801"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$ 590,67</w:t>
                  </w:r>
                  <w:r w:rsidRPr="009D74A3">
                    <w:rPr>
                      <w:rStyle w:val="eop"/>
                      <w:color w:val="000000"/>
                      <w:sz w:val="18"/>
                      <w:szCs w:val="18"/>
                    </w:rPr>
                    <w:t> </w:t>
                  </w:r>
                </w:p>
              </w:tc>
            </w:tr>
            <w:tr w:rsidR="009D74A3" w:rsidRPr="009D74A3" w14:paraId="4F2D0B21" w14:textId="77777777" w:rsidTr="00740130">
              <w:trPr>
                <w:trHeight w:val="285"/>
                <w:jc w:val="center"/>
              </w:trPr>
              <w:tc>
                <w:tcPr>
                  <w:tcW w:w="1575" w:type="dxa"/>
                  <w:tcBorders>
                    <w:top w:val="nil"/>
                    <w:left w:val="single" w:sz="6" w:space="0" w:color="auto"/>
                    <w:bottom w:val="single" w:sz="6" w:space="0" w:color="auto"/>
                    <w:right w:val="single" w:sz="6" w:space="0" w:color="auto"/>
                  </w:tcBorders>
                  <w:vAlign w:val="center"/>
                  <w:hideMark/>
                </w:tcPr>
                <w:p w14:paraId="38904D19"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Máxima BG</w:t>
                  </w:r>
                  <w:r w:rsidRPr="009D74A3">
                    <w:rPr>
                      <w:rStyle w:val="eop"/>
                      <w:color w:val="000000"/>
                      <w:sz w:val="18"/>
                      <w:szCs w:val="18"/>
                    </w:rPr>
                    <w:t> </w:t>
                  </w:r>
                </w:p>
              </w:tc>
              <w:tc>
                <w:tcPr>
                  <w:tcW w:w="1605" w:type="dxa"/>
                  <w:tcBorders>
                    <w:top w:val="nil"/>
                    <w:left w:val="nil"/>
                    <w:bottom w:val="single" w:sz="6" w:space="0" w:color="auto"/>
                    <w:right w:val="single" w:sz="6" w:space="0" w:color="auto"/>
                  </w:tcBorders>
                  <w:vAlign w:val="center"/>
                  <w:hideMark/>
                </w:tcPr>
                <w:p w14:paraId="12EA94EC"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$ 1.536.218</w:t>
                  </w:r>
                  <w:r w:rsidRPr="009D74A3">
                    <w:rPr>
                      <w:rStyle w:val="eop"/>
                      <w:color w:val="000000"/>
                      <w:sz w:val="18"/>
                      <w:szCs w:val="18"/>
                    </w:rPr>
                    <w:t> </w:t>
                  </w:r>
                </w:p>
              </w:tc>
              <w:tc>
                <w:tcPr>
                  <w:tcW w:w="1485" w:type="dxa"/>
                  <w:tcBorders>
                    <w:top w:val="nil"/>
                    <w:left w:val="nil"/>
                    <w:bottom w:val="single" w:sz="6" w:space="0" w:color="auto"/>
                    <w:right w:val="single" w:sz="6" w:space="0" w:color="auto"/>
                  </w:tcBorders>
                  <w:vAlign w:val="center"/>
                  <w:hideMark/>
                </w:tcPr>
                <w:p w14:paraId="4C5FD73C"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$ 417.859</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center"/>
                  <w:hideMark/>
                </w:tcPr>
                <w:p w14:paraId="13D0E6CD"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$ 28.052</w:t>
                  </w:r>
                  <w:r w:rsidRPr="009D74A3">
                    <w:rPr>
                      <w:rStyle w:val="eop"/>
                      <w:color w:val="000000"/>
                      <w:sz w:val="18"/>
                      <w:szCs w:val="18"/>
                    </w:rPr>
                    <w:t> </w:t>
                  </w:r>
                </w:p>
              </w:tc>
              <w:tc>
                <w:tcPr>
                  <w:tcW w:w="1530" w:type="dxa"/>
                  <w:tcBorders>
                    <w:top w:val="nil"/>
                    <w:left w:val="nil"/>
                    <w:bottom w:val="single" w:sz="6" w:space="0" w:color="auto"/>
                    <w:right w:val="single" w:sz="6" w:space="0" w:color="auto"/>
                  </w:tcBorders>
                  <w:vAlign w:val="center"/>
                  <w:hideMark/>
                </w:tcPr>
                <w:p w14:paraId="5032FD52"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$ 305.948</w:t>
                  </w:r>
                  <w:r w:rsidRPr="009D74A3">
                    <w:rPr>
                      <w:rStyle w:val="eop"/>
                      <w:color w:val="000000"/>
                      <w:sz w:val="18"/>
                      <w:szCs w:val="18"/>
                    </w:rPr>
                    <w:t> </w:t>
                  </w:r>
                </w:p>
              </w:tc>
            </w:tr>
            <w:tr w:rsidR="009D74A3" w:rsidRPr="009D74A3" w14:paraId="3F8210E1" w14:textId="77777777" w:rsidTr="00740130">
              <w:trPr>
                <w:trHeight w:val="285"/>
                <w:jc w:val="center"/>
              </w:trPr>
              <w:tc>
                <w:tcPr>
                  <w:tcW w:w="1575" w:type="dxa"/>
                  <w:tcBorders>
                    <w:top w:val="nil"/>
                    <w:left w:val="single" w:sz="6" w:space="0" w:color="auto"/>
                    <w:bottom w:val="single" w:sz="6" w:space="0" w:color="auto"/>
                    <w:right w:val="single" w:sz="6" w:space="0" w:color="auto"/>
                  </w:tcBorders>
                  <w:vAlign w:val="center"/>
                  <w:hideMark/>
                </w:tcPr>
                <w:p w14:paraId="0E10D0C0"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b/>
                      <w:bCs/>
                      <w:color w:val="000000"/>
                      <w:sz w:val="18"/>
                      <w:szCs w:val="18"/>
                    </w:rPr>
                    <w:t>Total IA</w:t>
                  </w:r>
                  <w:r w:rsidRPr="009D74A3">
                    <w:rPr>
                      <w:rStyle w:val="eop"/>
                      <w:color w:val="000000"/>
                      <w:sz w:val="18"/>
                      <w:szCs w:val="18"/>
                    </w:rPr>
                    <w:t> </w:t>
                  </w:r>
                </w:p>
              </w:tc>
              <w:tc>
                <w:tcPr>
                  <w:tcW w:w="1605" w:type="dxa"/>
                  <w:tcBorders>
                    <w:top w:val="nil"/>
                    <w:left w:val="nil"/>
                    <w:bottom w:val="single" w:sz="6" w:space="0" w:color="auto"/>
                    <w:right w:val="single" w:sz="6" w:space="0" w:color="auto"/>
                  </w:tcBorders>
                  <w:vAlign w:val="center"/>
                  <w:hideMark/>
                </w:tcPr>
                <w:p w14:paraId="36250E79"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b/>
                      <w:bCs/>
                      <w:color w:val="000000"/>
                      <w:sz w:val="18"/>
                      <w:szCs w:val="18"/>
                    </w:rPr>
                    <w:t>$ 1.870.172</w:t>
                  </w:r>
                  <w:r w:rsidRPr="009D74A3">
                    <w:rPr>
                      <w:rStyle w:val="eop"/>
                      <w:color w:val="000000"/>
                      <w:sz w:val="18"/>
                      <w:szCs w:val="18"/>
                    </w:rPr>
                    <w:t> </w:t>
                  </w:r>
                </w:p>
              </w:tc>
              <w:tc>
                <w:tcPr>
                  <w:tcW w:w="1485" w:type="dxa"/>
                  <w:tcBorders>
                    <w:top w:val="nil"/>
                    <w:left w:val="nil"/>
                    <w:bottom w:val="single" w:sz="6" w:space="0" w:color="auto"/>
                    <w:right w:val="single" w:sz="6" w:space="0" w:color="auto"/>
                  </w:tcBorders>
                  <w:vAlign w:val="center"/>
                  <w:hideMark/>
                </w:tcPr>
                <w:p w14:paraId="46A8FEB0"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b/>
                      <w:bCs/>
                      <w:color w:val="000000"/>
                      <w:sz w:val="18"/>
                      <w:szCs w:val="18"/>
                    </w:rPr>
                    <w:t>$ 174.394</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center"/>
                  <w:hideMark/>
                </w:tcPr>
                <w:p w14:paraId="5C3F91C2"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b/>
                      <w:bCs/>
                      <w:color w:val="000000"/>
                      <w:sz w:val="18"/>
                      <w:szCs w:val="18"/>
                    </w:rPr>
                    <w:t>$ 11.816</w:t>
                  </w:r>
                  <w:r w:rsidRPr="009D74A3">
                    <w:rPr>
                      <w:rStyle w:val="eop"/>
                      <w:color w:val="000000"/>
                      <w:sz w:val="18"/>
                      <w:szCs w:val="18"/>
                    </w:rPr>
                    <w:t> </w:t>
                  </w:r>
                </w:p>
              </w:tc>
              <w:tc>
                <w:tcPr>
                  <w:tcW w:w="1530" w:type="dxa"/>
                  <w:tcBorders>
                    <w:top w:val="nil"/>
                    <w:left w:val="nil"/>
                    <w:bottom w:val="single" w:sz="6" w:space="0" w:color="auto"/>
                    <w:right w:val="single" w:sz="6" w:space="0" w:color="auto"/>
                  </w:tcBorders>
                  <w:vAlign w:val="center"/>
                  <w:hideMark/>
                </w:tcPr>
                <w:p w14:paraId="0DC7A7EE"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b/>
                      <w:bCs/>
                      <w:color w:val="000000"/>
                      <w:sz w:val="18"/>
                      <w:szCs w:val="18"/>
                    </w:rPr>
                    <w:t>$ 2.218.244</w:t>
                  </w:r>
                  <w:r w:rsidRPr="009D74A3">
                    <w:rPr>
                      <w:rStyle w:val="eop"/>
                      <w:color w:val="000000"/>
                      <w:sz w:val="18"/>
                      <w:szCs w:val="18"/>
                    </w:rPr>
                    <w:t> </w:t>
                  </w:r>
                </w:p>
              </w:tc>
            </w:tr>
            <w:tr w:rsidR="009D74A3" w:rsidRPr="009D74A3" w14:paraId="655CC842" w14:textId="77777777" w:rsidTr="00740130">
              <w:trPr>
                <w:trHeight w:val="285"/>
                <w:jc w:val="center"/>
              </w:trPr>
              <w:tc>
                <w:tcPr>
                  <w:tcW w:w="1575" w:type="dxa"/>
                  <w:tcBorders>
                    <w:top w:val="nil"/>
                    <w:left w:val="single" w:sz="6" w:space="0" w:color="auto"/>
                    <w:bottom w:val="single" w:sz="6" w:space="0" w:color="auto"/>
                    <w:right w:val="single" w:sz="6" w:space="0" w:color="auto"/>
                  </w:tcBorders>
                  <w:vAlign w:val="center"/>
                  <w:hideMark/>
                </w:tcPr>
                <w:p w14:paraId="7BCE6326"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Promedio IA</w:t>
                  </w:r>
                  <w:r w:rsidRPr="009D74A3">
                    <w:rPr>
                      <w:rStyle w:val="eop"/>
                      <w:color w:val="000000"/>
                      <w:sz w:val="18"/>
                      <w:szCs w:val="18"/>
                    </w:rPr>
                    <w:t> </w:t>
                  </w:r>
                </w:p>
              </w:tc>
              <w:tc>
                <w:tcPr>
                  <w:tcW w:w="1605" w:type="dxa"/>
                  <w:tcBorders>
                    <w:top w:val="nil"/>
                    <w:left w:val="nil"/>
                    <w:bottom w:val="single" w:sz="6" w:space="0" w:color="auto"/>
                    <w:right w:val="single" w:sz="6" w:space="0" w:color="auto"/>
                  </w:tcBorders>
                  <w:vAlign w:val="center"/>
                  <w:hideMark/>
                </w:tcPr>
                <w:p w14:paraId="37BE99B9"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$ 6,53</w:t>
                  </w:r>
                  <w:r w:rsidRPr="009D74A3">
                    <w:rPr>
                      <w:rStyle w:val="eop"/>
                      <w:color w:val="000000"/>
                      <w:sz w:val="18"/>
                      <w:szCs w:val="18"/>
                    </w:rPr>
                    <w:t> </w:t>
                  </w:r>
                </w:p>
              </w:tc>
              <w:tc>
                <w:tcPr>
                  <w:tcW w:w="1485" w:type="dxa"/>
                  <w:tcBorders>
                    <w:top w:val="nil"/>
                    <w:left w:val="nil"/>
                    <w:bottom w:val="single" w:sz="6" w:space="0" w:color="auto"/>
                    <w:right w:val="single" w:sz="6" w:space="0" w:color="auto"/>
                  </w:tcBorders>
                  <w:vAlign w:val="center"/>
                  <w:hideMark/>
                </w:tcPr>
                <w:p w14:paraId="261C1DDC"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$ 14,26</w:t>
                  </w:r>
                  <w:r w:rsidRPr="009D74A3">
                    <w:rPr>
                      <w:rStyle w:val="eop"/>
                      <w:color w:val="000000"/>
                      <w:sz w:val="18"/>
                      <w:szCs w:val="18"/>
                    </w:rPr>
                    <w:t> </w:t>
                  </w:r>
                </w:p>
              </w:tc>
              <w:tc>
                <w:tcPr>
                  <w:tcW w:w="1275" w:type="dxa"/>
                  <w:tcBorders>
                    <w:top w:val="nil"/>
                    <w:left w:val="nil"/>
                    <w:bottom w:val="single" w:sz="6" w:space="0" w:color="auto"/>
                    <w:right w:val="single" w:sz="6" w:space="0" w:color="auto"/>
                  </w:tcBorders>
                  <w:vAlign w:val="center"/>
                  <w:hideMark/>
                </w:tcPr>
                <w:p w14:paraId="1FB2379F"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$ 0,28</w:t>
                  </w:r>
                  <w:r w:rsidRPr="009D74A3">
                    <w:rPr>
                      <w:rStyle w:val="eop"/>
                      <w:color w:val="000000"/>
                      <w:sz w:val="18"/>
                      <w:szCs w:val="18"/>
                    </w:rPr>
                    <w:t> </w:t>
                  </w:r>
                </w:p>
              </w:tc>
              <w:tc>
                <w:tcPr>
                  <w:tcW w:w="1530" w:type="dxa"/>
                  <w:tcBorders>
                    <w:top w:val="nil"/>
                    <w:left w:val="nil"/>
                    <w:bottom w:val="single" w:sz="6" w:space="0" w:color="auto"/>
                    <w:right w:val="single" w:sz="6" w:space="0" w:color="auto"/>
                  </w:tcBorders>
                  <w:vAlign w:val="center"/>
                  <w:hideMark/>
                </w:tcPr>
                <w:p w14:paraId="130C992B" w14:textId="77777777" w:rsidR="009D74A3" w:rsidRPr="009D74A3" w:rsidRDefault="009D74A3" w:rsidP="009D74A3">
                  <w:pPr>
                    <w:pStyle w:val="paragraph"/>
                    <w:spacing w:before="0" w:beforeAutospacing="0" w:after="0" w:afterAutospacing="0"/>
                    <w:jc w:val="center"/>
                    <w:textAlignment w:val="baseline"/>
                  </w:pPr>
                  <w:r w:rsidRPr="009D74A3">
                    <w:rPr>
                      <w:rStyle w:val="normaltextrun"/>
                      <w:rFonts w:ascii="Times New Roman" w:hAnsi="Times New Roman" w:cs="Times New Roman"/>
                      <w:color w:val="000000"/>
                      <w:sz w:val="18"/>
                      <w:szCs w:val="18"/>
                    </w:rPr>
                    <w:t>$ 1,27</w:t>
                  </w:r>
                  <w:r w:rsidRPr="009D74A3">
                    <w:rPr>
                      <w:rStyle w:val="eop"/>
                      <w:color w:val="000000"/>
                      <w:sz w:val="18"/>
                      <w:szCs w:val="18"/>
                    </w:rPr>
                    <w:t> </w:t>
                  </w:r>
                </w:p>
              </w:tc>
            </w:tr>
            <w:tr w:rsidR="009D74A3" w:rsidRPr="009D74A3" w14:paraId="626461E1" w14:textId="77777777" w:rsidTr="00740130">
              <w:trPr>
                <w:trHeight w:val="285"/>
                <w:jc w:val="center"/>
              </w:trPr>
              <w:tc>
                <w:tcPr>
                  <w:tcW w:w="1575" w:type="dxa"/>
                  <w:tcBorders>
                    <w:top w:val="nil"/>
                    <w:left w:val="single" w:sz="6" w:space="0" w:color="auto"/>
                    <w:bottom w:val="single" w:sz="6" w:space="0" w:color="auto"/>
                    <w:right w:val="single" w:sz="6" w:space="0" w:color="auto"/>
                  </w:tcBorders>
                  <w:vAlign w:val="center"/>
                  <w:hideMark/>
                </w:tcPr>
                <w:p w14:paraId="337B6A50" w14:textId="77777777" w:rsidR="009D74A3" w:rsidRPr="009D74A3" w:rsidRDefault="009D74A3" w:rsidP="009D74A3">
                  <w:pPr>
                    <w:pStyle w:val="paragraph"/>
                    <w:spacing w:before="0" w:beforeAutospacing="0" w:after="0" w:afterAutospacing="0"/>
                    <w:jc w:val="center"/>
                    <w:textAlignment w:val="baseline"/>
                    <w:rPr>
                      <w:color w:val="000000" w:themeColor="text1"/>
                    </w:rPr>
                  </w:pPr>
                  <w:r w:rsidRPr="009D74A3">
                    <w:rPr>
                      <w:rStyle w:val="normaltextrun"/>
                      <w:rFonts w:ascii="Times New Roman" w:hAnsi="Times New Roman" w:cs="Times New Roman"/>
                      <w:color w:val="000000" w:themeColor="text1"/>
                      <w:sz w:val="18"/>
                      <w:szCs w:val="18"/>
                    </w:rPr>
                    <w:t>Mediana IA</w:t>
                  </w:r>
                  <w:r w:rsidRPr="009D74A3">
                    <w:rPr>
                      <w:rStyle w:val="eop"/>
                      <w:color w:val="000000" w:themeColor="text1"/>
                      <w:sz w:val="18"/>
                      <w:szCs w:val="18"/>
                    </w:rPr>
                    <w:t> </w:t>
                  </w:r>
                </w:p>
              </w:tc>
              <w:tc>
                <w:tcPr>
                  <w:tcW w:w="1605" w:type="dxa"/>
                  <w:tcBorders>
                    <w:top w:val="nil"/>
                    <w:left w:val="nil"/>
                    <w:bottom w:val="single" w:sz="6" w:space="0" w:color="auto"/>
                    <w:right w:val="single" w:sz="6" w:space="0" w:color="auto"/>
                  </w:tcBorders>
                  <w:vAlign w:val="center"/>
                  <w:hideMark/>
                </w:tcPr>
                <w:p w14:paraId="20AA4CD7" w14:textId="77777777" w:rsidR="009D74A3" w:rsidRPr="009D74A3" w:rsidRDefault="009D74A3" w:rsidP="009D74A3">
                  <w:pPr>
                    <w:pStyle w:val="paragraph"/>
                    <w:spacing w:before="0" w:beforeAutospacing="0" w:after="0" w:afterAutospacing="0"/>
                    <w:jc w:val="center"/>
                    <w:textAlignment w:val="baseline"/>
                    <w:rPr>
                      <w:color w:val="000000" w:themeColor="text1"/>
                    </w:rPr>
                  </w:pPr>
                  <w:r w:rsidRPr="009D74A3">
                    <w:rPr>
                      <w:rStyle w:val="normaltextrun"/>
                      <w:rFonts w:ascii="Times New Roman" w:hAnsi="Times New Roman" w:cs="Times New Roman"/>
                      <w:color w:val="000000" w:themeColor="text1"/>
                      <w:sz w:val="18"/>
                      <w:szCs w:val="18"/>
                    </w:rPr>
                    <w:t>$ 2,94</w:t>
                  </w:r>
                  <w:r w:rsidRPr="009D74A3">
                    <w:rPr>
                      <w:rStyle w:val="eop"/>
                      <w:color w:val="000000" w:themeColor="text1"/>
                      <w:sz w:val="18"/>
                      <w:szCs w:val="18"/>
                    </w:rPr>
                    <w:t> </w:t>
                  </w:r>
                </w:p>
              </w:tc>
              <w:tc>
                <w:tcPr>
                  <w:tcW w:w="1485" w:type="dxa"/>
                  <w:tcBorders>
                    <w:top w:val="nil"/>
                    <w:left w:val="nil"/>
                    <w:bottom w:val="single" w:sz="6" w:space="0" w:color="auto"/>
                    <w:right w:val="single" w:sz="6" w:space="0" w:color="auto"/>
                  </w:tcBorders>
                  <w:vAlign w:val="center"/>
                  <w:hideMark/>
                </w:tcPr>
                <w:p w14:paraId="40529C69" w14:textId="77777777" w:rsidR="009D74A3" w:rsidRPr="009D74A3" w:rsidRDefault="009D74A3" w:rsidP="009D74A3">
                  <w:pPr>
                    <w:pStyle w:val="paragraph"/>
                    <w:spacing w:before="0" w:beforeAutospacing="0" w:after="0" w:afterAutospacing="0"/>
                    <w:jc w:val="center"/>
                    <w:textAlignment w:val="baseline"/>
                    <w:rPr>
                      <w:color w:val="000000" w:themeColor="text1"/>
                    </w:rPr>
                  </w:pPr>
                  <w:r w:rsidRPr="009D74A3">
                    <w:rPr>
                      <w:rStyle w:val="normaltextrun"/>
                      <w:rFonts w:ascii="Times New Roman" w:hAnsi="Times New Roman" w:cs="Times New Roman"/>
                      <w:color w:val="000000" w:themeColor="text1"/>
                      <w:sz w:val="18"/>
                      <w:szCs w:val="18"/>
                    </w:rPr>
                    <w:t>$ 5,24</w:t>
                  </w:r>
                  <w:r w:rsidRPr="009D74A3">
                    <w:rPr>
                      <w:rStyle w:val="eop"/>
                      <w:color w:val="000000" w:themeColor="text1"/>
                      <w:sz w:val="18"/>
                      <w:szCs w:val="18"/>
                    </w:rPr>
                    <w:t> </w:t>
                  </w:r>
                </w:p>
              </w:tc>
              <w:tc>
                <w:tcPr>
                  <w:tcW w:w="1275" w:type="dxa"/>
                  <w:tcBorders>
                    <w:top w:val="nil"/>
                    <w:left w:val="nil"/>
                    <w:bottom w:val="single" w:sz="6" w:space="0" w:color="auto"/>
                    <w:right w:val="single" w:sz="6" w:space="0" w:color="auto"/>
                  </w:tcBorders>
                  <w:vAlign w:val="center"/>
                  <w:hideMark/>
                </w:tcPr>
                <w:p w14:paraId="3C474CD9" w14:textId="77777777" w:rsidR="009D74A3" w:rsidRPr="009D74A3" w:rsidRDefault="009D74A3" w:rsidP="009D74A3">
                  <w:pPr>
                    <w:pStyle w:val="paragraph"/>
                    <w:spacing w:before="0" w:beforeAutospacing="0" w:after="0" w:afterAutospacing="0"/>
                    <w:jc w:val="center"/>
                    <w:textAlignment w:val="baseline"/>
                    <w:rPr>
                      <w:color w:val="000000" w:themeColor="text1"/>
                    </w:rPr>
                  </w:pPr>
                  <w:r w:rsidRPr="009D74A3">
                    <w:rPr>
                      <w:rStyle w:val="normaltextrun"/>
                      <w:rFonts w:ascii="Times New Roman" w:hAnsi="Times New Roman" w:cs="Times New Roman"/>
                      <w:color w:val="000000" w:themeColor="text1"/>
                      <w:sz w:val="18"/>
                      <w:szCs w:val="18"/>
                    </w:rPr>
                    <w:t>$ 0,07</w:t>
                  </w:r>
                  <w:r w:rsidRPr="009D74A3">
                    <w:rPr>
                      <w:rStyle w:val="eop"/>
                      <w:color w:val="000000" w:themeColor="text1"/>
                      <w:sz w:val="18"/>
                      <w:szCs w:val="18"/>
                    </w:rPr>
                    <w:t> </w:t>
                  </w:r>
                </w:p>
              </w:tc>
              <w:tc>
                <w:tcPr>
                  <w:tcW w:w="1530" w:type="dxa"/>
                  <w:tcBorders>
                    <w:top w:val="nil"/>
                    <w:left w:val="nil"/>
                    <w:bottom w:val="single" w:sz="6" w:space="0" w:color="auto"/>
                    <w:right w:val="single" w:sz="6" w:space="0" w:color="auto"/>
                  </w:tcBorders>
                  <w:vAlign w:val="center"/>
                  <w:hideMark/>
                </w:tcPr>
                <w:p w14:paraId="165BFF78" w14:textId="77777777" w:rsidR="009D74A3" w:rsidRPr="009D74A3" w:rsidRDefault="009D74A3" w:rsidP="009D74A3">
                  <w:pPr>
                    <w:pStyle w:val="paragraph"/>
                    <w:spacing w:before="0" w:beforeAutospacing="0" w:after="0" w:afterAutospacing="0"/>
                    <w:jc w:val="center"/>
                    <w:textAlignment w:val="baseline"/>
                    <w:rPr>
                      <w:color w:val="000000" w:themeColor="text1"/>
                    </w:rPr>
                  </w:pPr>
                  <w:r w:rsidRPr="009D74A3">
                    <w:rPr>
                      <w:rStyle w:val="normaltextrun"/>
                      <w:rFonts w:ascii="Times New Roman" w:hAnsi="Times New Roman" w:cs="Times New Roman"/>
                      <w:color w:val="000000" w:themeColor="text1"/>
                      <w:sz w:val="18"/>
                      <w:szCs w:val="18"/>
                    </w:rPr>
                    <w:t>$ 0,44</w:t>
                  </w:r>
                  <w:r w:rsidRPr="009D74A3">
                    <w:rPr>
                      <w:rStyle w:val="eop"/>
                      <w:color w:val="000000" w:themeColor="text1"/>
                      <w:sz w:val="18"/>
                      <w:szCs w:val="18"/>
                    </w:rPr>
                    <w:t> </w:t>
                  </w:r>
                </w:p>
              </w:tc>
            </w:tr>
          </w:tbl>
          <w:p w14:paraId="400BD2EC" w14:textId="77777777" w:rsidR="009D74A3" w:rsidRPr="009D74A3" w:rsidRDefault="009D74A3" w:rsidP="009D74A3">
            <w:pPr>
              <w:pStyle w:val="paragraph"/>
              <w:spacing w:before="0" w:beforeAutospacing="0" w:after="0" w:afterAutospacing="0"/>
              <w:ind w:firstLine="1200"/>
              <w:textAlignment w:val="baseline"/>
              <w:rPr>
                <w:color w:val="000000" w:themeColor="text1"/>
                <w:sz w:val="32"/>
                <w:szCs w:val="32"/>
              </w:rPr>
            </w:pPr>
            <w:r w:rsidRPr="009D74A3">
              <w:rPr>
                <w:rStyle w:val="normaltextrun"/>
                <w:rFonts w:ascii="Times New Roman" w:hAnsi="Times New Roman" w:cs="Times New Roman"/>
                <w:b/>
                <w:bCs/>
                <w:color w:val="000000" w:themeColor="text1"/>
                <w:sz w:val="20"/>
                <w:szCs w:val="20"/>
              </w:rPr>
              <w:t>Fuente</w:t>
            </w:r>
            <w:r w:rsidRPr="009D74A3">
              <w:rPr>
                <w:rStyle w:val="normaltextrun"/>
                <w:rFonts w:ascii="Times New Roman" w:hAnsi="Times New Roman" w:cs="Times New Roman"/>
                <w:color w:val="000000" w:themeColor="text1"/>
                <w:sz w:val="20"/>
                <w:szCs w:val="20"/>
              </w:rPr>
              <w:t>: Cálculos propios Secretaría Distrital de Hacienda con información del impuesto predial.</w:t>
            </w:r>
            <w:r w:rsidRPr="009D74A3">
              <w:rPr>
                <w:rStyle w:val="eop"/>
                <w:color w:val="000000" w:themeColor="text1"/>
                <w:sz w:val="20"/>
                <w:szCs w:val="20"/>
              </w:rPr>
              <w:t> </w:t>
            </w:r>
          </w:p>
          <w:p w14:paraId="20A78DF0" w14:textId="77777777" w:rsidR="009D74A3" w:rsidRPr="009D74A3" w:rsidRDefault="009D74A3" w:rsidP="009D74A3">
            <w:pPr>
              <w:pStyle w:val="paragraph"/>
              <w:spacing w:before="0" w:beforeAutospacing="0" w:after="0" w:afterAutospacing="0"/>
              <w:textAlignment w:val="baseline"/>
              <w:rPr>
                <w:color w:val="000000" w:themeColor="text1"/>
                <w:sz w:val="32"/>
                <w:szCs w:val="32"/>
              </w:rPr>
            </w:pPr>
            <w:r w:rsidRPr="009D74A3">
              <w:rPr>
                <w:rStyle w:val="eop"/>
                <w:color w:val="000000" w:themeColor="text1"/>
                <w:sz w:val="18"/>
                <w:szCs w:val="18"/>
              </w:rPr>
              <w:t> </w:t>
            </w:r>
          </w:p>
          <w:p w14:paraId="74E09DF9" w14:textId="2B97B359" w:rsidR="009D74A3" w:rsidRPr="009D74A3" w:rsidRDefault="009D74A3" w:rsidP="009D74A3">
            <w:pPr>
              <w:pStyle w:val="paragraph"/>
              <w:spacing w:before="0" w:beforeAutospacing="0" w:after="0" w:afterAutospacing="0"/>
              <w:textAlignment w:val="baseline"/>
              <w:rPr>
                <w:color w:val="000000" w:themeColor="text1"/>
                <w:sz w:val="32"/>
                <w:szCs w:val="32"/>
              </w:rPr>
            </w:pPr>
            <w:r w:rsidRPr="009D74A3">
              <w:rPr>
                <w:rStyle w:val="eop"/>
                <w:color w:val="000000" w:themeColor="text1"/>
                <w:sz w:val="18"/>
                <w:szCs w:val="18"/>
              </w:rPr>
              <w:t> </w:t>
            </w:r>
            <w:r w:rsidRPr="009D74A3">
              <w:rPr>
                <w:rStyle w:val="eop"/>
                <w:sz w:val="22"/>
                <w:szCs w:val="22"/>
              </w:rPr>
              <w:t> </w:t>
            </w:r>
          </w:p>
          <w:p w14:paraId="7A90B03B" w14:textId="0DB1C1BA" w:rsidR="009D74A3" w:rsidRPr="009D74A3" w:rsidRDefault="009D74A3">
            <w:pPr>
              <w:pStyle w:val="paragraph"/>
              <w:numPr>
                <w:ilvl w:val="1"/>
                <w:numId w:val="6"/>
              </w:numPr>
              <w:spacing w:before="0" w:beforeAutospacing="0" w:after="0" w:afterAutospacing="0"/>
              <w:textAlignment w:val="baseline"/>
              <w:rPr>
                <w:sz w:val="32"/>
                <w:szCs w:val="32"/>
              </w:rPr>
            </w:pPr>
            <w:r w:rsidRPr="009D74A3">
              <w:rPr>
                <w:rStyle w:val="normaltextrun"/>
                <w:rFonts w:ascii="Times New Roman" w:hAnsi="Times New Roman" w:cs="Times New Roman"/>
                <w:b/>
                <w:bCs/>
                <w:color w:val="000000"/>
              </w:rPr>
              <w:t>Diagnóstico impuesto de alumbrado publico</w:t>
            </w:r>
            <w:r w:rsidRPr="009D74A3">
              <w:rPr>
                <w:rStyle w:val="eop"/>
                <w:color w:val="000000"/>
              </w:rPr>
              <w:t> </w:t>
            </w:r>
          </w:p>
          <w:p w14:paraId="6C1532B8" w14:textId="748CAC6B" w:rsidR="009D74A3" w:rsidRPr="009D74A3" w:rsidRDefault="009D74A3" w:rsidP="009D74A3">
            <w:pPr>
              <w:pStyle w:val="paragraph"/>
              <w:spacing w:before="0" w:beforeAutospacing="0" w:after="0" w:afterAutospacing="0"/>
              <w:jc w:val="both"/>
              <w:textAlignment w:val="baseline"/>
              <w:rPr>
                <w:rStyle w:val="normaltextrun"/>
                <w:rFonts w:ascii="Times New Roman" w:eastAsia="Times New Roman" w:hAnsi="Times New Roman" w:cs="Times New Roman"/>
                <w:sz w:val="32"/>
                <w:szCs w:val="32"/>
              </w:rPr>
            </w:pPr>
            <w:r w:rsidRPr="009D74A3">
              <w:rPr>
                <w:rStyle w:val="eop"/>
                <w:sz w:val="22"/>
                <w:szCs w:val="22"/>
              </w:rPr>
              <w:t> </w:t>
            </w:r>
          </w:p>
          <w:p w14:paraId="6EC6DCF4" w14:textId="6132C34A" w:rsidR="009D74A3" w:rsidRPr="009D74A3" w:rsidRDefault="009D74A3" w:rsidP="009D74A3">
            <w:pPr>
              <w:jc w:val="both"/>
              <w:rPr>
                <w:rFonts w:ascii="Times New Roman" w:hAnsi="Times New Roman" w:cs="Times New Roman"/>
                <w:sz w:val="24"/>
                <w:szCs w:val="24"/>
              </w:rPr>
            </w:pPr>
            <w:r w:rsidRPr="009D74A3">
              <w:rPr>
                <w:rFonts w:ascii="Times New Roman" w:hAnsi="Times New Roman" w:cs="Times New Roman"/>
                <w:sz w:val="24"/>
                <w:szCs w:val="24"/>
              </w:rPr>
              <w:t>El alumbrado público es definido como un servicio público esencial cuya función principal es brindar iluminación en espacios públicos como calles, parques y vías, con el fin de garantizar condiciones mínimas de seguridad y movilidad para la ciudadanía. Además, facilita el desarrollo de actividades económicas en horarios no convencionales, como lo promueve la iniciativa Bogotá Productiva 24 Horas, impulsando sectores como el comercio, la salud, el turismo y la producción cultural y textil.</w:t>
            </w:r>
          </w:p>
          <w:p w14:paraId="13B897E9" w14:textId="77777777" w:rsidR="009D74A3" w:rsidRPr="009D74A3" w:rsidRDefault="009D74A3" w:rsidP="009D74A3">
            <w:pPr>
              <w:contextualSpacing/>
              <w:jc w:val="both"/>
              <w:rPr>
                <w:rFonts w:ascii="Times New Roman" w:hAnsi="Times New Roman" w:cs="Times New Roman"/>
                <w:sz w:val="24"/>
                <w:szCs w:val="24"/>
              </w:rPr>
            </w:pPr>
          </w:p>
          <w:p w14:paraId="5D00315A" w14:textId="6B245EAA" w:rsidR="00D772E3" w:rsidRPr="00740130" w:rsidRDefault="00D772E3" w:rsidP="00740130">
            <w:pPr>
              <w:pStyle w:val="paragraph"/>
              <w:numPr>
                <w:ilvl w:val="2"/>
                <w:numId w:val="6"/>
              </w:numPr>
              <w:spacing w:before="0" w:beforeAutospacing="0" w:after="0" w:afterAutospacing="0"/>
              <w:textAlignment w:val="baseline"/>
              <w:rPr>
                <w:rStyle w:val="normaltextrun"/>
                <w:rFonts w:ascii="Times New Roman" w:hAnsi="Times New Roman" w:cs="Times New Roman"/>
                <w:b/>
                <w:bCs/>
                <w:color w:val="000000" w:themeColor="text1"/>
              </w:rPr>
            </w:pPr>
            <w:r w:rsidRPr="00740130">
              <w:rPr>
                <w:rStyle w:val="normaltextrun"/>
                <w:rFonts w:ascii="Times New Roman" w:hAnsi="Times New Roman" w:cs="Times New Roman"/>
                <w:color w:val="000000" w:themeColor="text1"/>
              </w:rPr>
              <w:t>Oportunidad para Bogotá: infraestructura inteligente para una ciudad más segura</w:t>
            </w:r>
          </w:p>
          <w:p w14:paraId="263C9F0C" w14:textId="77777777" w:rsidR="00D772E3" w:rsidRDefault="00D772E3" w:rsidP="009D74A3">
            <w:pPr>
              <w:contextualSpacing/>
              <w:jc w:val="both"/>
              <w:rPr>
                <w:rFonts w:ascii="Times New Roman" w:hAnsi="Times New Roman" w:cs="Times New Roman"/>
                <w:sz w:val="24"/>
                <w:szCs w:val="24"/>
              </w:rPr>
            </w:pPr>
          </w:p>
          <w:p w14:paraId="45887F95" w14:textId="77777777" w:rsidR="000E0861" w:rsidRPr="000E0861" w:rsidRDefault="000E0861" w:rsidP="000E0861">
            <w:pPr>
              <w:contextualSpacing/>
              <w:jc w:val="both"/>
              <w:rPr>
                <w:rFonts w:ascii="Times New Roman" w:hAnsi="Times New Roman" w:cs="Times New Roman"/>
                <w:sz w:val="24"/>
                <w:szCs w:val="24"/>
              </w:rPr>
            </w:pPr>
            <w:r w:rsidRPr="000E0861">
              <w:rPr>
                <w:rFonts w:ascii="Times New Roman" w:hAnsi="Times New Roman" w:cs="Times New Roman"/>
                <w:sz w:val="24"/>
                <w:szCs w:val="24"/>
              </w:rPr>
              <w:t>Bogotá tiene hoy una oportunidad estratégica para transformar su sistema de alumbrado público en una infraestructura multifuncional y moderna, que no solo mejore la calidad del servicio, sino que también habilite soluciones tecnológicas para la seguridad ciudadana, la movilidad, la sostenibilidad ambiental y la eficiencia institucional.</w:t>
            </w:r>
          </w:p>
          <w:p w14:paraId="20936281" w14:textId="77777777" w:rsidR="000E0861" w:rsidRPr="000E0861" w:rsidRDefault="000E0861" w:rsidP="000E0861">
            <w:pPr>
              <w:contextualSpacing/>
              <w:jc w:val="both"/>
              <w:rPr>
                <w:rFonts w:ascii="Times New Roman" w:hAnsi="Times New Roman" w:cs="Times New Roman"/>
                <w:sz w:val="24"/>
                <w:szCs w:val="24"/>
              </w:rPr>
            </w:pPr>
          </w:p>
          <w:p w14:paraId="5136AD81" w14:textId="77777777" w:rsidR="000E0861" w:rsidRPr="000E0861" w:rsidRDefault="000E0861" w:rsidP="000E0861">
            <w:pPr>
              <w:contextualSpacing/>
              <w:jc w:val="both"/>
              <w:rPr>
                <w:rFonts w:ascii="Times New Roman" w:hAnsi="Times New Roman" w:cs="Times New Roman"/>
                <w:sz w:val="24"/>
                <w:szCs w:val="24"/>
              </w:rPr>
            </w:pPr>
            <w:r w:rsidRPr="000E0861">
              <w:rPr>
                <w:rFonts w:ascii="Times New Roman" w:hAnsi="Times New Roman" w:cs="Times New Roman"/>
                <w:sz w:val="24"/>
                <w:szCs w:val="24"/>
              </w:rPr>
              <w:t>La ciudad cuenta con una red extensa de alumbrado público que puede convertirse en la base para el despliegue de tecnologías del Internet de las Cosas (IoT), integrando cámaras, sensores ambientales y sistemas de telegestión que permitan no solo iluminar, sino también recolectar y procesar datos en tiempo real que se integren a los sistemas de vigilancia y control. Esto permitiría que el alumbrado funcione como una extensión del Centro de Comando y Control (C4), lo que a su vez posibilita una gestión urbana más predictiva, eficiente y articulada entre entidades, con impactos positivos directos en la calidad de vida de los ciudadanos.</w:t>
            </w:r>
          </w:p>
          <w:p w14:paraId="39AB0202" w14:textId="77777777" w:rsidR="000E0861" w:rsidRPr="000E0861" w:rsidRDefault="000E0861" w:rsidP="000E0861">
            <w:pPr>
              <w:contextualSpacing/>
              <w:jc w:val="both"/>
              <w:rPr>
                <w:rFonts w:ascii="Times New Roman" w:hAnsi="Times New Roman" w:cs="Times New Roman"/>
                <w:sz w:val="24"/>
                <w:szCs w:val="24"/>
              </w:rPr>
            </w:pPr>
          </w:p>
          <w:p w14:paraId="7078DFE3" w14:textId="77777777" w:rsidR="000E0861" w:rsidRPr="000E0861" w:rsidRDefault="000E0861" w:rsidP="000E0861">
            <w:pPr>
              <w:contextualSpacing/>
              <w:jc w:val="both"/>
              <w:rPr>
                <w:rFonts w:ascii="Times New Roman" w:hAnsi="Times New Roman" w:cs="Times New Roman"/>
                <w:sz w:val="24"/>
                <w:szCs w:val="24"/>
              </w:rPr>
            </w:pPr>
            <w:r w:rsidRPr="000E0861">
              <w:rPr>
                <w:rFonts w:ascii="Times New Roman" w:hAnsi="Times New Roman" w:cs="Times New Roman"/>
                <w:sz w:val="24"/>
                <w:szCs w:val="24"/>
              </w:rPr>
              <w:t>Si bien Bogotá ha logrado avances importantes en cobertura y mantenimiento, aún existen oportunidades significativas para potenciar el uso estratégico del alumbrado. Por ejemplo, el número de dispositivos de monitoreo es limitado: actualmente la ciudad cuenta con cerca de 5.800 cámaras de seguridad integradas al C4 y alrededor de 200 cámaras de movilidad, lo que equivale a aproximadamente una cámara por cada 1.000 habitantes considerando también las cámaras privadas. Este nivel de cobertura es bajo frente a referentes internacionales como Ciudad de México (3,6), Londres (13) o Singapur (17), y muchos de estos dispositivos están llegando al final de su vida útil.</w:t>
            </w:r>
          </w:p>
          <w:p w14:paraId="68320D82" w14:textId="77777777" w:rsidR="000E0861" w:rsidRPr="000E0861" w:rsidRDefault="000E0861" w:rsidP="000E0861">
            <w:pPr>
              <w:contextualSpacing/>
              <w:jc w:val="both"/>
              <w:rPr>
                <w:rFonts w:ascii="Times New Roman" w:hAnsi="Times New Roman" w:cs="Times New Roman"/>
                <w:sz w:val="24"/>
                <w:szCs w:val="24"/>
              </w:rPr>
            </w:pPr>
          </w:p>
          <w:p w14:paraId="633D32C7" w14:textId="77777777" w:rsidR="000E0861" w:rsidRPr="000E0861" w:rsidRDefault="000E0861" w:rsidP="000E0861">
            <w:pPr>
              <w:contextualSpacing/>
              <w:jc w:val="both"/>
              <w:rPr>
                <w:rFonts w:ascii="Times New Roman" w:hAnsi="Times New Roman" w:cs="Times New Roman"/>
                <w:sz w:val="24"/>
                <w:szCs w:val="24"/>
              </w:rPr>
            </w:pPr>
            <w:r w:rsidRPr="000E0861">
              <w:rPr>
                <w:rFonts w:ascii="Times New Roman" w:hAnsi="Times New Roman" w:cs="Times New Roman"/>
                <w:sz w:val="24"/>
                <w:szCs w:val="24"/>
              </w:rPr>
              <w:t>Adicionalmente, la adopción de tecnologías de telegestión y sensores ambientales aún se encuentra en etapas iniciales, y el potencial de crecimiento es amplio, especialmente para fortalecer la capacidad institucional del Distrito frente a retos en seguridad, movilidad y ambiente.</w:t>
            </w:r>
          </w:p>
          <w:p w14:paraId="3DD1F47A" w14:textId="77777777" w:rsidR="000E0861" w:rsidRPr="000E0861" w:rsidRDefault="000E0861" w:rsidP="000E0861">
            <w:pPr>
              <w:contextualSpacing/>
              <w:jc w:val="both"/>
              <w:rPr>
                <w:rFonts w:ascii="Times New Roman" w:hAnsi="Times New Roman" w:cs="Times New Roman"/>
                <w:sz w:val="24"/>
                <w:szCs w:val="24"/>
              </w:rPr>
            </w:pPr>
          </w:p>
          <w:p w14:paraId="3A9CD3A6" w14:textId="77777777" w:rsidR="000E0861" w:rsidRPr="000E0861" w:rsidRDefault="000E0861" w:rsidP="000E0861">
            <w:pPr>
              <w:contextualSpacing/>
              <w:jc w:val="both"/>
              <w:rPr>
                <w:rFonts w:ascii="Times New Roman" w:hAnsi="Times New Roman" w:cs="Times New Roman"/>
                <w:sz w:val="24"/>
                <w:szCs w:val="24"/>
              </w:rPr>
            </w:pPr>
            <w:r w:rsidRPr="000E0861">
              <w:rPr>
                <w:rFonts w:ascii="Times New Roman" w:hAnsi="Times New Roman" w:cs="Times New Roman"/>
                <w:sz w:val="24"/>
                <w:szCs w:val="24"/>
              </w:rPr>
              <w:t>En este contexto, se suma un componente financiero clave: actualmente Bogotá no cuenta con una fuente de financiación específica para el alumbrado público, lo que obliga al Distrito a cubrir su costo con recursos ordinarios del presupuesto. Esta situación restringe la posibilidad de invertir en otros sectores sociales prioritarios como salud, educación, vivienda o atención a la población vulnerable. Establecer un mecanismo específico de financiación permitiría asegurar la sostenibilidad del servicio, liberar recursos ordinarios y garantizar la modernización tecnológica que requiere una ciudad en evolución.</w:t>
            </w:r>
          </w:p>
          <w:p w14:paraId="17AFDD52" w14:textId="77777777" w:rsidR="009D74A3" w:rsidRDefault="009D74A3" w:rsidP="009D74A3">
            <w:pPr>
              <w:contextualSpacing/>
              <w:jc w:val="both"/>
              <w:rPr>
                <w:rFonts w:ascii="Times New Roman" w:hAnsi="Times New Roman" w:cs="Times New Roman"/>
                <w:sz w:val="24"/>
                <w:szCs w:val="24"/>
              </w:rPr>
            </w:pPr>
          </w:p>
          <w:p w14:paraId="5F3797C2" w14:textId="2C418110" w:rsidR="000E0861" w:rsidRPr="00740130" w:rsidRDefault="000E0861" w:rsidP="00740130">
            <w:pPr>
              <w:pStyle w:val="paragraph"/>
              <w:numPr>
                <w:ilvl w:val="2"/>
                <w:numId w:val="6"/>
              </w:numPr>
              <w:spacing w:before="0" w:beforeAutospacing="0" w:after="0" w:afterAutospacing="0"/>
              <w:textAlignment w:val="baseline"/>
              <w:rPr>
                <w:rStyle w:val="normaltextrun"/>
                <w:rFonts w:ascii="Times New Roman" w:hAnsi="Times New Roman" w:cs="Times New Roman"/>
                <w:b/>
                <w:bCs/>
                <w:color w:val="000000" w:themeColor="text1"/>
              </w:rPr>
            </w:pPr>
            <w:r w:rsidRPr="00740130">
              <w:rPr>
                <w:rStyle w:val="normaltextrun"/>
                <w:rFonts w:ascii="Times New Roman" w:hAnsi="Times New Roman" w:cs="Times New Roman"/>
                <w:color w:val="000000" w:themeColor="text1"/>
              </w:rPr>
              <w:t>Seguridad ciudadana: evidencia internacional sobre la eficacia del alumbrado público</w:t>
            </w:r>
          </w:p>
          <w:p w14:paraId="149092E3" w14:textId="77777777" w:rsidR="000E0861" w:rsidRPr="009D74A3" w:rsidRDefault="000E0861" w:rsidP="009D74A3">
            <w:pPr>
              <w:contextualSpacing/>
              <w:jc w:val="both"/>
              <w:rPr>
                <w:rFonts w:ascii="Times New Roman" w:hAnsi="Times New Roman" w:cs="Times New Roman"/>
                <w:sz w:val="24"/>
                <w:szCs w:val="24"/>
              </w:rPr>
            </w:pPr>
          </w:p>
          <w:p w14:paraId="7FFD3EF6" w14:textId="65036F91" w:rsidR="009D74A3" w:rsidRPr="009D74A3" w:rsidRDefault="00270503" w:rsidP="009D74A3">
            <w:pPr>
              <w:contextualSpacing/>
              <w:jc w:val="both"/>
              <w:rPr>
                <w:rFonts w:ascii="Times New Roman" w:hAnsi="Times New Roman" w:cs="Times New Roman"/>
                <w:sz w:val="24"/>
                <w:szCs w:val="24"/>
              </w:rPr>
            </w:pPr>
            <w:r>
              <w:rPr>
                <w:rFonts w:ascii="Times New Roman" w:hAnsi="Times New Roman" w:cs="Times New Roman"/>
                <w:sz w:val="24"/>
                <w:szCs w:val="24"/>
              </w:rPr>
              <w:t>S</w:t>
            </w:r>
            <w:r w:rsidR="009D74A3" w:rsidRPr="009D74A3">
              <w:rPr>
                <w:rFonts w:ascii="Times New Roman" w:hAnsi="Times New Roman" w:cs="Times New Roman"/>
                <w:sz w:val="24"/>
                <w:szCs w:val="24"/>
              </w:rPr>
              <w:t>e ha demostrado que un alumbrado público eficiente tiene efectos positivos en la calidad de vida, al crear entornos más seguros mediante la disuasión y detección del delito, y al mejorar la percepción de seguridad. Esto refuerza el papel del alumbrado como herramienta clave en la prevención del crimen y en la promoción de una ciudad más activa y segura.</w:t>
            </w:r>
          </w:p>
          <w:p w14:paraId="5003DCAB"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eop"/>
              </w:rPr>
              <w:t> </w:t>
            </w:r>
          </w:p>
          <w:p w14:paraId="3F35722D" w14:textId="77777777" w:rsidR="009D74A3" w:rsidRPr="009D74A3" w:rsidRDefault="009D74A3" w:rsidP="008D10CC">
            <w:pPr>
              <w:pStyle w:val="paragraph"/>
              <w:numPr>
                <w:ilvl w:val="0"/>
                <w:numId w:val="17"/>
              </w:numPr>
              <w:spacing w:before="0" w:beforeAutospacing="0" w:after="0" w:afterAutospacing="0"/>
              <w:ind w:left="359" w:firstLine="0"/>
              <w:jc w:val="both"/>
              <w:textAlignment w:val="baseline"/>
            </w:pPr>
            <w:r w:rsidRPr="009D74A3">
              <w:rPr>
                <w:rStyle w:val="normaltextrun"/>
                <w:rFonts w:ascii="Times New Roman" w:hAnsi="Times New Roman" w:cs="Times New Roman"/>
              </w:rPr>
              <w:t>Loukaitou-Sideris (2014) encontró que un buen alumbrado público con mantenimiento adecuado, espacios públicos limpios y presencia de cámaras de vigilancia conectadas por circuitos cerrados de televisión están asociados con un menor nivel de riesgo delictivo especialmente menor incidencia de delitos contra las mujeres y niñas. </w:t>
            </w:r>
            <w:r w:rsidRPr="009D74A3">
              <w:rPr>
                <w:rStyle w:val="eop"/>
              </w:rPr>
              <w:t> </w:t>
            </w:r>
          </w:p>
          <w:p w14:paraId="006A01F7" w14:textId="77777777" w:rsidR="009D74A3" w:rsidRPr="009D74A3" w:rsidRDefault="009D74A3" w:rsidP="008D10CC">
            <w:pPr>
              <w:pStyle w:val="paragraph"/>
              <w:spacing w:before="0" w:beforeAutospacing="0" w:after="0" w:afterAutospacing="0"/>
              <w:ind w:left="359"/>
              <w:jc w:val="both"/>
              <w:textAlignment w:val="baseline"/>
              <w:rPr>
                <w:sz w:val="32"/>
                <w:szCs w:val="32"/>
              </w:rPr>
            </w:pPr>
            <w:r w:rsidRPr="009D74A3">
              <w:rPr>
                <w:rStyle w:val="eop"/>
              </w:rPr>
              <w:t> </w:t>
            </w:r>
          </w:p>
          <w:p w14:paraId="7DDA1D7E" w14:textId="77777777" w:rsidR="009D74A3" w:rsidRPr="009D74A3" w:rsidRDefault="009D74A3" w:rsidP="008D10CC">
            <w:pPr>
              <w:pStyle w:val="paragraph"/>
              <w:numPr>
                <w:ilvl w:val="0"/>
                <w:numId w:val="18"/>
              </w:numPr>
              <w:spacing w:before="0" w:beforeAutospacing="0" w:after="0" w:afterAutospacing="0"/>
              <w:ind w:left="359" w:firstLine="0"/>
              <w:jc w:val="both"/>
              <w:textAlignment w:val="baseline"/>
            </w:pPr>
            <w:r w:rsidRPr="009D74A3">
              <w:rPr>
                <w:rStyle w:val="normaltextrun"/>
                <w:rFonts w:ascii="Times New Roman" w:hAnsi="Times New Roman" w:cs="Times New Roman"/>
              </w:rPr>
              <w:t>Ceccato &amp; Loukaitou-Sideris (2020) encontraron que las agresiones sexuales contra estudiantes de colegio en Bogotá, Los Ángeles, Manila y Estocolmo tienen una mayor probabilidad de ocurrencia en estaciones de transporte público con baja luminosidad. </w:t>
            </w:r>
            <w:r w:rsidRPr="009D74A3">
              <w:rPr>
                <w:rStyle w:val="eop"/>
              </w:rPr>
              <w:t> </w:t>
            </w:r>
          </w:p>
          <w:p w14:paraId="33AA76E4" w14:textId="77777777" w:rsidR="009D74A3" w:rsidRPr="009D74A3" w:rsidRDefault="009D74A3" w:rsidP="008D10CC">
            <w:pPr>
              <w:pStyle w:val="paragraph"/>
              <w:spacing w:before="0" w:beforeAutospacing="0" w:after="0" w:afterAutospacing="0"/>
              <w:ind w:left="359"/>
              <w:jc w:val="both"/>
              <w:textAlignment w:val="baseline"/>
              <w:rPr>
                <w:sz w:val="32"/>
                <w:szCs w:val="32"/>
              </w:rPr>
            </w:pPr>
            <w:r w:rsidRPr="009D74A3">
              <w:rPr>
                <w:rStyle w:val="eop"/>
              </w:rPr>
              <w:t> </w:t>
            </w:r>
          </w:p>
          <w:p w14:paraId="2D9FE451" w14:textId="77777777" w:rsidR="009D74A3" w:rsidRPr="009D74A3" w:rsidRDefault="009D74A3" w:rsidP="008D10CC">
            <w:pPr>
              <w:pStyle w:val="paragraph"/>
              <w:numPr>
                <w:ilvl w:val="0"/>
                <w:numId w:val="19"/>
              </w:numPr>
              <w:spacing w:before="0" w:beforeAutospacing="0" w:after="0" w:afterAutospacing="0"/>
              <w:ind w:left="359" w:firstLine="0"/>
              <w:jc w:val="both"/>
              <w:textAlignment w:val="baseline"/>
            </w:pPr>
            <w:r w:rsidRPr="009D74A3">
              <w:rPr>
                <w:rStyle w:val="normaltextrun"/>
                <w:rFonts w:ascii="Times New Roman" w:hAnsi="Times New Roman" w:cs="Times New Roman"/>
              </w:rPr>
              <w:t>Tealde (2021), a partir de algunos modelos econométricos de regresión y de localización espacial del crimen, encontró que en Montevideo el mejoramiento general del alumbrado público estuvo relacionado con una reducción de la delincuencia. Según el autor, el efecto del mejoramiento de la infraestructura se asoció con una disminución significativa del hurto, estimada en 17%. </w:t>
            </w:r>
            <w:r w:rsidRPr="009D74A3">
              <w:rPr>
                <w:rStyle w:val="eop"/>
              </w:rPr>
              <w:t> </w:t>
            </w:r>
          </w:p>
          <w:p w14:paraId="6A06C8F2" w14:textId="77777777" w:rsidR="009D74A3" w:rsidRPr="009D74A3" w:rsidRDefault="009D74A3" w:rsidP="008D10CC">
            <w:pPr>
              <w:pStyle w:val="paragraph"/>
              <w:spacing w:before="0" w:beforeAutospacing="0" w:after="0" w:afterAutospacing="0"/>
              <w:ind w:left="359"/>
              <w:jc w:val="both"/>
              <w:textAlignment w:val="baseline"/>
              <w:rPr>
                <w:sz w:val="32"/>
                <w:szCs w:val="32"/>
              </w:rPr>
            </w:pPr>
            <w:r w:rsidRPr="009D74A3">
              <w:rPr>
                <w:rStyle w:val="eop"/>
              </w:rPr>
              <w:t> </w:t>
            </w:r>
          </w:p>
          <w:p w14:paraId="2157DDBB" w14:textId="77777777" w:rsidR="009D74A3" w:rsidRPr="009D74A3" w:rsidRDefault="009D74A3" w:rsidP="008D10CC">
            <w:pPr>
              <w:pStyle w:val="paragraph"/>
              <w:numPr>
                <w:ilvl w:val="0"/>
                <w:numId w:val="20"/>
              </w:numPr>
              <w:spacing w:before="0" w:beforeAutospacing="0" w:after="0" w:afterAutospacing="0"/>
              <w:ind w:left="359" w:firstLine="0"/>
              <w:jc w:val="both"/>
              <w:textAlignment w:val="baseline"/>
            </w:pPr>
            <w:r w:rsidRPr="009D74A3">
              <w:rPr>
                <w:rStyle w:val="normaltextrun"/>
                <w:rFonts w:ascii="Times New Roman" w:hAnsi="Times New Roman" w:cs="Times New Roman"/>
              </w:rPr>
              <w:t>Blattman et. al. (2021) evaluaron experimentalmente las intervenciones en puntos estratégicos realizadas en Bogotá entre 2016 y 2018, donde, entre otras medidas, se mejoraron los niveles de iluminación con alumbrado público. Los resultados mostraron que los niveles de criminalidad se redujeron en aquellos puntos intervenidos, en particular en aquellos lugares en los cuales la iluminación se complementó con mayor presencia policial, y mayor limpieza de espacio públicos. </w:t>
            </w:r>
            <w:r w:rsidRPr="009D74A3">
              <w:rPr>
                <w:rStyle w:val="eop"/>
              </w:rPr>
              <w:t> </w:t>
            </w:r>
          </w:p>
          <w:p w14:paraId="42E22567"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eop"/>
              </w:rPr>
              <w:t> </w:t>
            </w:r>
          </w:p>
          <w:p w14:paraId="6F379CAA" w14:textId="77777777" w:rsidR="00462664" w:rsidRDefault="009D74A3" w:rsidP="009D74A3">
            <w:pPr>
              <w:pStyle w:val="paragraph"/>
              <w:spacing w:before="0" w:beforeAutospacing="0" w:after="0" w:afterAutospacing="0"/>
              <w:jc w:val="both"/>
              <w:textAlignment w:val="baseline"/>
              <w:rPr>
                <w:rStyle w:val="normaltextrun"/>
                <w:rFonts w:ascii="Times New Roman" w:hAnsi="Times New Roman" w:cs="Times New Roman"/>
              </w:rPr>
            </w:pPr>
            <w:r w:rsidRPr="009D74A3">
              <w:rPr>
                <w:rStyle w:val="normaltextrun"/>
                <w:rFonts w:ascii="Times New Roman" w:hAnsi="Times New Roman" w:cs="Times New Roman"/>
              </w:rPr>
              <w:t xml:space="preserve">En cuanto a la detección del delito, los distintos estudios muestran la importancia de coordinar el mejoramiento del alumbrado público con sistemas de comando y control para identificar en tiempo real los agresores, así como para movilizar rápidamente las unidades de reacción policial cuando ocurra la agresión. </w:t>
            </w:r>
          </w:p>
          <w:p w14:paraId="72C0827E" w14:textId="77777777" w:rsidR="00462664" w:rsidRDefault="00462664" w:rsidP="009D74A3">
            <w:pPr>
              <w:pStyle w:val="paragraph"/>
              <w:spacing w:before="0" w:beforeAutospacing="0" w:after="0" w:afterAutospacing="0"/>
              <w:jc w:val="both"/>
              <w:textAlignment w:val="baseline"/>
              <w:rPr>
                <w:rStyle w:val="normaltextrun"/>
                <w:rFonts w:ascii="Times New Roman" w:hAnsi="Times New Roman" w:cs="Times New Roman"/>
              </w:rPr>
            </w:pPr>
          </w:p>
          <w:p w14:paraId="78C1AB6B" w14:textId="43822489" w:rsidR="009D74A3" w:rsidRDefault="009D74A3" w:rsidP="008D10CC">
            <w:pPr>
              <w:pStyle w:val="paragraph"/>
              <w:numPr>
                <w:ilvl w:val="0"/>
                <w:numId w:val="25"/>
              </w:numPr>
              <w:spacing w:before="0" w:beforeAutospacing="0" w:after="0" w:afterAutospacing="0"/>
              <w:ind w:left="359" w:firstLine="1"/>
              <w:jc w:val="both"/>
              <w:textAlignment w:val="baseline"/>
              <w:rPr>
                <w:rFonts w:eastAsiaTheme="minorEastAsia"/>
              </w:rPr>
            </w:pPr>
            <w:r w:rsidRPr="009D74A3">
              <w:rPr>
                <w:rStyle w:val="normaltextrun"/>
                <w:rFonts w:ascii="Times New Roman" w:hAnsi="Times New Roman" w:cs="Times New Roman"/>
              </w:rPr>
              <w:t>En 2016, el Departamento de Policía de San Diego, California, puso en marcha un plan para modernizar su infraestructura de alumbrado público hacia un sistema de alumbrado inteligente, en el que los postes tienen conectadas las lámparas con sensores y cámaras de vigilancia. De acuerdo con la evaluación de resultados, el nuevo sistema de alumbrado público inteligente ha permitido recolectar mejores elementos de prueba, reducir los costos de la investigación criminal y el tiempo desde el incidente hasta el enjuiciamiento, aumentar la tasa de condenas y la declaración de culpabilidad y reducir la violencia armada, así como reducir las demandas al Departamento de Policía por cuenta de los procedimientos de control.</w:t>
            </w:r>
            <w:r w:rsidRPr="009D74A3">
              <w:rPr>
                <w:rStyle w:val="eop"/>
              </w:rPr>
              <w:t> </w:t>
            </w:r>
          </w:p>
          <w:p w14:paraId="38DA2141" w14:textId="51781D9A" w:rsidR="009D74A3" w:rsidRDefault="009D74A3" w:rsidP="008D10CC">
            <w:pPr>
              <w:pStyle w:val="paragraph"/>
              <w:spacing w:before="0" w:beforeAutospacing="0" w:after="0" w:afterAutospacing="0"/>
              <w:ind w:left="720"/>
              <w:jc w:val="both"/>
              <w:textAlignment w:val="baseline"/>
              <w:rPr>
                <w:rFonts w:eastAsiaTheme="minorEastAsia"/>
              </w:rPr>
            </w:pPr>
          </w:p>
          <w:p w14:paraId="233A9E58" w14:textId="246FB696" w:rsidR="009D74A3" w:rsidRPr="009D74A3" w:rsidRDefault="009D74A3" w:rsidP="008D10CC">
            <w:pPr>
              <w:pStyle w:val="paragraph"/>
              <w:numPr>
                <w:ilvl w:val="0"/>
                <w:numId w:val="25"/>
              </w:numPr>
              <w:spacing w:before="0" w:beforeAutospacing="0" w:after="0" w:afterAutospacing="0"/>
              <w:ind w:left="359" w:firstLine="1"/>
              <w:jc w:val="both"/>
              <w:textAlignment w:val="baseline"/>
              <w:rPr>
                <w:rFonts w:eastAsiaTheme="minorEastAsia"/>
              </w:rPr>
            </w:pPr>
            <w:r w:rsidRPr="009D74A3">
              <w:rPr>
                <w:rStyle w:val="normaltextrun"/>
                <w:rFonts w:ascii="Times New Roman" w:hAnsi="Times New Roman" w:cs="Times New Roman"/>
              </w:rPr>
              <w:t>Domínguez (2019)</w:t>
            </w:r>
            <w:r w:rsidR="002C13AE">
              <w:rPr>
                <w:rStyle w:val="Refdenotaalpie"/>
                <w:sz w:val="19"/>
                <w:szCs w:val="19"/>
              </w:rPr>
              <w:footnoteReference w:id="27"/>
            </w:r>
            <w:r>
              <w:rPr>
                <w:rStyle w:val="superscript"/>
                <w:rFonts w:eastAsiaTheme="minorEastAsia"/>
                <w:sz w:val="19"/>
                <w:szCs w:val="19"/>
                <w:vertAlign w:val="superscript"/>
              </w:rPr>
              <w:t xml:space="preserve"> </w:t>
            </w:r>
            <w:r w:rsidRPr="009D74A3">
              <w:rPr>
                <w:rStyle w:val="normaltextrun"/>
                <w:rFonts w:ascii="Times New Roman" w:hAnsi="Times New Roman" w:cs="Times New Roman"/>
              </w:rPr>
              <w:t>estudió cómo Buenos Aires modernizó completamente LED su sistema de alumbrado público, lo que les permitió ahorrar energía y reducir sus emisiones de CO2. Las autoridades, según el autor, destacaron el impacto social de la mejor iluminación en la seguridad, teniendo en cuenta que las luces blancas LED favorecen el reconocimiento facial y la correcta percepción de colores, a simple vista y a través de cámaras.</w:t>
            </w:r>
            <w:r w:rsidRPr="009D74A3">
              <w:rPr>
                <w:rStyle w:val="eop"/>
              </w:rPr>
              <w:t> </w:t>
            </w:r>
          </w:p>
          <w:p w14:paraId="1AD966BE" w14:textId="08148806" w:rsidR="009D74A3" w:rsidRDefault="009D74A3" w:rsidP="008D10CC">
            <w:pPr>
              <w:pStyle w:val="Prrafodelista"/>
              <w:ind w:left="359" w:firstLine="1"/>
              <w:rPr>
                <w:rStyle w:val="normaltextrun"/>
                <w:rFonts w:ascii="Times New Roman" w:hAnsi="Times New Roman" w:cs="Times New Roman"/>
              </w:rPr>
            </w:pPr>
          </w:p>
          <w:p w14:paraId="21475986" w14:textId="72365D41" w:rsidR="009D74A3" w:rsidRPr="009D74A3" w:rsidRDefault="009D74A3" w:rsidP="008D10CC">
            <w:pPr>
              <w:pStyle w:val="paragraph"/>
              <w:numPr>
                <w:ilvl w:val="0"/>
                <w:numId w:val="25"/>
              </w:numPr>
              <w:spacing w:before="0" w:beforeAutospacing="0" w:after="0" w:afterAutospacing="0"/>
              <w:ind w:left="359" w:firstLine="1"/>
              <w:jc w:val="both"/>
              <w:textAlignment w:val="baseline"/>
            </w:pPr>
            <w:r w:rsidRPr="009D74A3">
              <w:rPr>
                <w:rStyle w:val="normaltextrun"/>
                <w:rFonts w:ascii="Times New Roman" w:hAnsi="Times New Roman" w:cs="Times New Roman"/>
              </w:rPr>
              <w:t xml:space="preserve">Chalfin </w:t>
            </w:r>
            <w:r w:rsidRPr="009D74A3">
              <w:rPr>
                <w:rStyle w:val="normaltextrun"/>
                <w:rFonts w:ascii="Times New Roman" w:hAnsi="Times New Roman" w:cs="Times New Roman"/>
                <w:i/>
                <w:iCs/>
              </w:rPr>
              <w:t xml:space="preserve">et. al. </w:t>
            </w:r>
            <w:r w:rsidRPr="009D74A3">
              <w:rPr>
                <w:rStyle w:val="normaltextrun"/>
                <w:rFonts w:ascii="Times New Roman" w:hAnsi="Times New Roman" w:cs="Times New Roman"/>
              </w:rPr>
              <w:t>(2019)</w:t>
            </w:r>
            <w:r w:rsidR="00777EF6">
              <w:rPr>
                <w:rStyle w:val="Refdenotaalpie"/>
                <w:rFonts w:eastAsiaTheme="minorEastAsia"/>
              </w:rPr>
              <w:footnoteReference w:id="28"/>
            </w:r>
            <w:r w:rsidRPr="009D74A3">
              <w:rPr>
                <w:rStyle w:val="normaltextrun"/>
                <w:rFonts w:ascii="Times New Roman" w:hAnsi="Times New Roman" w:cs="Times New Roman"/>
              </w:rPr>
              <w:t xml:space="preserve"> encontró que el uso de torres de luz de alta intensidad alrededor de algunas zonas residenciales redujo el crimen por lo menos un 36%, considerando, entre otros, asesinatos, asaltos, hurtos de vehículos y robos, con base en un estudio experimental en la ciudad de Nueva York en 2016. Los autores también encontraron que las comunidades en las que más se redujo la criminalidad fueron aquellas en las que más aumentó la provisión de luz en espacios públicos.</w:t>
            </w:r>
            <w:r w:rsidRPr="009D74A3">
              <w:rPr>
                <w:rStyle w:val="eop"/>
              </w:rPr>
              <w:t> </w:t>
            </w:r>
          </w:p>
          <w:p w14:paraId="49421CA1"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eop"/>
              </w:rPr>
              <w:t> </w:t>
            </w:r>
          </w:p>
          <w:p w14:paraId="08513A1D"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rPr>
              <w:t>Finalmente, los estudios que han caracterizado la relación entre el alumbrado público y la percepción ciudadana de seguridad destacan la importancia del entorno en el efecto final que puede tener un mejor alumbrado público en la percepción de seguridad por parte de los ciudadanos:</w:t>
            </w:r>
            <w:r w:rsidRPr="009D74A3">
              <w:rPr>
                <w:rStyle w:val="eop"/>
              </w:rPr>
              <w:t> </w:t>
            </w:r>
          </w:p>
          <w:p w14:paraId="2F2F140C"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eop"/>
              </w:rPr>
              <w:t> </w:t>
            </w:r>
          </w:p>
          <w:p w14:paraId="3C20DBF6" w14:textId="2C0AD671" w:rsidR="009D74A3" w:rsidRPr="009D74A3" w:rsidRDefault="009D74A3" w:rsidP="00A32C5A">
            <w:pPr>
              <w:pStyle w:val="paragraph"/>
              <w:numPr>
                <w:ilvl w:val="0"/>
                <w:numId w:val="23"/>
              </w:numPr>
              <w:spacing w:before="0" w:beforeAutospacing="0" w:after="0" w:afterAutospacing="0"/>
              <w:ind w:left="359" w:firstLine="0"/>
              <w:jc w:val="both"/>
              <w:textAlignment w:val="baseline"/>
            </w:pPr>
            <w:r w:rsidRPr="009D74A3">
              <w:rPr>
                <w:rStyle w:val="normaltextrun"/>
                <w:rFonts w:ascii="Times New Roman" w:hAnsi="Times New Roman" w:cs="Times New Roman"/>
              </w:rPr>
              <w:t xml:space="preserve">Peña-García </w:t>
            </w:r>
            <w:r w:rsidRPr="009D74A3">
              <w:rPr>
                <w:rStyle w:val="normaltextrun"/>
                <w:rFonts w:ascii="Times New Roman" w:hAnsi="Times New Roman" w:cs="Times New Roman"/>
                <w:i/>
                <w:iCs/>
              </w:rPr>
              <w:t>et. al.</w:t>
            </w:r>
            <w:r w:rsidRPr="009D74A3">
              <w:rPr>
                <w:rStyle w:val="normaltextrun"/>
                <w:rFonts w:ascii="Times New Roman" w:hAnsi="Times New Roman" w:cs="Times New Roman"/>
              </w:rPr>
              <w:t xml:space="preserve"> (2015)</w:t>
            </w:r>
            <w:r w:rsidR="00656AF1">
              <w:rPr>
                <w:rStyle w:val="Refdenotaalpie"/>
                <w:rFonts w:eastAsiaTheme="minorEastAsia"/>
              </w:rPr>
              <w:footnoteReference w:id="29"/>
            </w:r>
            <w:r w:rsidRPr="009D74A3">
              <w:rPr>
                <w:rStyle w:val="normaltextrun"/>
                <w:rFonts w:ascii="Times New Roman" w:hAnsi="Times New Roman" w:cs="Times New Roman"/>
              </w:rPr>
              <w:t xml:space="preserve"> analizan las opiniones y percepciones de 275 peatones urbanos en Granada, España. Según las áreas encuestadas, los autores encontraron que las calles bien iluminadas tienden a hacer que los ciudadanos se sientan mejor y más seguros.</w:t>
            </w:r>
            <w:r w:rsidRPr="009D74A3">
              <w:rPr>
                <w:rStyle w:val="eop"/>
              </w:rPr>
              <w:t> </w:t>
            </w:r>
          </w:p>
          <w:p w14:paraId="53A350C5" w14:textId="77777777" w:rsidR="009D74A3" w:rsidRPr="009D74A3" w:rsidRDefault="009D74A3" w:rsidP="00A32C5A">
            <w:pPr>
              <w:pStyle w:val="paragraph"/>
              <w:spacing w:before="0" w:beforeAutospacing="0" w:after="0" w:afterAutospacing="0"/>
              <w:ind w:left="359"/>
              <w:jc w:val="both"/>
              <w:textAlignment w:val="baseline"/>
              <w:rPr>
                <w:sz w:val="32"/>
                <w:szCs w:val="32"/>
              </w:rPr>
            </w:pPr>
            <w:r w:rsidRPr="009D74A3">
              <w:rPr>
                <w:rStyle w:val="eop"/>
              </w:rPr>
              <w:t> </w:t>
            </w:r>
          </w:p>
          <w:p w14:paraId="3B5E7EB1" w14:textId="227BC739" w:rsidR="009D74A3" w:rsidRPr="009D74A3" w:rsidRDefault="009D74A3" w:rsidP="00A32C5A">
            <w:pPr>
              <w:pStyle w:val="paragraph"/>
              <w:numPr>
                <w:ilvl w:val="0"/>
                <w:numId w:val="24"/>
              </w:numPr>
              <w:spacing w:before="0" w:beforeAutospacing="0" w:after="0" w:afterAutospacing="0"/>
              <w:ind w:left="359" w:firstLine="0"/>
              <w:jc w:val="both"/>
              <w:textAlignment w:val="baseline"/>
            </w:pPr>
            <w:r w:rsidRPr="009D74A3">
              <w:rPr>
                <w:rStyle w:val="normaltextrun"/>
                <w:rFonts w:ascii="Times New Roman" w:hAnsi="Times New Roman" w:cs="Times New Roman"/>
              </w:rPr>
              <w:t xml:space="preserve">Augerau </w:t>
            </w:r>
            <w:r w:rsidRPr="009D74A3">
              <w:rPr>
                <w:rStyle w:val="normaltextrun"/>
                <w:rFonts w:ascii="Times New Roman" w:hAnsi="Times New Roman" w:cs="Times New Roman"/>
                <w:i/>
                <w:iCs/>
              </w:rPr>
              <w:t xml:space="preserve">et. al. </w:t>
            </w:r>
            <w:r w:rsidRPr="009D74A3">
              <w:rPr>
                <w:rStyle w:val="normaltextrun"/>
                <w:rFonts w:ascii="Times New Roman" w:hAnsi="Times New Roman" w:cs="Times New Roman"/>
              </w:rPr>
              <w:t>(2023)</w:t>
            </w:r>
            <w:r w:rsidR="00534D75">
              <w:rPr>
                <w:rStyle w:val="Refdenotaalpie"/>
                <w:rFonts w:eastAsiaTheme="minorEastAsia"/>
              </w:rPr>
              <w:footnoteReference w:id="30"/>
            </w:r>
            <w:r w:rsidRPr="009D74A3">
              <w:rPr>
                <w:rStyle w:val="normaltextrun"/>
                <w:rFonts w:ascii="Times New Roman" w:hAnsi="Times New Roman" w:cs="Times New Roman"/>
              </w:rPr>
              <w:t>, a partir de un experimento relacionado mediante realidad virtual, encontraron que la intensidad del alumbrado público tiene una relación logarítmica positiva con la sensación de seguridad: cuando el nivel es bajo, los impactos positivos en la sensación son mayores y significativos, pero estos se vuelven marginalmente menores a medida que se incrementa la luminosidad.</w:t>
            </w:r>
            <w:r w:rsidRPr="009D74A3">
              <w:rPr>
                <w:rStyle w:val="eop"/>
              </w:rPr>
              <w:t> </w:t>
            </w:r>
          </w:p>
          <w:p w14:paraId="332F2012"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eop"/>
              </w:rPr>
              <w:t> </w:t>
            </w:r>
          </w:p>
          <w:p w14:paraId="31EE2F3A"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rPr>
              <w:t>En síntesis, de acuerdo con lo planteado por Pease (1999), se resumen y detallan los potenciales efectos favorables del alumbrado público sobre la seguridad según los efectos que puede tener en las distintas franjas horarias del día:</w:t>
            </w:r>
            <w:r w:rsidRPr="009D74A3">
              <w:rPr>
                <w:rStyle w:val="eop"/>
              </w:rPr>
              <w:t> </w:t>
            </w:r>
          </w:p>
          <w:p w14:paraId="19969200" w14:textId="77777777"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eop"/>
                <w:i/>
                <w:iCs/>
                <w:color w:val="44546A"/>
              </w:rPr>
              <w:t> </w:t>
            </w:r>
          </w:p>
          <w:p w14:paraId="406BB9E1" w14:textId="3933CBAF"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 xml:space="preserve">Gráfico </w:t>
            </w:r>
            <w:r>
              <w:rPr>
                <w:rStyle w:val="normaltextrun"/>
                <w:rFonts w:ascii="Times New Roman" w:hAnsi="Times New Roman" w:cs="Times New Roman"/>
                <w:b/>
                <w:bCs/>
              </w:rPr>
              <w:t>42</w:t>
            </w:r>
            <w:r w:rsidRPr="009D74A3">
              <w:rPr>
                <w:rStyle w:val="normaltextrun"/>
                <w:rFonts w:ascii="Times New Roman" w:hAnsi="Times New Roman" w:cs="Times New Roman"/>
                <w:b/>
                <w:bCs/>
              </w:rPr>
              <w:t>.</w:t>
            </w:r>
            <w:r w:rsidRPr="009D74A3">
              <w:rPr>
                <w:rStyle w:val="eop"/>
                <w:i/>
                <w:iCs/>
              </w:rPr>
              <w:t> </w:t>
            </w:r>
          </w:p>
          <w:p w14:paraId="7FC6C932" w14:textId="77777777" w:rsidR="009D74A3" w:rsidRPr="009D74A3" w:rsidRDefault="009D74A3" w:rsidP="009D74A3">
            <w:pPr>
              <w:pStyle w:val="paragraph"/>
              <w:spacing w:before="0" w:beforeAutospacing="0" w:after="0" w:afterAutospacing="0"/>
              <w:jc w:val="center"/>
              <w:textAlignment w:val="baseline"/>
              <w:rPr>
                <w:i/>
                <w:iCs/>
                <w:color w:val="44546A"/>
                <w:sz w:val="32"/>
                <w:szCs w:val="32"/>
              </w:rPr>
            </w:pPr>
            <w:r w:rsidRPr="00BD0316">
              <w:rPr>
                <w:rStyle w:val="normaltextrun"/>
                <w:rFonts w:ascii="Times New Roman" w:hAnsi="Times New Roman" w:cs="Times New Roman"/>
                <w:b/>
                <w:bCs/>
              </w:rPr>
              <w:t>Efectos favorables de las mejoras del alumbrado público según horario según K. Pease (1999)</w:t>
            </w:r>
            <w:r w:rsidRPr="009D74A3">
              <w:rPr>
                <w:rStyle w:val="eop"/>
                <w:i/>
                <w:iCs/>
              </w:rPr>
              <w:t> </w:t>
            </w:r>
          </w:p>
          <w:p w14:paraId="082188EA" w14:textId="4FDBF9DF" w:rsidR="009D74A3" w:rsidRPr="009D74A3" w:rsidRDefault="00C561DB" w:rsidP="009D74A3">
            <w:pPr>
              <w:pStyle w:val="paragraph"/>
              <w:spacing w:before="0" w:beforeAutospacing="0" w:after="0" w:afterAutospacing="0"/>
              <w:jc w:val="center"/>
              <w:textAlignment w:val="baseline"/>
              <w:rPr>
                <w:sz w:val="32"/>
                <w:szCs w:val="32"/>
                <w:lang w:val="en-US"/>
              </w:rPr>
            </w:pPr>
            <w:r w:rsidRPr="00BD0316">
              <w:rPr>
                <w:sz w:val="22"/>
                <w:szCs w:val="22"/>
              </w:rPr>
              <w:t xml:space="preserve"> </w:t>
            </w:r>
            <w:r w:rsidRPr="00C561DB">
              <w:rPr>
                <w:rStyle w:val="eop"/>
                <w:noProof/>
                <w:sz w:val="22"/>
                <w:szCs w:val="22"/>
              </w:rPr>
              <w:drawing>
                <wp:inline distT="0" distB="0" distL="0" distR="0" wp14:anchorId="65A1A4F4" wp14:editId="4C86C535">
                  <wp:extent cx="6325231" cy="2890911"/>
                  <wp:effectExtent l="0" t="0" r="0" b="0"/>
                  <wp:docPr id="423101582"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6343405" cy="2899217"/>
                          </a:xfrm>
                          <a:prstGeom prst="rect">
                            <a:avLst/>
                          </a:prstGeom>
                          <a:noFill/>
                          <a:ln>
                            <a:noFill/>
                          </a:ln>
                        </pic:spPr>
                      </pic:pic>
                    </a:graphicData>
                  </a:graphic>
                </wp:inline>
              </w:drawing>
            </w:r>
            <w:r w:rsidR="009D74A3" w:rsidRPr="009D74A3">
              <w:rPr>
                <w:rStyle w:val="eop"/>
                <w:sz w:val="22"/>
                <w:szCs w:val="22"/>
                <w:lang w:val="en-US"/>
              </w:rPr>
              <w:t> </w:t>
            </w:r>
          </w:p>
          <w:p w14:paraId="098E3554" w14:textId="77777777" w:rsidR="009D74A3" w:rsidRPr="009D74A3" w:rsidRDefault="009D74A3" w:rsidP="009D74A3">
            <w:pPr>
              <w:pStyle w:val="paragraph"/>
              <w:spacing w:before="0" w:beforeAutospacing="0" w:after="0" w:afterAutospacing="0"/>
              <w:textAlignment w:val="baseline"/>
              <w:rPr>
                <w:sz w:val="32"/>
                <w:szCs w:val="32"/>
              </w:rPr>
            </w:pPr>
            <w:r w:rsidRPr="009D74A3">
              <w:rPr>
                <w:rStyle w:val="normaltextrun"/>
                <w:rFonts w:ascii="Times New Roman" w:hAnsi="Times New Roman" w:cs="Times New Roman"/>
                <w:b/>
                <w:bCs/>
                <w:sz w:val="20"/>
                <w:szCs w:val="20"/>
                <w:lang w:val="en-US"/>
              </w:rPr>
              <w:t>Fuente:</w:t>
            </w:r>
            <w:r w:rsidRPr="009D74A3">
              <w:rPr>
                <w:rStyle w:val="normaltextrun"/>
                <w:rFonts w:ascii="Times New Roman" w:hAnsi="Times New Roman" w:cs="Times New Roman"/>
                <w:sz w:val="20"/>
                <w:szCs w:val="20"/>
                <w:lang w:val="en-US"/>
              </w:rPr>
              <w:t xml:space="preserve"> Arizona State University, Center for Problem-Oriented Policing. </w:t>
            </w:r>
            <w:r w:rsidRPr="009D74A3">
              <w:rPr>
                <w:rStyle w:val="normaltextrun"/>
                <w:rFonts w:ascii="Times New Roman" w:hAnsi="Times New Roman" w:cs="Times New Roman"/>
                <w:sz w:val="20"/>
                <w:szCs w:val="20"/>
              </w:rPr>
              <w:t>Adaptado y traducido de K. Pease (1999). Disponible en https://popcenter.asu.edu/content/improving-street-lighting-reduce-crime-residential-areas-page-2#endref2</w:t>
            </w:r>
            <w:r w:rsidRPr="009D74A3">
              <w:rPr>
                <w:rStyle w:val="eop"/>
                <w:sz w:val="20"/>
                <w:szCs w:val="20"/>
              </w:rPr>
              <w:t> </w:t>
            </w:r>
          </w:p>
          <w:p w14:paraId="49255192" w14:textId="77777777" w:rsidR="00270503" w:rsidRPr="00270503" w:rsidRDefault="00270503" w:rsidP="00270503">
            <w:pPr>
              <w:pStyle w:val="paragraph"/>
              <w:textAlignment w:val="baseline"/>
            </w:pPr>
            <w:r w:rsidRPr="00270503">
              <w:t>Estas experiencias y estudios, cuando se contextualizan a la realidad de Bogotá, demuestran que una inversión en alumbrado público inteligente no solo contribuye a reducir riesgos de victimización, sino que también fortalece la confianza ciudadana y favorece el uso activo del espacio urbano.</w:t>
            </w:r>
          </w:p>
          <w:p w14:paraId="155F4B08" w14:textId="7574E9A0" w:rsidR="00270503" w:rsidRPr="00740130" w:rsidRDefault="00270503" w:rsidP="00740130">
            <w:pPr>
              <w:pStyle w:val="paragraph"/>
              <w:numPr>
                <w:ilvl w:val="2"/>
                <w:numId w:val="6"/>
              </w:numPr>
              <w:spacing w:before="0" w:beforeAutospacing="0" w:after="0" w:afterAutospacing="0"/>
              <w:textAlignment w:val="baseline"/>
              <w:rPr>
                <w:rStyle w:val="eop"/>
                <w:rFonts w:eastAsiaTheme="minorEastAsia"/>
                <w:b/>
                <w:bCs/>
                <w:color w:val="000000" w:themeColor="text1"/>
              </w:rPr>
            </w:pPr>
            <w:r w:rsidRPr="00740130">
              <w:rPr>
                <w:rStyle w:val="normaltextrun"/>
                <w:rFonts w:ascii="Times New Roman" w:hAnsi="Times New Roman" w:cs="Times New Roman"/>
                <w:color w:val="000000" w:themeColor="text1"/>
              </w:rPr>
              <w:t>Referentes internacionales: el alumbrado como plataforma multifuncional</w:t>
            </w:r>
            <w:r w:rsidRPr="00740130">
              <w:rPr>
                <w:rStyle w:val="normaltextrun"/>
                <w:rFonts w:ascii="Times New Roman" w:hAnsi="Times New Roman" w:cs="Times New Roman"/>
                <w:b/>
                <w:bCs/>
                <w:color w:val="000000" w:themeColor="text1"/>
              </w:rPr>
              <w:t xml:space="preserve"> </w:t>
            </w:r>
          </w:p>
          <w:p w14:paraId="233E4DE0" w14:textId="78C1004D" w:rsidR="00270503" w:rsidRPr="00270503" w:rsidRDefault="00270503" w:rsidP="00270503">
            <w:pPr>
              <w:pStyle w:val="paragraph"/>
              <w:textAlignment w:val="baseline"/>
            </w:pPr>
            <w:r w:rsidRPr="00270503">
              <w:t>En las ciudades más avanzadas del mundo, el alumbrado público ha evolucionado hacia una infraestructura multifuncional, articulada mediante tecnologías digitales e integrada a los sistemas de movilidad, seguridad, medio ambiente y servicios ciudadanos. A continuación, se presentan ejemplos de cómo su modernización ha generado beneficios medibles en distintos frentes urbanos:</w:t>
            </w:r>
          </w:p>
          <w:p w14:paraId="283E5F45" w14:textId="77777777" w:rsidR="00270503" w:rsidRPr="00270503" w:rsidRDefault="00270503" w:rsidP="00270503">
            <w:pPr>
              <w:pStyle w:val="paragraph"/>
              <w:numPr>
                <w:ilvl w:val="0"/>
                <w:numId w:val="26"/>
              </w:numPr>
              <w:textAlignment w:val="baseline"/>
            </w:pPr>
            <w:r w:rsidRPr="00270503">
              <w:rPr>
                <w:b/>
                <w:bCs/>
              </w:rPr>
              <w:t>Barcelona:</w:t>
            </w:r>
            <w:r w:rsidRPr="00270503">
              <w:t xml:space="preserve"> redujo su consumo energético en un 40 % gracias a sistemas inteligentes de alumbrado público.</w:t>
            </w:r>
            <w:r w:rsidRPr="00270503">
              <w:rPr>
                <w:vertAlign w:val="superscript"/>
              </w:rPr>
              <w:footnoteReference w:id="31"/>
            </w:r>
          </w:p>
          <w:p w14:paraId="7BD9AC2F" w14:textId="77777777" w:rsidR="00270503" w:rsidRPr="00270503" w:rsidRDefault="00270503" w:rsidP="00270503">
            <w:pPr>
              <w:pStyle w:val="paragraph"/>
              <w:numPr>
                <w:ilvl w:val="0"/>
                <w:numId w:val="26"/>
              </w:numPr>
              <w:textAlignment w:val="baseline"/>
            </w:pPr>
            <w:r w:rsidRPr="00270503">
              <w:rPr>
                <w:b/>
                <w:bCs/>
              </w:rPr>
              <w:t xml:space="preserve">Copenhague: </w:t>
            </w:r>
            <w:r w:rsidRPr="00270503">
              <w:t>la capital danesa apuesta por un alumbrado público adaptativo que ajusta la intensidad lumínica en base a las condiciones ambientales y la presencia de peatones. Esto se traduce en un ahorro energético del 15% y una mejor experiencia para los ciudadanos.</w:t>
            </w:r>
            <w:r w:rsidRPr="00270503">
              <w:rPr>
                <w:vertAlign w:val="superscript"/>
              </w:rPr>
              <w:footnoteReference w:id="32"/>
            </w:r>
          </w:p>
          <w:p w14:paraId="68AF8A46" w14:textId="77777777" w:rsidR="00270503" w:rsidRPr="00270503" w:rsidRDefault="00270503" w:rsidP="00270503">
            <w:pPr>
              <w:pStyle w:val="paragraph"/>
              <w:numPr>
                <w:ilvl w:val="0"/>
                <w:numId w:val="26"/>
              </w:numPr>
              <w:textAlignment w:val="baseline"/>
            </w:pPr>
            <w:r w:rsidRPr="00270503">
              <w:rPr>
                <w:b/>
                <w:bCs/>
              </w:rPr>
              <w:t xml:space="preserve">Singapur: </w:t>
            </w:r>
            <w:r w:rsidRPr="00270503">
              <w:t>las calles de Singapur se iluminan con farolas inteligentes equipadas con sensores de movimiento y cámaras. Estos dispositivos permiten crear iluminación dinámica para eventos y espacios públicos, transformando la ciudad en un lienzo lumínico que se adapta a las necesidades de cada momento.</w:t>
            </w:r>
            <w:r w:rsidRPr="00270503">
              <w:rPr>
                <w:vertAlign w:val="superscript"/>
              </w:rPr>
              <w:footnoteReference w:id="33"/>
            </w:r>
          </w:p>
          <w:p w14:paraId="31587B5E" w14:textId="77777777" w:rsidR="00270503" w:rsidRPr="00270503" w:rsidRDefault="00270503" w:rsidP="00270503">
            <w:pPr>
              <w:pStyle w:val="paragraph"/>
              <w:numPr>
                <w:ilvl w:val="0"/>
                <w:numId w:val="26"/>
              </w:numPr>
              <w:textAlignment w:val="baseline"/>
            </w:pPr>
            <w:r w:rsidRPr="00270503">
              <w:rPr>
                <w:b/>
                <w:bCs/>
              </w:rPr>
              <w:t>Ámsterdam</w:t>
            </w:r>
            <w:r w:rsidRPr="00270503">
              <w:t>: utiliza sensores instalados en su red de alumbrado inteligente para monitorear la calidad del aire en tiempo real y ajustar automáticamente las rutas de transporte público cuando detecta niveles críticos de contaminación, una capacidad que ha sido fundamental para mantener los estándares ambientales más exigentes de Europa.</w:t>
            </w:r>
            <w:r w:rsidRPr="00270503">
              <w:rPr>
                <w:vertAlign w:val="superscript"/>
              </w:rPr>
              <w:footnoteReference w:id="34"/>
            </w:r>
          </w:p>
          <w:p w14:paraId="2A819A1E" w14:textId="77777777" w:rsidR="00270503" w:rsidRPr="00270503" w:rsidRDefault="00270503" w:rsidP="00270503">
            <w:pPr>
              <w:pStyle w:val="paragraph"/>
              <w:numPr>
                <w:ilvl w:val="0"/>
                <w:numId w:val="26"/>
              </w:numPr>
              <w:textAlignment w:val="baseline"/>
            </w:pPr>
            <w:r w:rsidRPr="00270503">
              <w:rPr>
                <w:b/>
                <w:bCs/>
              </w:rPr>
              <w:t>Ciudad de México</w:t>
            </w:r>
            <w:r w:rsidRPr="00270503">
              <w:t>: logró ahorros del 50 % en costos energéticos y desplegó 15.000 sensores ambientales para alertas sísmicas y de calidad del aire. Además, desde 2009 ha implementado el programa “México Ciudad Segura”, mediante el cual se han instalado más de 15.000 cámaras de videovigilancia y 10.000 botones de pánico en postes de alumbrado. Esta red se encuentra integrada a un sistema unificado de comando y control con un centro C4I (mando, control, comunicaciones, informática e información), y ha contribuido a una reducción del 56 % en delitos de alto impacto entre 2010 y 2016</w:t>
            </w:r>
            <w:r w:rsidRPr="00270503">
              <w:rPr>
                <w:vertAlign w:val="superscript"/>
              </w:rPr>
              <w:footnoteReference w:id="35"/>
            </w:r>
            <w:r w:rsidRPr="00270503">
              <w:t>.</w:t>
            </w:r>
          </w:p>
          <w:p w14:paraId="490249FD" w14:textId="77777777" w:rsidR="00270503" w:rsidRPr="00270503" w:rsidRDefault="00270503" w:rsidP="00270503">
            <w:pPr>
              <w:pStyle w:val="paragraph"/>
              <w:numPr>
                <w:ilvl w:val="0"/>
                <w:numId w:val="26"/>
              </w:numPr>
              <w:textAlignment w:val="baseline"/>
            </w:pPr>
            <w:r w:rsidRPr="00270503">
              <w:rPr>
                <w:b/>
                <w:bCs/>
              </w:rPr>
              <w:t>Buenos Aires</w:t>
            </w:r>
            <w:r w:rsidRPr="00270503">
              <w:t>: modernizó completamente su sistema de alumbrado público, lo que permitió ahorrar energía y reducir sus emisiones de CO2. Las autoridades destacaron el impacto social de la mejor iluminación en la seguridad, teniendo en cuenta que las luces blancas LED favorecen el reconocimiento facial y la correcta percepción de colores, a simple vista y a través de cámaras.</w:t>
            </w:r>
            <w:r w:rsidRPr="00270503">
              <w:rPr>
                <w:vertAlign w:val="superscript"/>
              </w:rPr>
              <w:footnoteReference w:id="36"/>
            </w:r>
          </w:p>
          <w:p w14:paraId="77DD479F" w14:textId="77777777" w:rsidR="00270503" w:rsidRPr="00270503" w:rsidRDefault="00270503" w:rsidP="00270503">
            <w:pPr>
              <w:pStyle w:val="paragraph"/>
              <w:numPr>
                <w:ilvl w:val="0"/>
                <w:numId w:val="26"/>
              </w:numPr>
              <w:textAlignment w:val="baseline"/>
            </w:pPr>
            <w:r w:rsidRPr="00270503">
              <w:rPr>
                <w:b/>
                <w:bCs/>
              </w:rPr>
              <w:t>Río de Janeiro</w:t>
            </w:r>
            <w:r w:rsidRPr="00270503">
              <w:t>: desde 2020 ha desplegado una red de 14.000 sensores IoT (10.000 cámaras y 4.000 sensores ambientales) en postes de alumbrado público, junto con un centro de operaciones para visualización y análisis de datos. Este proyecto ha habilitado la gestión remota del 30 % de su red de alumbrado y mejorado las condiciones de seguridad urbana</w:t>
            </w:r>
            <w:r w:rsidRPr="00270503">
              <w:rPr>
                <w:vertAlign w:val="superscript"/>
              </w:rPr>
              <w:footnoteReference w:id="37"/>
            </w:r>
            <w:r w:rsidRPr="00270503">
              <w:t>.</w:t>
            </w:r>
          </w:p>
          <w:p w14:paraId="62683756" w14:textId="77777777" w:rsidR="00270503" w:rsidRPr="00270503" w:rsidRDefault="00270503" w:rsidP="00270503">
            <w:pPr>
              <w:pStyle w:val="paragraph"/>
              <w:textAlignment w:val="baseline"/>
            </w:pPr>
            <w:r w:rsidRPr="00270503">
              <w:t>Estas experiencias confirman que el alumbrado público moderno puede convertirse en una plataforma urbana multifuncional, mejorar la seguridad y la movilidad, optimizar servicios públicos y promover el desarrollo económico sostenible.</w:t>
            </w:r>
          </w:p>
          <w:p w14:paraId="5D1CA9A3" w14:textId="4875931C" w:rsidR="00270503" w:rsidRPr="00740130" w:rsidRDefault="00270503" w:rsidP="00740130">
            <w:pPr>
              <w:pStyle w:val="paragraph"/>
              <w:numPr>
                <w:ilvl w:val="2"/>
                <w:numId w:val="6"/>
              </w:numPr>
              <w:spacing w:before="0" w:beforeAutospacing="0" w:after="0" w:afterAutospacing="0"/>
              <w:textAlignment w:val="baseline"/>
              <w:rPr>
                <w:rStyle w:val="eop"/>
                <w:rFonts w:eastAsiaTheme="minorEastAsia"/>
                <w:b/>
                <w:bCs/>
                <w:color w:val="000000" w:themeColor="text1"/>
              </w:rPr>
            </w:pPr>
            <w:r w:rsidRPr="00740130">
              <w:rPr>
                <w:rStyle w:val="normaltextrun"/>
                <w:rFonts w:ascii="Times New Roman" w:hAnsi="Times New Roman" w:cs="Times New Roman"/>
                <w:color w:val="000000" w:themeColor="text1"/>
              </w:rPr>
              <w:t>Integración con políticas distritales y desarrollo económico</w:t>
            </w:r>
          </w:p>
          <w:p w14:paraId="07D69C86" w14:textId="02995D6B" w:rsidR="00270503" w:rsidRPr="00270503" w:rsidRDefault="00270503" w:rsidP="00740130">
            <w:pPr>
              <w:pStyle w:val="paragraph"/>
              <w:jc w:val="both"/>
              <w:textAlignment w:val="baseline"/>
            </w:pPr>
            <w:r w:rsidRPr="00270503">
              <w:t>El Plan Distrital de Desarrollo "Bogotá Camina Segura" establece la política pública "Bogotá Productiva 24 Horas", orientada a ampliar la actividad económica más allá de los horarios convencionales, fomentando el comercio, el empleo nocturno y la prestación continua de servicios culturales, turísticos y sociales. Para lograr este propósito, es indispensable contar con un sistema de alumbrado público moderno que brinde condiciones adecuadas de seguridad, habitabilidad y monitoreo durante la noche.</w:t>
            </w:r>
          </w:p>
          <w:p w14:paraId="527A1BA1" w14:textId="5F5BD9C9" w:rsidR="00270503" w:rsidRPr="00270503" w:rsidRDefault="00270503" w:rsidP="00740130">
            <w:pPr>
              <w:pStyle w:val="paragraph"/>
              <w:jc w:val="both"/>
              <w:textAlignment w:val="baseline"/>
            </w:pPr>
            <w:r w:rsidRPr="00270503">
              <w:t>Un entorno urbano bien iluminado incrementa la percepción de seguridad, disuade el delito y promueve la movilidad peatonal y vehicular en horarios extendidos, lo que a su vez dinamiza sectores clave como el comercio, la gastronomía, los servicios, el turismo y la cultura. En este sentido, el alumbrado no solo cumple una función técnica, sino que es un habilitador directo del desarrollo económico local.</w:t>
            </w:r>
          </w:p>
          <w:p w14:paraId="3182DF82" w14:textId="77777777" w:rsidR="00270503" w:rsidRPr="00270503" w:rsidRDefault="00270503" w:rsidP="00740130">
            <w:pPr>
              <w:pStyle w:val="paragraph"/>
              <w:jc w:val="both"/>
              <w:textAlignment w:val="baseline"/>
            </w:pPr>
            <w:r w:rsidRPr="00270503">
              <w:t>Los gremios de los comerciantes que han participado en las jornadas de comercio de 24 horas han reportado un incremento en su actividad del 50 % al 70 %. Además, cerca del 20 % de los establecimientos reportaron la contratación de personal adicional para cubrir las nuevas franjas horarias. Estos datos evidencian que la inversión en alumbrado inteligente no es solo una medida de infraestructura, sino una palanca de crecimiento económico y generación de empleo en la ciudad.</w:t>
            </w:r>
          </w:p>
          <w:p w14:paraId="5EE7116B" w14:textId="77777777" w:rsidR="00270503" w:rsidRPr="00740130" w:rsidRDefault="00270503" w:rsidP="00740130">
            <w:pPr>
              <w:pStyle w:val="paragraph"/>
              <w:numPr>
                <w:ilvl w:val="2"/>
                <w:numId w:val="6"/>
              </w:numPr>
              <w:spacing w:before="0" w:beforeAutospacing="0" w:after="0" w:afterAutospacing="0"/>
              <w:textAlignment w:val="baseline"/>
              <w:rPr>
                <w:rStyle w:val="normaltextrun"/>
                <w:rFonts w:ascii="Times New Roman" w:hAnsi="Times New Roman" w:cs="Times New Roman"/>
                <w:color w:val="000000" w:themeColor="text1"/>
              </w:rPr>
            </w:pPr>
            <w:r w:rsidRPr="00740130">
              <w:rPr>
                <w:rStyle w:val="normaltextrun"/>
                <w:rFonts w:ascii="Times New Roman" w:hAnsi="Times New Roman" w:cs="Times New Roman"/>
                <w:color w:val="000000" w:themeColor="text1"/>
              </w:rPr>
              <w:t>Marco normativo y experiencias nacionales exitosas</w:t>
            </w:r>
          </w:p>
          <w:p w14:paraId="2FA09376" w14:textId="0C06A65F" w:rsidR="009D74A3" w:rsidRPr="009D74A3" w:rsidRDefault="009D74A3" w:rsidP="009D74A3">
            <w:pPr>
              <w:pStyle w:val="paragraph"/>
              <w:spacing w:before="0" w:beforeAutospacing="0" w:after="0" w:afterAutospacing="0"/>
              <w:textAlignment w:val="baseline"/>
              <w:rPr>
                <w:sz w:val="32"/>
                <w:szCs w:val="32"/>
              </w:rPr>
            </w:pPr>
            <w:r w:rsidRPr="009D74A3">
              <w:rPr>
                <w:rStyle w:val="eop"/>
              </w:rPr>
              <w:t> </w:t>
            </w:r>
          </w:p>
          <w:p w14:paraId="7E51B0FD" w14:textId="144ADF52" w:rsidR="009D74A3" w:rsidRDefault="009D74A3" w:rsidP="009D74A3">
            <w:pPr>
              <w:pStyle w:val="paragraph"/>
              <w:spacing w:before="0" w:beforeAutospacing="0" w:after="0" w:afterAutospacing="0"/>
              <w:jc w:val="both"/>
              <w:textAlignment w:val="baseline"/>
              <w:rPr>
                <w:rStyle w:val="normaltextrun"/>
                <w:rFonts w:ascii="Times New Roman" w:hAnsi="Times New Roman" w:cs="Times New Roman"/>
                <w:color w:val="000000" w:themeColor="text1"/>
              </w:rPr>
            </w:pPr>
            <w:r w:rsidRPr="009D74A3">
              <w:rPr>
                <w:rStyle w:val="normaltextrun"/>
                <w:rFonts w:ascii="Times New Roman" w:hAnsi="Times New Roman" w:cs="Times New Roman"/>
                <w:color w:val="000000" w:themeColor="text1"/>
              </w:rPr>
              <w:t xml:space="preserve">El impuesto de alumbrado público está </w:t>
            </w:r>
            <w:r>
              <w:rPr>
                <w:rStyle w:val="normaltextrun"/>
                <w:rFonts w:ascii="Times New Roman" w:hAnsi="Times New Roman" w:cs="Times New Roman"/>
                <w:color w:val="000000" w:themeColor="text1"/>
              </w:rPr>
              <w:t>autorizado</w:t>
            </w:r>
            <w:r w:rsidRPr="009D74A3">
              <w:rPr>
                <w:rStyle w:val="normaltextrun"/>
                <w:rFonts w:ascii="Times New Roman" w:hAnsi="Times New Roman" w:cs="Times New Roman"/>
                <w:color w:val="000000" w:themeColor="text1"/>
              </w:rPr>
              <w:t xml:space="preserve"> por la Ley 1819 de 2016</w:t>
            </w:r>
            <w:r>
              <w:rPr>
                <w:rStyle w:val="normaltextrun"/>
                <w:rFonts w:ascii="Times New Roman" w:hAnsi="Times New Roman" w:cs="Times New Roman"/>
                <w:color w:val="000000" w:themeColor="text1"/>
              </w:rPr>
              <w:t xml:space="preserve"> para todos los municipios del país y ha sido ampliamente adoptado</w:t>
            </w:r>
            <w:r w:rsidR="00270503">
              <w:rPr>
                <w:rStyle w:val="normaltextrun"/>
                <w:rFonts w:ascii="Times New Roman" w:hAnsi="Times New Roman" w:cs="Times New Roman"/>
                <w:color w:val="000000" w:themeColor="text1"/>
              </w:rPr>
              <w:t xml:space="preserve"> por cerca de 800 municipios del país. L</w:t>
            </w:r>
            <w:r>
              <w:rPr>
                <w:rStyle w:val="normaltextrun"/>
                <w:rFonts w:ascii="Times New Roman" w:hAnsi="Times New Roman" w:cs="Times New Roman"/>
                <w:color w:val="000000" w:themeColor="text1"/>
              </w:rPr>
              <w:t>a tabla 1</w:t>
            </w:r>
            <w:r w:rsidR="00FD0A88">
              <w:rPr>
                <w:rStyle w:val="normaltextrun"/>
                <w:rFonts w:ascii="Times New Roman" w:hAnsi="Times New Roman" w:cs="Times New Roman"/>
                <w:color w:val="000000" w:themeColor="text1"/>
              </w:rPr>
              <w:t>4</w:t>
            </w:r>
            <w:r w:rsidR="00270503">
              <w:rPr>
                <w:rStyle w:val="normaltextrun"/>
                <w:rFonts w:ascii="Times New Roman" w:hAnsi="Times New Roman" w:cs="Times New Roman"/>
                <w:color w:val="000000" w:themeColor="text1"/>
              </w:rPr>
              <w:t xml:space="preserve">, muestra el recaudo obtenido </w:t>
            </w:r>
            <w:r w:rsidR="0099713C">
              <w:rPr>
                <w:rStyle w:val="normaltextrun"/>
                <w:rFonts w:ascii="Times New Roman" w:hAnsi="Times New Roman" w:cs="Times New Roman"/>
                <w:color w:val="000000" w:themeColor="text1"/>
              </w:rPr>
              <w:t xml:space="preserve">en </w:t>
            </w:r>
            <w:r w:rsidR="005C4E35">
              <w:rPr>
                <w:rStyle w:val="normaltextrun"/>
                <w:rFonts w:ascii="Times New Roman" w:hAnsi="Times New Roman" w:cs="Times New Roman"/>
                <w:color w:val="000000" w:themeColor="text1"/>
              </w:rPr>
              <w:t xml:space="preserve">los 50 municipios con mayor </w:t>
            </w:r>
            <w:r w:rsidR="004D5D03">
              <w:rPr>
                <w:rStyle w:val="normaltextrun"/>
                <w:rFonts w:ascii="Times New Roman" w:hAnsi="Times New Roman" w:cs="Times New Roman"/>
                <w:color w:val="000000" w:themeColor="text1"/>
              </w:rPr>
              <w:t>valor por cuenta de este tributo en 2024</w:t>
            </w:r>
            <w:r>
              <w:rPr>
                <w:rStyle w:val="normaltextrun"/>
                <w:rFonts w:ascii="Times New Roman" w:hAnsi="Times New Roman" w:cs="Times New Roman"/>
                <w:color w:val="000000" w:themeColor="text1"/>
              </w:rPr>
              <w:t>. Nótese que solo tres ciudades capitales no lo han adoptado</w:t>
            </w:r>
            <w:r w:rsidR="0049023C">
              <w:rPr>
                <w:rStyle w:val="normaltextrun"/>
                <w:rFonts w:ascii="Times New Roman" w:hAnsi="Times New Roman" w:cs="Times New Roman"/>
                <w:color w:val="000000" w:themeColor="text1"/>
              </w:rPr>
              <w:t>:</w:t>
            </w:r>
            <w:r>
              <w:rPr>
                <w:rStyle w:val="normaltextrun"/>
                <w:rFonts w:ascii="Times New Roman" w:hAnsi="Times New Roman" w:cs="Times New Roman"/>
                <w:color w:val="000000" w:themeColor="text1"/>
              </w:rPr>
              <w:t xml:space="preserve"> </w:t>
            </w:r>
            <w:r w:rsidR="0049023C">
              <w:rPr>
                <w:rStyle w:val="normaltextrun"/>
                <w:rFonts w:ascii="Times New Roman" w:hAnsi="Times New Roman" w:cs="Times New Roman"/>
                <w:color w:val="000000" w:themeColor="text1"/>
              </w:rPr>
              <w:t>Bogotá</w:t>
            </w:r>
            <w:r>
              <w:rPr>
                <w:rStyle w:val="normaltextrun"/>
                <w:rFonts w:ascii="Times New Roman" w:hAnsi="Times New Roman" w:cs="Times New Roman"/>
                <w:color w:val="000000" w:themeColor="text1"/>
              </w:rPr>
              <w:t>, Manizales y San Andrés.</w:t>
            </w:r>
          </w:p>
          <w:p w14:paraId="791DE217" w14:textId="0A779075" w:rsidR="009D74A3" w:rsidRDefault="009D74A3" w:rsidP="009D74A3">
            <w:pPr>
              <w:pStyle w:val="paragraph"/>
              <w:spacing w:before="0" w:beforeAutospacing="0" w:after="0" w:afterAutospacing="0"/>
              <w:jc w:val="both"/>
              <w:textAlignment w:val="baseline"/>
              <w:rPr>
                <w:rStyle w:val="normaltextrun"/>
                <w:rFonts w:ascii="Times New Roman" w:hAnsi="Times New Roman" w:cs="Times New Roman"/>
                <w:color w:val="000000" w:themeColor="text1"/>
              </w:rPr>
            </w:pPr>
          </w:p>
          <w:p w14:paraId="7CE4EF6B" w14:textId="38994B80" w:rsidR="006A5CED" w:rsidRDefault="009D74A3" w:rsidP="009D74A3">
            <w:pPr>
              <w:pStyle w:val="paragraph"/>
              <w:spacing w:before="0" w:beforeAutospacing="0" w:after="0" w:afterAutospacing="0"/>
              <w:jc w:val="center"/>
              <w:textAlignment w:val="baseline"/>
              <w:rPr>
                <w:rStyle w:val="eop"/>
              </w:rPr>
            </w:pPr>
            <w:r w:rsidRPr="009D74A3">
              <w:rPr>
                <w:rStyle w:val="normaltextrun"/>
                <w:rFonts w:ascii="Times New Roman" w:hAnsi="Times New Roman" w:cs="Times New Roman"/>
                <w:b/>
                <w:bCs/>
              </w:rPr>
              <w:t>Tabla 1</w:t>
            </w:r>
            <w:r w:rsidR="00492377">
              <w:rPr>
                <w:rStyle w:val="normaltextrun"/>
                <w:rFonts w:ascii="Times New Roman" w:hAnsi="Times New Roman" w:cs="Times New Roman"/>
                <w:b/>
                <w:bCs/>
              </w:rPr>
              <w:t>4</w:t>
            </w:r>
            <w:r w:rsidR="006A5CED">
              <w:rPr>
                <w:rStyle w:val="eop"/>
              </w:rPr>
              <w:t xml:space="preserve">. </w:t>
            </w:r>
          </w:p>
          <w:p w14:paraId="2072E5AA" w14:textId="50A22D54" w:rsidR="00B64FFB" w:rsidRDefault="006A5CED">
            <w:pPr>
              <w:pStyle w:val="paragraph"/>
              <w:spacing w:before="0" w:beforeAutospacing="0" w:after="0" w:afterAutospacing="0"/>
              <w:jc w:val="center"/>
              <w:textAlignment w:val="baseline"/>
              <w:rPr>
                <w:rStyle w:val="eop"/>
                <w:b/>
                <w:bCs/>
              </w:rPr>
            </w:pPr>
            <w:r w:rsidRPr="00BD0316">
              <w:rPr>
                <w:rStyle w:val="eop"/>
                <w:b/>
              </w:rPr>
              <w:t xml:space="preserve">Recaudo del impuesto de alumbrado </w:t>
            </w:r>
            <w:r w:rsidR="002F4FC3" w:rsidRPr="00BD0316">
              <w:rPr>
                <w:rStyle w:val="eop"/>
                <w:b/>
              </w:rPr>
              <w:t>público</w:t>
            </w:r>
            <w:r w:rsidRPr="00BD0316">
              <w:rPr>
                <w:rStyle w:val="eop"/>
                <w:b/>
              </w:rPr>
              <w:t xml:space="preserve"> en </w:t>
            </w:r>
            <w:r w:rsidR="00C715B9" w:rsidRPr="00BD0316">
              <w:rPr>
                <w:rStyle w:val="eop"/>
                <w:b/>
                <w:bCs/>
              </w:rPr>
              <w:t xml:space="preserve">los 50 municipios con mayor </w:t>
            </w:r>
            <w:r w:rsidR="00B64FFB" w:rsidRPr="00BD0316">
              <w:rPr>
                <w:rStyle w:val="eop"/>
                <w:b/>
                <w:bCs/>
              </w:rPr>
              <w:t xml:space="preserve">valor en </w:t>
            </w:r>
            <w:r w:rsidRPr="00BD0316">
              <w:rPr>
                <w:rStyle w:val="eop"/>
                <w:b/>
                <w:bCs/>
              </w:rPr>
              <w:t>2024</w:t>
            </w:r>
          </w:p>
          <w:p w14:paraId="68978532" w14:textId="41650977" w:rsidR="00B64FFB" w:rsidRPr="00740130" w:rsidRDefault="007938F5">
            <w:pPr>
              <w:pStyle w:val="paragraph"/>
              <w:spacing w:before="0" w:beforeAutospacing="0" w:after="0" w:afterAutospacing="0"/>
              <w:jc w:val="center"/>
              <w:textAlignment w:val="baseline"/>
              <w:rPr>
                <w:rStyle w:val="eop"/>
                <w:i/>
                <w:iCs/>
              </w:rPr>
            </w:pPr>
            <w:r>
              <w:rPr>
                <w:rStyle w:val="eop"/>
                <w:i/>
                <w:iCs/>
              </w:rPr>
              <w:t>M</w:t>
            </w:r>
            <w:r w:rsidR="00B64FFB" w:rsidRPr="00740130">
              <w:rPr>
                <w:rStyle w:val="eop"/>
                <w:i/>
                <w:iCs/>
              </w:rPr>
              <w:t>illones</w:t>
            </w:r>
            <w:r>
              <w:rPr>
                <w:rStyle w:val="eop"/>
                <w:i/>
                <w:iCs/>
              </w:rPr>
              <w:t xml:space="preserve"> de pesos</w:t>
            </w:r>
          </w:p>
          <w:p w14:paraId="643ECEDE" w14:textId="77777777" w:rsidR="00A3000A" w:rsidRDefault="00A3000A" w:rsidP="009D74A3">
            <w:pPr>
              <w:pStyle w:val="paragraph"/>
              <w:spacing w:before="0" w:beforeAutospacing="0" w:after="0" w:afterAutospacing="0"/>
              <w:jc w:val="center"/>
              <w:textAlignment w:val="baseline"/>
              <w:rPr>
                <w:rStyle w:val="eop"/>
                <w:b/>
                <w:bCs/>
              </w:rPr>
            </w:pPr>
          </w:p>
          <w:tbl>
            <w:tblPr>
              <w:tblW w:w="0" w:type="auto"/>
              <w:jc w:val="center"/>
              <w:tblLayout w:type="fixed"/>
              <w:tblCellMar>
                <w:left w:w="70" w:type="dxa"/>
                <w:right w:w="70" w:type="dxa"/>
              </w:tblCellMar>
              <w:tblLook w:val="04A0" w:firstRow="1" w:lastRow="0" w:firstColumn="1" w:lastColumn="0" w:noHBand="0" w:noVBand="1"/>
            </w:tblPr>
            <w:tblGrid>
              <w:gridCol w:w="1936"/>
              <w:gridCol w:w="1350"/>
              <w:gridCol w:w="1350"/>
              <w:gridCol w:w="1405"/>
            </w:tblGrid>
            <w:tr w:rsidR="00A3000A" w:rsidRPr="00B64FFB" w14:paraId="4FACB803" w14:textId="77777777" w:rsidTr="00BD0316">
              <w:trPr>
                <w:trHeight w:val="227"/>
                <w:tblHeader/>
                <w:jc w:val="center"/>
              </w:trPr>
              <w:tc>
                <w:tcPr>
                  <w:tcW w:w="1936" w:type="dxa"/>
                  <w:tcBorders>
                    <w:top w:val="single" w:sz="4" w:space="0" w:color="auto"/>
                    <w:left w:val="single" w:sz="4" w:space="0" w:color="auto"/>
                    <w:bottom w:val="single" w:sz="4" w:space="0" w:color="auto"/>
                    <w:right w:val="single" w:sz="4" w:space="0" w:color="auto"/>
                  </w:tcBorders>
                  <w:shd w:val="clear" w:color="000000" w:fill="002060"/>
                  <w:vAlign w:val="center"/>
                  <w:hideMark/>
                </w:tcPr>
                <w:p w14:paraId="425FCCE5" w14:textId="77777777" w:rsidR="00A3000A" w:rsidRPr="00740130" w:rsidRDefault="00A3000A" w:rsidP="00A3000A">
                  <w:pPr>
                    <w:spacing w:after="0" w:line="240" w:lineRule="auto"/>
                    <w:jc w:val="center"/>
                    <w:rPr>
                      <w:rFonts w:ascii="Times New Roman" w:eastAsia="Times New Roman" w:hAnsi="Times New Roman" w:cs="Times New Roman"/>
                      <w:b/>
                      <w:bCs/>
                      <w:color w:val="FFFFFF"/>
                      <w:lang w:val="es-419" w:eastAsia="es-419"/>
                    </w:rPr>
                  </w:pPr>
                  <w:r w:rsidRPr="00740130">
                    <w:rPr>
                      <w:rFonts w:ascii="Times New Roman" w:eastAsia="Times New Roman" w:hAnsi="Times New Roman" w:cs="Times New Roman"/>
                      <w:b/>
                      <w:bCs/>
                      <w:color w:val="FFFFFF"/>
                      <w:lang w:val="es-419" w:eastAsia="es-419"/>
                    </w:rPr>
                    <w:t>Municipio</w:t>
                  </w:r>
                </w:p>
              </w:tc>
              <w:tc>
                <w:tcPr>
                  <w:tcW w:w="1350" w:type="dxa"/>
                  <w:tcBorders>
                    <w:top w:val="single" w:sz="4" w:space="0" w:color="auto"/>
                    <w:left w:val="nil"/>
                    <w:bottom w:val="single" w:sz="4" w:space="0" w:color="auto"/>
                    <w:right w:val="single" w:sz="4" w:space="0" w:color="auto"/>
                  </w:tcBorders>
                  <w:shd w:val="clear" w:color="000000" w:fill="002060"/>
                  <w:vAlign w:val="center"/>
                  <w:hideMark/>
                </w:tcPr>
                <w:p w14:paraId="70443D96" w14:textId="77777777" w:rsidR="00A3000A" w:rsidRPr="00740130" w:rsidRDefault="00A3000A" w:rsidP="00A3000A">
                  <w:pPr>
                    <w:spacing w:after="0" w:line="240" w:lineRule="auto"/>
                    <w:jc w:val="center"/>
                    <w:rPr>
                      <w:rFonts w:ascii="Times New Roman" w:eastAsia="Times New Roman" w:hAnsi="Times New Roman" w:cs="Times New Roman"/>
                      <w:b/>
                      <w:bCs/>
                      <w:color w:val="FFFFFF"/>
                      <w:lang w:val="es-419" w:eastAsia="es-419"/>
                    </w:rPr>
                  </w:pPr>
                  <w:r w:rsidRPr="00740130">
                    <w:rPr>
                      <w:rFonts w:ascii="Times New Roman" w:eastAsia="Times New Roman" w:hAnsi="Times New Roman" w:cs="Times New Roman"/>
                      <w:b/>
                      <w:bCs/>
                      <w:color w:val="FFFFFF"/>
                      <w:lang w:val="es-419" w:eastAsia="es-419"/>
                    </w:rPr>
                    <w:t>2022</w:t>
                  </w:r>
                </w:p>
              </w:tc>
              <w:tc>
                <w:tcPr>
                  <w:tcW w:w="1350" w:type="dxa"/>
                  <w:tcBorders>
                    <w:top w:val="single" w:sz="4" w:space="0" w:color="auto"/>
                    <w:left w:val="nil"/>
                    <w:bottom w:val="single" w:sz="4" w:space="0" w:color="auto"/>
                    <w:right w:val="single" w:sz="4" w:space="0" w:color="auto"/>
                  </w:tcBorders>
                  <w:shd w:val="clear" w:color="000000" w:fill="002060"/>
                  <w:vAlign w:val="center"/>
                  <w:hideMark/>
                </w:tcPr>
                <w:p w14:paraId="04FB9FE1" w14:textId="77777777" w:rsidR="00A3000A" w:rsidRPr="00740130" w:rsidRDefault="00A3000A" w:rsidP="00A3000A">
                  <w:pPr>
                    <w:spacing w:after="0" w:line="240" w:lineRule="auto"/>
                    <w:jc w:val="center"/>
                    <w:rPr>
                      <w:rFonts w:ascii="Times New Roman" w:eastAsia="Times New Roman" w:hAnsi="Times New Roman" w:cs="Times New Roman"/>
                      <w:b/>
                      <w:bCs/>
                      <w:color w:val="FFFFFF"/>
                      <w:lang w:val="es-419" w:eastAsia="es-419"/>
                    </w:rPr>
                  </w:pPr>
                  <w:r w:rsidRPr="00740130">
                    <w:rPr>
                      <w:rFonts w:ascii="Times New Roman" w:eastAsia="Times New Roman" w:hAnsi="Times New Roman" w:cs="Times New Roman"/>
                      <w:b/>
                      <w:bCs/>
                      <w:color w:val="FFFFFF"/>
                      <w:lang w:val="es-419" w:eastAsia="es-419"/>
                    </w:rPr>
                    <w:t>2023</w:t>
                  </w:r>
                </w:p>
              </w:tc>
              <w:tc>
                <w:tcPr>
                  <w:tcW w:w="1405" w:type="dxa"/>
                  <w:tcBorders>
                    <w:top w:val="single" w:sz="4" w:space="0" w:color="auto"/>
                    <w:left w:val="nil"/>
                    <w:bottom w:val="single" w:sz="4" w:space="0" w:color="auto"/>
                    <w:right w:val="single" w:sz="4" w:space="0" w:color="auto"/>
                  </w:tcBorders>
                  <w:shd w:val="clear" w:color="000000" w:fill="002060"/>
                  <w:vAlign w:val="center"/>
                  <w:hideMark/>
                </w:tcPr>
                <w:p w14:paraId="44311BEE" w14:textId="77777777" w:rsidR="00A3000A" w:rsidRPr="00740130" w:rsidRDefault="00A3000A" w:rsidP="00A3000A">
                  <w:pPr>
                    <w:spacing w:after="0" w:line="240" w:lineRule="auto"/>
                    <w:jc w:val="center"/>
                    <w:rPr>
                      <w:rFonts w:ascii="Times New Roman" w:eastAsia="Times New Roman" w:hAnsi="Times New Roman" w:cs="Times New Roman"/>
                      <w:b/>
                      <w:bCs/>
                      <w:color w:val="FFFFFF"/>
                      <w:lang w:val="es-419" w:eastAsia="es-419"/>
                    </w:rPr>
                  </w:pPr>
                  <w:r w:rsidRPr="00740130">
                    <w:rPr>
                      <w:rFonts w:ascii="Times New Roman" w:eastAsia="Times New Roman" w:hAnsi="Times New Roman" w:cs="Times New Roman"/>
                      <w:b/>
                      <w:bCs/>
                      <w:color w:val="FFFFFF"/>
                      <w:lang w:val="es-419" w:eastAsia="es-419"/>
                    </w:rPr>
                    <w:t>2024</w:t>
                  </w:r>
                </w:p>
              </w:tc>
            </w:tr>
            <w:tr w:rsidR="00B64FFB" w:rsidRPr="00B64FFB" w14:paraId="6A362CFA"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227C83BD"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Cali                                                                                                                                                                                                    </w:t>
                  </w:r>
                </w:p>
              </w:tc>
              <w:tc>
                <w:tcPr>
                  <w:tcW w:w="1350" w:type="dxa"/>
                  <w:tcBorders>
                    <w:top w:val="nil"/>
                    <w:left w:val="nil"/>
                    <w:bottom w:val="single" w:sz="4" w:space="0" w:color="auto"/>
                    <w:right w:val="single" w:sz="4" w:space="0" w:color="auto"/>
                  </w:tcBorders>
                  <w:noWrap/>
                  <w:vAlign w:val="bottom"/>
                  <w:hideMark/>
                </w:tcPr>
                <w:p w14:paraId="1DD6A934"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192.760 </w:t>
                  </w:r>
                </w:p>
              </w:tc>
              <w:tc>
                <w:tcPr>
                  <w:tcW w:w="1350" w:type="dxa"/>
                  <w:tcBorders>
                    <w:top w:val="nil"/>
                    <w:left w:val="nil"/>
                    <w:bottom w:val="single" w:sz="4" w:space="0" w:color="auto"/>
                    <w:right w:val="single" w:sz="4" w:space="0" w:color="auto"/>
                  </w:tcBorders>
                  <w:noWrap/>
                  <w:vAlign w:val="bottom"/>
                  <w:hideMark/>
                </w:tcPr>
                <w:p w14:paraId="4F25E491"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219.940 </w:t>
                  </w:r>
                </w:p>
              </w:tc>
              <w:tc>
                <w:tcPr>
                  <w:tcW w:w="1405" w:type="dxa"/>
                  <w:tcBorders>
                    <w:top w:val="nil"/>
                    <w:left w:val="nil"/>
                    <w:bottom w:val="single" w:sz="4" w:space="0" w:color="auto"/>
                    <w:right w:val="single" w:sz="4" w:space="0" w:color="auto"/>
                  </w:tcBorders>
                  <w:noWrap/>
                  <w:vAlign w:val="bottom"/>
                  <w:hideMark/>
                </w:tcPr>
                <w:p w14:paraId="7BBE5CBF"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249.133 </w:t>
                  </w:r>
                </w:p>
              </w:tc>
            </w:tr>
            <w:tr w:rsidR="00B64FFB" w:rsidRPr="00B64FFB" w14:paraId="41851602"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7ECB1FC0"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Medellín                                                                                                                                                                                                </w:t>
                  </w:r>
                </w:p>
              </w:tc>
              <w:tc>
                <w:tcPr>
                  <w:tcW w:w="1350" w:type="dxa"/>
                  <w:tcBorders>
                    <w:top w:val="nil"/>
                    <w:left w:val="nil"/>
                    <w:bottom w:val="single" w:sz="4" w:space="0" w:color="auto"/>
                    <w:right w:val="single" w:sz="4" w:space="0" w:color="auto"/>
                  </w:tcBorders>
                  <w:noWrap/>
                  <w:vAlign w:val="bottom"/>
                  <w:hideMark/>
                </w:tcPr>
                <w:p w14:paraId="518E1637"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78.131 </w:t>
                  </w:r>
                </w:p>
              </w:tc>
              <w:tc>
                <w:tcPr>
                  <w:tcW w:w="1350" w:type="dxa"/>
                  <w:tcBorders>
                    <w:top w:val="nil"/>
                    <w:left w:val="nil"/>
                    <w:bottom w:val="single" w:sz="4" w:space="0" w:color="auto"/>
                    <w:right w:val="single" w:sz="4" w:space="0" w:color="auto"/>
                  </w:tcBorders>
                  <w:noWrap/>
                  <w:vAlign w:val="bottom"/>
                  <w:hideMark/>
                </w:tcPr>
                <w:p w14:paraId="52F7136C"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57.618 </w:t>
                  </w:r>
                </w:p>
              </w:tc>
              <w:tc>
                <w:tcPr>
                  <w:tcW w:w="1405" w:type="dxa"/>
                  <w:tcBorders>
                    <w:top w:val="nil"/>
                    <w:left w:val="nil"/>
                    <w:bottom w:val="single" w:sz="4" w:space="0" w:color="auto"/>
                    <w:right w:val="single" w:sz="4" w:space="0" w:color="auto"/>
                  </w:tcBorders>
                  <w:noWrap/>
                  <w:vAlign w:val="bottom"/>
                  <w:hideMark/>
                </w:tcPr>
                <w:p w14:paraId="6BB0EF19"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117.239 </w:t>
                  </w:r>
                </w:p>
              </w:tc>
            </w:tr>
            <w:tr w:rsidR="00B64FFB" w:rsidRPr="00B64FFB" w14:paraId="57BFF20D"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6898B249"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Barranquilla                                                                                                                                                                                            </w:t>
                  </w:r>
                </w:p>
              </w:tc>
              <w:tc>
                <w:tcPr>
                  <w:tcW w:w="1350" w:type="dxa"/>
                  <w:tcBorders>
                    <w:top w:val="nil"/>
                    <w:left w:val="nil"/>
                    <w:bottom w:val="single" w:sz="4" w:space="0" w:color="auto"/>
                    <w:right w:val="single" w:sz="4" w:space="0" w:color="auto"/>
                  </w:tcBorders>
                  <w:noWrap/>
                  <w:vAlign w:val="bottom"/>
                  <w:hideMark/>
                </w:tcPr>
                <w:p w14:paraId="44FC9148"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86.686 </w:t>
                  </w:r>
                </w:p>
              </w:tc>
              <w:tc>
                <w:tcPr>
                  <w:tcW w:w="1350" w:type="dxa"/>
                  <w:tcBorders>
                    <w:top w:val="nil"/>
                    <w:left w:val="nil"/>
                    <w:bottom w:val="single" w:sz="4" w:space="0" w:color="auto"/>
                    <w:right w:val="single" w:sz="4" w:space="0" w:color="auto"/>
                  </w:tcBorders>
                  <w:noWrap/>
                  <w:vAlign w:val="bottom"/>
                  <w:hideMark/>
                </w:tcPr>
                <w:p w14:paraId="285E4D2D"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99.689 </w:t>
                  </w:r>
                </w:p>
              </w:tc>
              <w:tc>
                <w:tcPr>
                  <w:tcW w:w="1405" w:type="dxa"/>
                  <w:tcBorders>
                    <w:top w:val="nil"/>
                    <w:left w:val="nil"/>
                    <w:bottom w:val="single" w:sz="4" w:space="0" w:color="auto"/>
                    <w:right w:val="single" w:sz="4" w:space="0" w:color="auto"/>
                  </w:tcBorders>
                  <w:noWrap/>
                  <w:vAlign w:val="bottom"/>
                  <w:hideMark/>
                </w:tcPr>
                <w:p w14:paraId="44C37EE7"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115.796 </w:t>
                  </w:r>
                </w:p>
              </w:tc>
            </w:tr>
            <w:tr w:rsidR="00B64FFB" w:rsidRPr="00B64FFB" w14:paraId="42458FCD"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5D450E3D"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Cartagena De Indias                                                                                                                                                                                     </w:t>
                  </w:r>
                </w:p>
              </w:tc>
              <w:tc>
                <w:tcPr>
                  <w:tcW w:w="1350" w:type="dxa"/>
                  <w:tcBorders>
                    <w:top w:val="nil"/>
                    <w:left w:val="nil"/>
                    <w:bottom w:val="single" w:sz="4" w:space="0" w:color="auto"/>
                    <w:right w:val="single" w:sz="4" w:space="0" w:color="auto"/>
                  </w:tcBorders>
                  <w:noWrap/>
                  <w:vAlign w:val="bottom"/>
                  <w:hideMark/>
                </w:tcPr>
                <w:p w14:paraId="3D402010"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64.987 </w:t>
                  </w:r>
                </w:p>
              </w:tc>
              <w:tc>
                <w:tcPr>
                  <w:tcW w:w="1350" w:type="dxa"/>
                  <w:tcBorders>
                    <w:top w:val="nil"/>
                    <w:left w:val="nil"/>
                    <w:bottom w:val="single" w:sz="4" w:space="0" w:color="auto"/>
                    <w:right w:val="single" w:sz="4" w:space="0" w:color="auto"/>
                  </w:tcBorders>
                  <w:noWrap/>
                  <w:vAlign w:val="bottom"/>
                  <w:hideMark/>
                </w:tcPr>
                <w:p w14:paraId="601AE0D9"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58.853 </w:t>
                  </w:r>
                </w:p>
              </w:tc>
              <w:tc>
                <w:tcPr>
                  <w:tcW w:w="1405" w:type="dxa"/>
                  <w:tcBorders>
                    <w:top w:val="nil"/>
                    <w:left w:val="nil"/>
                    <w:bottom w:val="single" w:sz="4" w:space="0" w:color="auto"/>
                    <w:right w:val="single" w:sz="4" w:space="0" w:color="auto"/>
                  </w:tcBorders>
                  <w:noWrap/>
                  <w:vAlign w:val="bottom"/>
                  <w:hideMark/>
                </w:tcPr>
                <w:p w14:paraId="0230D946"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77.812 </w:t>
                  </w:r>
                </w:p>
              </w:tc>
            </w:tr>
            <w:tr w:rsidR="00B64FFB" w:rsidRPr="00B64FFB" w14:paraId="65D12CBD"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14D8151D"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Bucaramanga                                                                                                                                                                                             </w:t>
                  </w:r>
                </w:p>
              </w:tc>
              <w:tc>
                <w:tcPr>
                  <w:tcW w:w="1350" w:type="dxa"/>
                  <w:tcBorders>
                    <w:top w:val="nil"/>
                    <w:left w:val="nil"/>
                    <w:bottom w:val="single" w:sz="4" w:space="0" w:color="auto"/>
                    <w:right w:val="single" w:sz="4" w:space="0" w:color="auto"/>
                  </w:tcBorders>
                  <w:noWrap/>
                  <w:vAlign w:val="bottom"/>
                  <w:hideMark/>
                </w:tcPr>
                <w:p w14:paraId="40AEA3F2"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50.743 </w:t>
                  </w:r>
                </w:p>
              </w:tc>
              <w:tc>
                <w:tcPr>
                  <w:tcW w:w="1350" w:type="dxa"/>
                  <w:tcBorders>
                    <w:top w:val="nil"/>
                    <w:left w:val="nil"/>
                    <w:bottom w:val="single" w:sz="4" w:space="0" w:color="auto"/>
                    <w:right w:val="single" w:sz="4" w:space="0" w:color="auto"/>
                  </w:tcBorders>
                  <w:noWrap/>
                  <w:vAlign w:val="bottom"/>
                  <w:hideMark/>
                </w:tcPr>
                <w:p w14:paraId="06D44D6A"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64.120 </w:t>
                  </w:r>
                </w:p>
              </w:tc>
              <w:tc>
                <w:tcPr>
                  <w:tcW w:w="1405" w:type="dxa"/>
                  <w:tcBorders>
                    <w:top w:val="nil"/>
                    <w:left w:val="nil"/>
                    <w:bottom w:val="single" w:sz="4" w:space="0" w:color="auto"/>
                    <w:right w:val="single" w:sz="4" w:space="0" w:color="auto"/>
                  </w:tcBorders>
                  <w:noWrap/>
                  <w:vAlign w:val="bottom"/>
                  <w:hideMark/>
                </w:tcPr>
                <w:p w14:paraId="19AA8E76"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77.624 </w:t>
                  </w:r>
                </w:p>
              </w:tc>
            </w:tr>
            <w:tr w:rsidR="00B64FFB" w:rsidRPr="00B64FFB" w14:paraId="585F72C0"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7E65F77F"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Cúcuta                                                                                                                                                                                                  </w:t>
                  </w:r>
                </w:p>
              </w:tc>
              <w:tc>
                <w:tcPr>
                  <w:tcW w:w="1350" w:type="dxa"/>
                  <w:tcBorders>
                    <w:top w:val="nil"/>
                    <w:left w:val="nil"/>
                    <w:bottom w:val="single" w:sz="4" w:space="0" w:color="auto"/>
                    <w:right w:val="single" w:sz="4" w:space="0" w:color="auto"/>
                  </w:tcBorders>
                  <w:noWrap/>
                  <w:vAlign w:val="bottom"/>
                  <w:hideMark/>
                </w:tcPr>
                <w:p w14:paraId="28D4B51B"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35.345 </w:t>
                  </w:r>
                </w:p>
              </w:tc>
              <w:tc>
                <w:tcPr>
                  <w:tcW w:w="1350" w:type="dxa"/>
                  <w:tcBorders>
                    <w:top w:val="nil"/>
                    <w:left w:val="nil"/>
                    <w:bottom w:val="single" w:sz="4" w:space="0" w:color="auto"/>
                    <w:right w:val="single" w:sz="4" w:space="0" w:color="auto"/>
                  </w:tcBorders>
                  <w:noWrap/>
                  <w:vAlign w:val="bottom"/>
                  <w:hideMark/>
                </w:tcPr>
                <w:p w14:paraId="03348AEE"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36.405 </w:t>
                  </w:r>
                </w:p>
              </w:tc>
              <w:tc>
                <w:tcPr>
                  <w:tcW w:w="1405" w:type="dxa"/>
                  <w:tcBorders>
                    <w:top w:val="nil"/>
                    <w:left w:val="nil"/>
                    <w:bottom w:val="single" w:sz="4" w:space="0" w:color="auto"/>
                    <w:right w:val="single" w:sz="4" w:space="0" w:color="auto"/>
                  </w:tcBorders>
                  <w:noWrap/>
                  <w:vAlign w:val="bottom"/>
                  <w:hideMark/>
                </w:tcPr>
                <w:p w14:paraId="11C26FD5"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72.229 </w:t>
                  </w:r>
                </w:p>
              </w:tc>
            </w:tr>
            <w:tr w:rsidR="00B64FFB" w:rsidRPr="00B64FFB" w14:paraId="7EE2E535"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66EC58D2"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Montería                                                                                                                                                                                                </w:t>
                  </w:r>
                </w:p>
              </w:tc>
              <w:tc>
                <w:tcPr>
                  <w:tcW w:w="1350" w:type="dxa"/>
                  <w:tcBorders>
                    <w:top w:val="nil"/>
                    <w:left w:val="nil"/>
                    <w:bottom w:val="single" w:sz="4" w:space="0" w:color="auto"/>
                    <w:right w:val="single" w:sz="4" w:space="0" w:color="auto"/>
                  </w:tcBorders>
                  <w:noWrap/>
                  <w:vAlign w:val="bottom"/>
                  <w:hideMark/>
                </w:tcPr>
                <w:p w14:paraId="14185811"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21.846 </w:t>
                  </w:r>
                </w:p>
              </w:tc>
              <w:tc>
                <w:tcPr>
                  <w:tcW w:w="1350" w:type="dxa"/>
                  <w:tcBorders>
                    <w:top w:val="nil"/>
                    <w:left w:val="nil"/>
                    <w:bottom w:val="single" w:sz="4" w:space="0" w:color="auto"/>
                    <w:right w:val="single" w:sz="4" w:space="0" w:color="auto"/>
                  </w:tcBorders>
                  <w:noWrap/>
                  <w:vAlign w:val="bottom"/>
                  <w:hideMark/>
                </w:tcPr>
                <w:p w14:paraId="04F74D9C"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54.073 </w:t>
                  </w:r>
                </w:p>
              </w:tc>
              <w:tc>
                <w:tcPr>
                  <w:tcW w:w="1405" w:type="dxa"/>
                  <w:tcBorders>
                    <w:top w:val="nil"/>
                    <w:left w:val="nil"/>
                    <w:bottom w:val="single" w:sz="4" w:space="0" w:color="auto"/>
                    <w:right w:val="single" w:sz="4" w:space="0" w:color="auto"/>
                  </w:tcBorders>
                  <w:noWrap/>
                  <w:vAlign w:val="bottom"/>
                  <w:hideMark/>
                </w:tcPr>
                <w:p w14:paraId="1E690D73"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67.487 </w:t>
                  </w:r>
                </w:p>
              </w:tc>
            </w:tr>
            <w:tr w:rsidR="00B64FFB" w:rsidRPr="00B64FFB" w14:paraId="7F0C955C"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0B789547"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Villavicencio                                                                                                                                                                                           </w:t>
                  </w:r>
                </w:p>
              </w:tc>
              <w:tc>
                <w:tcPr>
                  <w:tcW w:w="1350" w:type="dxa"/>
                  <w:tcBorders>
                    <w:top w:val="nil"/>
                    <w:left w:val="nil"/>
                    <w:bottom w:val="single" w:sz="4" w:space="0" w:color="auto"/>
                    <w:right w:val="single" w:sz="4" w:space="0" w:color="auto"/>
                  </w:tcBorders>
                  <w:noWrap/>
                  <w:vAlign w:val="bottom"/>
                  <w:hideMark/>
                </w:tcPr>
                <w:p w14:paraId="2C036E28"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39.172 </w:t>
                  </w:r>
                </w:p>
              </w:tc>
              <w:tc>
                <w:tcPr>
                  <w:tcW w:w="1350" w:type="dxa"/>
                  <w:tcBorders>
                    <w:top w:val="nil"/>
                    <w:left w:val="nil"/>
                    <w:bottom w:val="single" w:sz="4" w:space="0" w:color="auto"/>
                    <w:right w:val="single" w:sz="4" w:space="0" w:color="auto"/>
                  </w:tcBorders>
                  <w:noWrap/>
                  <w:vAlign w:val="bottom"/>
                  <w:hideMark/>
                </w:tcPr>
                <w:p w14:paraId="1AA5B233"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63.444 </w:t>
                  </w:r>
                </w:p>
              </w:tc>
              <w:tc>
                <w:tcPr>
                  <w:tcW w:w="1405" w:type="dxa"/>
                  <w:tcBorders>
                    <w:top w:val="nil"/>
                    <w:left w:val="nil"/>
                    <w:bottom w:val="single" w:sz="4" w:space="0" w:color="auto"/>
                    <w:right w:val="single" w:sz="4" w:space="0" w:color="auto"/>
                  </w:tcBorders>
                  <w:noWrap/>
                  <w:vAlign w:val="bottom"/>
                  <w:hideMark/>
                </w:tcPr>
                <w:p w14:paraId="61B214CF"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50.567 </w:t>
                  </w:r>
                </w:p>
              </w:tc>
            </w:tr>
            <w:tr w:rsidR="00B64FFB" w:rsidRPr="00B64FFB" w14:paraId="148CE2FC"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18DBAF38"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Valledupar                                                                                                                                                                                              </w:t>
                  </w:r>
                </w:p>
              </w:tc>
              <w:tc>
                <w:tcPr>
                  <w:tcW w:w="1350" w:type="dxa"/>
                  <w:tcBorders>
                    <w:top w:val="nil"/>
                    <w:left w:val="nil"/>
                    <w:bottom w:val="single" w:sz="4" w:space="0" w:color="auto"/>
                    <w:right w:val="single" w:sz="4" w:space="0" w:color="auto"/>
                  </w:tcBorders>
                  <w:noWrap/>
                  <w:vAlign w:val="bottom"/>
                  <w:hideMark/>
                </w:tcPr>
                <w:p w14:paraId="3EDDB084"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36.803 </w:t>
                  </w:r>
                </w:p>
              </w:tc>
              <w:tc>
                <w:tcPr>
                  <w:tcW w:w="1350" w:type="dxa"/>
                  <w:tcBorders>
                    <w:top w:val="nil"/>
                    <w:left w:val="nil"/>
                    <w:bottom w:val="single" w:sz="4" w:space="0" w:color="auto"/>
                    <w:right w:val="single" w:sz="4" w:space="0" w:color="auto"/>
                  </w:tcBorders>
                  <w:noWrap/>
                  <w:vAlign w:val="bottom"/>
                  <w:hideMark/>
                </w:tcPr>
                <w:p w14:paraId="59C98222"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32.897 </w:t>
                  </w:r>
                </w:p>
              </w:tc>
              <w:tc>
                <w:tcPr>
                  <w:tcW w:w="1405" w:type="dxa"/>
                  <w:tcBorders>
                    <w:top w:val="nil"/>
                    <w:left w:val="nil"/>
                    <w:bottom w:val="single" w:sz="4" w:space="0" w:color="auto"/>
                    <w:right w:val="single" w:sz="4" w:space="0" w:color="auto"/>
                  </w:tcBorders>
                  <w:noWrap/>
                  <w:vAlign w:val="bottom"/>
                  <w:hideMark/>
                </w:tcPr>
                <w:p w14:paraId="22922573"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48.522 </w:t>
                  </w:r>
                </w:p>
              </w:tc>
            </w:tr>
            <w:tr w:rsidR="00B64FFB" w:rsidRPr="00B64FFB" w14:paraId="155F2354"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0E073231"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Barrancabermeja                                                                                                                                                                                         </w:t>
                  </w:r>
                </w:p>
              </w:tc>
              <w:tc>
                <w:tcPr>
                  <w:tcW w:w="1350" w:type="dxa"/>
                  <w:tcBorders>
                    <w:top w:val="nil"/>
                    <w:left w:val="nil"/>
                    <w:bottom w:val="single" w:sz="4" w:space="0" w:color="auto"/>
                    <w:right w:val="single" w:sz="4" w:space="0" w:color="auto"/>
                  </w:tcBorders>
                  <w:noWrap/>
                  <w:vAlign w:val="bottom"/>
                  <w:hideMark/>
                </w:tcPr>
                <w:p w14:paraId="451D2E4F"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36.700 </w:t>
                  </w:r>
                </w:p>
              </w:tc>
              <w:tc>
                <w:tcPr>
                  <w:tcW w:w="1350" w:type="dxa"/>
                  <w:tcBorders>
                    <w:top w:val="nil"/>
                    <w:left w:val="nil"/>
                    <w:bottom w:val="single" w:sz="4" w:space="0" w:color="auto"/>
                    <w:right w:val="single" w:sz="4" w:space="0" w:color="auto"/>
                  </w:tcBorders>
                  <w:noWrap/>
                  <w:vAlign w:val="bottom"/>
                  <w:hideMark/>
                </w:tcPr>
                <w:p w14:paraId="0B86627F"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39.237 </w:t>
                  </w:r>
                </w:p>
              </w:tc>
              <w:tc>
                <w:tcPr>
                  <w:tcW w:w="1405" w:type="dxa"/>
                  <w:tcBorders>
                    <w:top w:val="nil"/>
                    <w:left w:val="nil"/>
                    <w:bottom w:val="single" w:sz="4" w:space="0" w:color="auto"/>
                    <w:right w:val="single" w:sz="4" w:space="0" w:color="auto"/>
                  </w:tcBorders>
                  <w:noWrap/>
                  <w:vAlign w:val="bottom"/>
                  <w:hideMark/>
                </w:tcPr>
                <w:p w14:paraId="3D7D54CA"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46.366 </w:t>
                  </w:r>
                </w:p>
              </w:tc>
            </w:tr>
            <w:tr w:rsidR="00B64FFB" w:rsidRPr="00B64FFB" w14:paraId="3ABAE751"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598E2158"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Palmira                                                                                                                                                                                                 </w:t>
                  </w:r>
                </w:p>
              </w:tc>
              <w:tc>
                <w:tcPr>
                  <w:tcW w:w="1350" w:type="dxa"/>
                  <w:tcBorders>
                    <w:top w:val="nil"/>
                    <w:left w:val="nil"/>
                    <w:bottom w:val="single" w:sz="4" w:space="0" w:color="auto"/>
                    <w:right w:val="single" w:sz="4" w:space="0" w:color="auto"/>
                  </w:tcBorders>
                  <w:noWrap/>
                  <w:vAlign w:val="bottom"/>
                  <w:hideMark/>
                </w:tcPr>
                <w:p w14:paraId="3CA21D70"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27.069 </w:t>
                  </w:r>
                </w:p>
              </w:tc>
              <w:tc>
                <w:tcPr>
                  <w:tcW w:w="1350" w:type="dxa"/>
                  <w:tcBorders>
                    <w:top w:val="nil"/>
                    <w:left w:val="nil"/>
                    <w:bottom w:val="single" w:sz="4" w:space="0" w:color="auto"/>
                    <w:right w:val="single" w:sz="4" w:space="0" w:color="auto"/>
                  </w:tcBorders>
                  <w:noWrap/>
                  <w:vAlign w:val="bottom"/>
                  <w:hideMark/>
                </w:tcPr>
                <w:p w14:paraId="32501DD1"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29.576 </w:t>
                  </w:r>
                </w:p>
              </w:tc>
              <w:tc>
                <w:tcPr>
                  <w:tcW w:w="1405" w:type="dxa"/>
                  <w:tcBorders>
                    <w:top w:val="nil"/>
                    <w:left w:val="nil"/>
                    <w:bottom w:val="single" w:sz="4" w:space="0" w:color="auto"/>
                    <w:right w:val="single" w:sz="4" w:space="0" w:color="auto"/>
                  </w:tcBorders>
                  <w:noWrap/>
                  <w:vAlign w:val="bottom"/>
                  <w:hideMark/>
                </w:tcPr>
                <w:p w14:paraId="4694A362"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35.649 </w:t>
                  </w:r>
                </w:p>
              </w:tc>
            </w:tr>
            <w:tr w:rsidR="00B64FFB" w:rsidRPr="00B64FFB" w14:paraId="793849F7"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4C773821"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Pereira                                                                                                                                                                                                 </w:t>
                  </w:r>
                </w:p>
              </w:tc>
              <w:tc>
                <w:tcPr>
                  <w:tcW w:w="1350" w:type="dxa"/>
                  <w:tcBorders>
                    <w:top w:val="nil"/>
                    <w:left w:val="nil"/>
                    <w:bottom w:val="single" w:sz="4" w:space="0" w:color="auto"/>
                    <w:right w:val="single" w:sz="4" w:space="0" w:color="auto"/>
                  </w:tcBorders>
                  <w:noWrap/>
                  <w:vAlign w:val="bottom"/>
                  <w:hideMark/>
                </w:tcPr>
                <w:p w14:paraId="14B13464"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24.892 </w:t>
                  </w:r>
                </w:p>
              </w:tc>
              <w:tc>
                <w:tcPr>
                  <w:tcW w:w="1350" w:type="dxa"/>
                  <w:tcBorders>
                    <w:top w:val="nil"/>
                    <w:left w:val="nil"/>
                    <w:bottom w:val="single" w:sz="4" w:space="0" w:color="auto"/>
                    <w:right w:val="single" w:sz="4" w:space="0" w:color="auto"/>
                  </w:tcBorders>
                  <w:noWrap/>
                  <w:vAlign w:val="bottom"/>
                  <w:hideMark/>
                </w:tcPr>
                <w:p w14:paraId="6D33911B"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31.327 </w:t>
                  </w:r>
                </w:p>
              </w:tc>
              <w:tc>
                <w:tcPr>
                  <w:tcW w:w="1405" w:type="dxa"/>
                  <w:tcBorders>
                    <w:top w:val="nil"/>
                    <w:left w:val="nil"/>
                    <w:bottom w:val="single" w:sz="4" w:space="0" w:color="auto"/>
                    <w:right w:val="single" w:sz="4" w:space="0" w:color="auto"/>
                  </w:tcBorders>
                  <w:noWrap/>
                  <w:vAlign w:val="bottom"/>
                  <w:hideMark/>
                </w:tcPr>
                <w:p w14:paraId="6E529C29"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32.059 </w:t>
                  </w:r>
                </w:p>
              </w:tc>
            </w:tr>
            <w:tr w:rsidR="00B64FFB" w:rsidRPr="00B64FFB" w14:paraId="7F078605"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47BC8724"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Neiva                                                                                                                                                                                                   </w:t>
                  </w:r>
                </w:p>
              </w:tc>
              <w:tc>
                <w:tcPr>
                  <w:tcW w:w="1350" w:type="dxa"/>
                  <w:tcBorders>
                    <w:top w:val="nil"/>
                    <w:left w:val="nil"/>
                    <w:bottom w:val="single" w:sz="4" w:space="0" w:color="auto"/>
                    <w:right w:val="single" w:sz="4" w:space="0" w:color="auto"/>
                  </w:tcBorders>
                  <w:noWrap/>
                  <w:vAlign w:val="bottom"/>
                  <w:hideMark/>
                </w:tcPr>
                <w:p w14:paraId="26994653"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20.745 </w:t>
                  </w:r>
                </w:p>
              </w:tc>
              <w:tc>
                <w:tcPr>
                  <w:tcW w:w="1350" w:type="dxa"/>
                  <w:tcBorders>
                    <w:top w:val="nil"/>
                    <w:left w:val="nil"/>
                    <w:bottom w:val="single" w:sz="4" w:space="0" w:color="auto"/>
                    <w:right w:val="single" w:sz="4" w:space="0" w:color="auto"/>
                  </w:tcBorders>
                  <w:noWrap/>
                  <w:vAlign w:val="bottom"/>
                  <w:hideMark/>
                </w:tcPr>
                <w:p w14:paraId="612B9440"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27.537 </w:t>
                  </w:r>
                </w:p>
              </w:tc>
              <w:tc>
                <w:tcPr>
                  <w:tcW w:w="1405" w:type="dxa"/>
                  <w:tcBorders>
                    <w:top w:val="nil"/>
                    <w:left w:val="nil"/>
                    <w:bottom w:val="single" w:sz="4" w:space="0" w:color="auto"/>
                    <w:right w:val="single" w:sz="4" w:space="0" w:color="auto"/>
                  </w:tcBorders>
                  <w:noWrap/>
                  <w:vAlign w:val="bottom"/>
                  <w:hideMark/>
                </w:tcPr>
                <w:p w14:paraId="5FE33AA2"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32.020 </w:t>
                  </w:r>
                </w:p>
              </w:tc>
            </w:tr>
            <w:tr w:rsidR="00B64FFB" w:rsidRPr="00B64FFB" w14:paraId="54189CAF"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4CEED2D7"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Sincelejo                                                                                                                                                                                               </w:t>
                  </w:r>
                </w:p>
              </w:tc>
              <w:tc>
                <w:tcPr>
                  <w:tcW w:w="1350" w:type="dxa"/>
                  <w:tcBorders>
                    <w:top w:val="nil"/>
                    <w:left w:val="nil"/>
                    <w:bottom w:val="single" w:sz="4" w:space="0" w:color="auto"/>
                    <w:right w:val="single" w:sz="4" w:space="0" w:color="auto"/>
                  </w:tcBorders>
                  <w:noWrap/>
                  <w:vAlign w:val="bottom"/>
                  <w:hideMark/>
                </w:tcPr>
                <w:p w14:paraId="011B6C0F"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19.518 </w:t>
                  </w:r>
                </w:p>
              </w:tc>
              <w:tc>
                <w:tcPr>
                  <w:tcW w:w="1350" w:type="dxa"/>
                  <w:tcBorders>
                    <w:top w:val="nil"/>
                    <w:left w:val="nil"/>
                    <w:bottom w:val="single" w:sz="4" w:space="0" w:color="auto"/>
                    <w:right w:val="single" w:sz="4" w:space="0" w:color="auto"/>
                  </w:tcBorders>
                  <w:noWrap/>
                  <w:vAlign w:val="bottom"/>
                  <w:hideMark/>
                </w:tcPr>
                <w:p w14:paraId="140D28C9"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24.103 </w:t>
                  </w:r>
                </w:p>
              </w:tc>
              <w:tc>
                <w:tcPr>
                  <w:tcW w:w="1405" w:type="dxa"/>
                  <w:tcBorders>
                    <w:top w:val="nil"/>
                    <w:left w:val="nil"/>
                    <w:bottom w:val="single" w:sz="4" w:space="0" w:color="auto"/>
                    <w:right w:val="single" w:sz="4" w:space="0" w:color="auto"/>
                  </w:tcBorders>
                  <w:noWrap/>
                  <w:vAlign w:val="bottom"/>
                  <w:hideMark/>
                </w:tcPr>
                <w:p w14:paraId="57E25660"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29.937 </w:t>
                  </w:r>
                </w:p>
              </w:tc>
            </w:tr>
            <w:tr w:rsidR="00B64FFB" w:rsidRPr="00B64FFB" w14:paraId="052657E4"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43B6D9CA"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Floridablanca                                                                                                                                                                                           </w:t>
                  </w:r>
                </w:p>
              </w:tc>
              <w:tc>
                <w:tcPr>
                  <w:tcW w:w="1350" w:type="dxa"/>
                  <w:tcBorders>
                    <w:top w:val="nil"/>
                    <w:left w:val="nil"/>
                    <w:bottom w:val="single" w:sz="4" w:space="0" w:color="auto"/>
                    <w:right w:val="single" w:sz="4" w:space="0" w:color="auto"/>
                  </w:tcBorders>
                  <w:noWrap/>
                  <w:vAlign w:val="bottom"/>
                  <w:hideMark/>
                </w:tcPr>
                <w:p w14:paraId="58CDEB14"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21.955 </w:t>
                  </w:r>
                </w:p>
              </w:tc>
              <w:tc>
                <w:tcPr>
                  <w:tcW w:w="1350" w:type="dxa"/>
                  <w:tcBorders>
                    <w:top w:val="nil"/>
                    <w:left w:val="nil"/>
                    <w:bottom w:val="single" w:sz="4" w:space="0" w:color="auto"/>
                    <w:right w:val="single" w:sz="4" w:space="0" w:color="auto"/>
                  </w:tcBorders>
                  <w:noWrap/>
                  <w:vAlign w:val="bottom"/>
                  <w:hideMark/>
                </w:tcPr>
                <w:p w14:paraId="6EC05027"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27.373 </w:t>
                  </w:r>
                </w:p>
              </w:tc>
              <w:tc>
                <w:tcPr>
                  <w:tcW w:w="1405" w:type="dxa"/>
                  <w:tcBorders>
                    <w:top w:val="nil"/>
                    <w:left w:val="nil"/>
                    <w:bottom w:val="single" w:sz="4" w:space="0" w:color="auto"/>
                    <w:right w:val="single" w:sz="4" w:space="0" w:color="auto"/>
                  </w:tcBorders>
                  <w:noWrap/>
                  <w:vAlign w:val="bottom"/>
                  <w:hideMark/>
                </w:tcPr>
                <w:p w14:paraId="62CFEBF7"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29.706 </w:t>
                  </w:r>
                </w:p>
              </w:tc>
            </w:tr>
            <w:tr w:rsidR="00B64FFB" w:rsidRPr="00B64FFB" w14:paraId="4165BDDC"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50B7DD16"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Envigado                                                                                                                                                                                                </w:t>
                  </w:r>
                </w:p>
              </w:tc>
              <w:tc>
                <w:tcPr>
                  <w:tcW w:w="1350" w:type="dxa"/>
                  <w:tcBorders>
                    <w:top w:val="nil"/>
                    <w:left w:val="nil"/>
                    <w:bottom w:val="single" w:sz="4" w:space="0" w:color="auto"/>
                    <w:right w:val="single" w:sz="4" w:space="0" w:color="auto"/>
                  </w:tcBorders>
                  <w:noWrap/>
                  <w:vAlign w:val="bottom"/>
                  <w:hideMark/>
                </w:tcPr>
                <w:p w14:paraId="38A97114"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21.428 </w:t>
                  </w:r>
                </w:p>
              </w:tc>
              <w:tc>
                <w:tcPr>
                  <w:tcW w:w="1350" w:type="dxa"/>
                  <w:tcBorders>
                    <w:top w:val="nil"/>
                    <w:left w:val="nil"/>
                    <w:bottom w:val="single" w:sz="4" w:space="0" w:color="auto"/>
                    <w:right w:val="single" w:sz="4" w:space="0" w:color="auto"/>
                  </w:tcBorders>
                  <w:noWrap/>
                  <w:vAlign w:val="bottom"/>
                  <w:hideMark/>
                </w:tcPr>
                <w:p w14:paraId="5763EF2B"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24.598 </w:t>
                  </w:r>
                </w:p>
              </w:tc>
              <w:tc>
                <w:tcPr>
                  <w:tcW w:w="1405" w:type="dxa"/>
                  <w:tcBorders>
                    <w:top w:val="nil"/>
                    <w:left w:val="nil"/>
                    <w:bottom w:val="single" w:sz="4" w:space="0" w:color="auto"/>
                    <w:right w:val="single" w:sz="4" w:space="0" w:color="auto"/>
                  </w:tcBorders>
                  <w:noWrap/>
                  <w:vAlign w:val="bottom"/>
                  <w:hideMark/>
                </w:tcPr>
                <w:p w14:paraId="2FDB3BD5"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27.978 </w:t>
                  </w:r>
                </w:p>
              </w:tc>
            </w:tr>
            <w:tr w:rsidR="00B64FFB" w:rsidRPr="00B64FFB" w14:paraId="140656A2"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1238BAAA"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Pasto                                                                                                                                                                                                   </w:t>
                  </w:r>
                </w:p>
              </w:tc>
              <w:tc>
                <w:tcPr>
                  <w:tcW w:w="1350" w:type="dxa"/>
                  <w:tcBorders>
                    <w:top w:val="nil"/>
                    <w:left w:val="nil"/>
                    <w:bottom w:val="single" w:sz="4" w:space="0" w:color="auto"/>
                    <w:right w:val="single" w:sz="4" w:space="0" w:color="auto"/>
                  </w:tcBorders>
                  <w:noWrap/>
                  <w:vAlign w:val="bottom"/>
                  <w:hideMark/>
                </w:tcPr>
                <w:p w14:paraId="255DD364"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21.332 </w:t>
                  </w:r>
                </w:p>
              </w:tc>
              <w:tc>
                <w:tcPr>
                  <w:tcW w:w="1350" w:type="dxa"/>
                  <w:tcBorders>
                    <w:top w:val="nil"/>
                    <w:left w:val="nil"/>
                    <w:bottom w:val="single" w:sz="4" w:space="0" w:color="auto"/>
                    <w:right w:val="single" w:sz="4" w:space="0" w:color="auto"/>
                  </w:tcBorders>
                  <w:noWrap/>
                  <w:vAlign w:val="bottom"/>
                  <w:hideMark/>
                </w:tcPr>
                <w:p w14:paraId="1B836FAF"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26.270 </w:t>
                  </w:r>
                </w:p>
              </w:tc>
              <w:tc>
                <w:tcPr>
                  <w:tcW w:w="1405" w:type="dxa"/>
                  <w:tcBorders>
                    <w:top w:val="nil"/>
                    <w:left w:val="nil"/>
                    <w:bottom w:val="single" w:sz="4" w:space="0" w:color="auto"/>
                    <w:right w:val="single" w:sz="4" w:space="0" w:color="auto"/>
                  </w:tcBorders>
                  <w:noWrap/>
                  <w:vAlign w:val="bottom"/>
                  <w:hideMark/>
                </w:tcPr>
                <w:p w14:paraId="1C604393"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26.556 </w:t>
                  </w:r>
                </w:p>
              </w:tc>
            </w:tr>
            <w:tr w:rsidR="00B64FFB" w:rsidRPr="00B64FFB" w14:paraId="11A2BEC7"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7650E0F0"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Soacha                                                                                                                                                                                                  </w:t>
                  </w:r>
                </w:p>
              </w:tc>
              <w:tc>
                <w:tcPr>
                  <w:tcW w:w="1350" w:type="dxa"/>
                  <w:tcBorders>
                    <w:top w:val="nil"/>
                    <w:left w:val="nil"/>
                    <w:bottom w:val="single" w:sz="4" w:space="0" w:color="auto"/>
                    <w:right w:val="single" w:sz="4" w:space="0" w:color="auto"/>
                  </w:tcBorders>
                  <w:noWrap/>
                  <w:vAlign w:val="bottom"/>
                  <w:hideMark/>
                </w:tcPr>
                <w:p w14:paraId="17D25D63"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   </w:t>
                  </w:r>
                </w:p>
              </w:tc>
              <w:tc>
                <w:tcPr>
                  <w:tcW w:w="1350" w:type="dxa"/>
                  <w:tcBorders>
                    <w:top w:val="nil"/>
                    <w:left w:val="nil"/>
                    <w:bottom w:val="single" w:sz="4" w:space="0" w:color="auto"/>
                    <w:right w:val="single" w:sz="4" w:space="0" w:color="auto"/>
                  </w:tcBorders>
                  <w:noWrap/>
                  <w:vAlign w:val="bottom"/>
                  <w:hideMark/>
                </w:tcPr>
                <w:p w14:paraId="7C555EBA"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9.585 </w:t>
                  </w:r>
                </w:p>
              </w:tc>
              <w:tc>
                <w:tcPr>
                  <w:tcW w:w="1405" w:type="dxa"/>
                  <w:tcBorders>
                    <w:top w:val="nil"/>
                    <w:left w:val="nil"/>
                    <w:bottom w:val="single" w:sz="4" w:space="0" w:color="auto"/>
                    <w:right w:val="single" w:sz="4" w:space="0" w:color="auto"/>
                  </w:tcBorders>
                  <w:noWrap/>
                  <w:vAlign w:val="bottom"/>
                  <w:hideMark/>
                </w:tcPr>
                <w:p w14:paraId="721FF583"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25.474 </w:t>
                  </w:r>
                </w:p>
              </w:tc>
            </w:tr>
            <w:tr w:rsidR="00B64FFB" w:rsidRPr="00B64FFB" w14:paraId="76439E8F"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484C40E1"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Bello                                                                                                                                                                                                   </w:t>
                  </w:r>
                </w:p>
              </w:tc>
              <w:tc>
                <w:tcPr>
                  <w:tcW w:w="1350" w:type="dxa"/>
                  <w:tcBorders>
                    <w:top w:val="nil"/>
                    <w:left w:val="nil"/>
                    <w:bottom w:val="single" w:sz="4" w:space="0" w:color="auto"/>
                    <w:right w:val="single" w:sz="4" w:space="0" w:color="auto"/>
                  </w:tcBorders>
                  <w:noWrap/>
                  <w:vAlign w:val="bottom"/>
                  <w:hideMark/>
                </w:tcPr>
                <w:p w14:paraId="3061C01F"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18.722 </w:t>
                  </w:r>
                </w:p>
              </w:tc>
              <w:tc>
                <w:tcPr>
                  <w:tcW w:w="1350" w:type="dxa"/>
                  <w:tcBorders>
                    <w:top w:val="nil"/>
                    <w:left w:val="nil"/>
                    <w:bottom w:val="single" w:sz="4" w:space="0" w:color="auto"/>
                    <w:right w:val="single" w:sz="4" w:space="0" w:color="auto"/>
                  </w:tcBorders>
                  <w:noWrap/>
                  <w:vAlign w:val="bottom"/>
                  <w:hideMark/>
                </w:tcPr>
                <w:p w14:paraId="31142A92"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18.250 </w:t>
                  </w:r>
                </w:p>
              </w:tc>
              <w:tc>
                <w:tcPr>
                  <w:tcW w:w="1405" w:type="dxa"/>
                  <w:tcBorders>
                    <w:top w:val="nil"/>
                    <w:left w:val="nil"/>
                    <w:bottom w:val="single" w:sz="4" w:space="0" w:color="auto"/>
                    <w:right w:val="single" w:sz="4" w:space="0" w:color="auto"/>
                  </w:tcBorders>
                  <w:noWrap/>
                  <w:vAlign w:val="bottom"/>
                  <w:hideMark/>
                </w:tcPr>
                <w:p w14:paraId="6DB1FD8D"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24.378 </w:t>
                  </w:r>
                </w:p>
              </w:tc>
            </w:tr>
            <w:tr w:rsidR="00B64FFB" w:rsidRPr="00B64FFB" w14:paraId="232AAF60"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4F9EEFA0"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Piedecuesta                                                                                                                                                                                             </w:t>
                  </w:r>
                </w:p>
              </w:tc>
              <w:tc>
                <w:tcPr>
                  <w:tcW w:w="1350" w:type="dxa"/>
                  <w:tcBorders>
                    <w:top w:val="nil"/>
                    <w:left w:val="nil"/>
                    <w:bottom w:val="single" w:sz="4" w:space="0" w:color="auto"/>
                    <w:right w:val="single" w:sz="4" w:space="0" w:color="auto"/>
                  </w:tcBorders>
                  <w:noWrap/>
                  <w:vAlign w:val="bottom"/>
                  <w:hideMark/>
                </w:tcPr>
                <w:p w14:paraId="1F5BA5B1"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16.098 </w:t>
                  </w:r>
                </w:p>
              </w:tc>
              <w:tc>
                <w:tcPr>
                  <w:tcW w:w="1350" w:type="dxa"/>
                  <w:tcBorders>
                    <w:top w:val="nil"/>
                    <w:left w:val="nil"/>
                    <w:bottom w:val="single" w:sz="4" w:space="0" w:color="auto"/>
                    <w:right w:val="single" w:sz="4" w:space="0" w:color="auto"/>
                  </w:tcBorders>
                  <w:noWrap/>
                  <w:vAlign w:val="bottom"/>
                  <w:hideMark/>
                </w:tcPr>
                <w:p w14:paraId="19F0459A"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19.962 </w:t>
                  </w:r>
                </w:p>
              </w:tc>
              <w:tc>
                <w:tcPr>
                  <w:tcW w:w="1405" w:type="dxa"/>
                  <w:tcBorders>
                    <w:top w:val="nil"/>
                    <w:left w:val="nil"/>
                    <w:bottom w:val="single" w:sz="4" w:space="0" w:color="auto"/>
                    <w:right w:val="single" w:sz="4" w:space="0" w:color="auto"/>
                  </w:tcBorders>
                  <w:noWrap/>
                  <w:vAlign w:val="bottom"/>
                  <w:hideMark/>
                </w:tcPr>
                <w:p w14:paraId="31AAF7AB"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23.407 </w:t>
                  </w:r>
                </w:p>
              </w:tc>
            </w:tr>
            <w:tr w:rsidR="00B64FFB" w:rsidRPr="00B64FFB" w14:paraId="3DEB0B8B"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2C06B214"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Yopal                                                                                                                                                                                                   </w:t>
                  </w:r>
                </w:p>
              </w:tc>
              <w:tc>
                <w:tcPr>
                  <w:tcW w:w="1350" w:type="dxa"/>
                  <w:tcBorders>
                    <w:top w:val="nil"/>
                    <w:left w:val="nil"/>
                    <w:bottom w:val="single" w:sz="4" w:space="0" w:color="auto"/>
                    <w:right w:val="single" w:sz="4" w:space="0" w:color="auto"/>
                  </w:tcBorders>
                  <w:noWrap/>
                  <w:vAlign w:val="bottom"/>
                  <w:hideMark/>
                </w:tcPr>
                <w:p w14:paraId="17EA7A44"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15.816 </w:t>
                  </w:r>
                </w:p>
              </w:tc>
              <w:tc>
                <w:tcPr>
                  <w:tcW w:w="1350" w:type="dxa"/>
                  <w:tcBorders>
                    <w:top w:val="nil"/>
                    <w:left w:val="nil"/>
                    <w:bottom w:val="single" w:sz="4" w:space="0" w:color="auto"/>
                    <w:right w:val="single" w:sz="4" w:space="0" w:color="auto"/>
                  </w:tcBorders>
                  <w:noWrap/>
                  <w:vAlign w:val="bottom"/>
                  <w:hideMark/>
                </w:tcPr>
                <w:p w14:paraId="196143BE"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17.448 </w:t>
                  </w:r>
                </w:p>
              </w:tc>
              <w:tc>
                <w:tcPr>
                  <w:tcW w:w="1405" w:type="dxa"/>
                  <w:tcBorders>
                    <w:top w:val="nil"/>
                    <w:left w:val="nil"/>
                    <w:bottom w:val="single" w:sz="4" w:space="0" w:color="auto"/>
                    <w:right w:val="single" w:sz="4" w:space="0" w:color="auto"/>
                  </w:tcBorders>
                  <w:noWrap/>
                  <w:vAlign w:val="bottom"/>
                  <w:hideMark/>
                </w:tcPr>
                <w:p w14:paraId="43709CFA"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22.661 </w:t>
                  </w:r>
                </w:p>
              </w:tc>
            </w:tr>
            <w:tr w:rsidR="00B64FFB" w:rsidRPr="00B64FFB" w14:paraId="45A3DD15"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6C45EF32"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Jamundí                                                                                                                                                                                                 </w:t>
                  </w:r>
                </w:p>
              </w:tc>
              <w:tc>
                <w:tcPr>
                  <w:tcW w:w="1350" w:type="dxa"/>
                  <w:tcBorders>
                    <w:top w:val="nil"/>
                    <w:left w:val="nil"/>
                    <w:bottom w:val="single" w:sz="4" w:space="0" w:color="auto"/>
                    <w:right w:val="single" w:sz="4" w:space="0" w:color="auto"/>
                  </w:tcBorders>
                  <w:noWrap/>
                  <w:vAlign w:val="bottom"/>
                  <w:hideMark/>
                </w:tcPr>
                <w:p w14:paraId="51F6520A"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15.203 </w:t>
                  </w:r>
                </w:p>
              </w:tc>
              <w:tc>
                <w:tcPr>
                  <w:tcW w:w="1350" w:type="dxa"/>
                  <w:tcBorders>
                    <w:top w:val="nil"/>
                    <w:left w:val="nil"/>
                    <w:bottom w:val="single" w:sz="4" w:space="0" w:color="auto"/>
                    <w:right w:val="single" w:sz="4" w:space="0" w:color="auto"/>
                  </w:tcBorders>
                  <w:noWrap/>
                  <w:vAlign w:val="bottom"/>
                  <w:hideMark/>
                </w:tcPr>
                <w:p w14:paraId="71B633A7"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18.676 </w:t>
                  </w:r>
                </w:p>
              </w:tc>
              <w:tc>
                <w:tcPr>
                  <w:tcW w:w="1405" w:type="dxa"/>
                  <w:tcBorders>
                    <w:top w:val="nil"/>
                    <w:left w:val="nil"/>
                    <w:bottom w:val="single" w:sz="4" w:space="0" w:color="auto"/>
                    <w:right w:val="single" w:sz="4" w:space="0" w:color="auto"/>
                  </w:tcBorders>
                  <w:noWrap/>
                  <w:vAlign w:val="bottom"/>
                  <w:hideMark/>
                </w:tcPr>
                <w:p w14:paraId="75E88EB1"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22.011 </w:t>
                  </w:r>
                </w:p>
              </w:tc>
            </w:tr>
            <w:tr w:rsidR="00B64FFB" w:rsidRPr="00B64FFB" w14:paraId="47E50674"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0B96E095"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Tunja                                                                                                                                                                                                   </w:t>
                  </w:r>
                </w:p>
              </w:tc>
              <w:tc>
                <w:tcPr>
                  <w:tcW w:w="1350" w:type="dxa"/>
                  <w:tcBorders>
                    <w:top w:val="nil"/>
                    <w:left w:val="nil"/>
                    <w:bottom w:val="single" w:sz="4" w:space="0" w:color="auto"/>
                    <w:right w:val="single" w:sz="4" w:space="0" w:color="auto"/>
                  </w:tcBorders>
                  <w:noWrap/>
                  <w:vAlign w:val="bottom"/>
                  <w:hideMark/>
                </w:tcPr>
                <w:p w14:paraId="36325EEA"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13.228 </w:t>
                  </w:r>
                </w:p>
              </w:tc>
              <w:tc>
                <w:tcPr>
                  <w:tcW w:w="1350" w:type="dxa"/>
                  <w:tcBorders>
                    <w:top w:val="nil"/>
                    <w:left w:val="nil"/>
                    <w:bottom w:val="single" w:sz="4" w:space="0" w:color="auto"/>
                    <w:right w:val="single" w:sz="4" w:space="0" w:color="auto"/>
                  </w:tcBorders>
                  <w:noWrap/>
                  <w:vAlign w:val="bottom"/>
                  <w:hideMark/>
                </w:tcPr>
                <w:p w14:paraId="457005FB"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17.082 </w:t>
                  </w:r>
                </w:p>
              </w:tc>
              <w:tc>
                <w:tcPr>
                  <w:tcW w:w="1405" w:type="dxa"/>
                  <w:tcBorders>
                    <w:top w:val="nil"/>
                    <w:left w:val="nil"/>
                    <w:bottom w:val="single" w:sz="4" w:space="0" w:color="auto"/>
                    <w:right w:val="single" w:sz="4" w:space="0" w:color="auto"/>
                  </w:tcBorders>
                  <w:noWrap/>
                  <w:vAlign w:val="bottom"/>
                  <w:hideMark/>
                </w:tcPr>
                <w:p w14:paraId="75A25941"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21.223 </w:t>
                  </w:r>
                </w:p>
              </w:tc>
            </w:tr>
            <w:tr w:rsidR="00B64FFB" w:rsidRPr="00B64FFB" w14:paraId="5E2C6943"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6F28AA6F"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Girón                                                                                                                                                                                                   </w:t>
                  </w:r>
                </w:p>
              </w:tc>
              <w:tc>
                <w:tcPr>
                  <w:tcW w:w="1350" w:type="dxa"/>
                  <w:tcBorders>
                    <w:top w:val="nil"/>
                    <w:left w:val="nil"/>
                    <w:bottom w:val="single" w:sz="4" w:space="0" w:color="auto"/>
                    <w:right w:val="single" w:sz="4" w:space="0" w:color="auto"/>
                  </w:tcBorders>
                  <w:noWrap/>
                  <w:vAlign w:val="bottom"/>
                  <w:hideMark/>
                </w:tcPr>
                <w:p w14:paraId="061F626F"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13.244 </w:t>
                  </w:r>
                </w:p>
              </w:tc>
              <w:tc>
                <w:tcPr>
                  <w:tcW w:w="1350" w:type="dxa"/>
                  <w:tcBorders>
                    <w:top w:val="nil"/>
                    <w:left w:val="nil"/>
                    <w:bottom w:val="single" w:sz="4" w:space="0" w:color="auto"/>
                    <w:right w:val="single" w:sz="4" w:space="0" w:color="auto"/>
                  </w:tcBorders>
                  <w:noWrap/>
                  <w:vAlign w:val="bottom"/>
                  <w:hideMark/>
                </w:tcPr>
                <w:p w14:paraId="7D0FE468"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17.814 </w:t>
                  </w:r>
                </w:p>
              </w:tc>
              <w:tc>
                <w:tcPr>
                  <w:tcW w:w="1405" w:type="dxa"/>
                  <w:tcBorders>
                    <w:top w:val="nil"/>
                    <w:left w:val="nil"/>
                    <w:bottom w:val="single" w:sz="4" w:space="0" w:color="auto"/>
                    <w:right w:val="single" w:sz="4" w:space="0" w:color="auto"/>
                  </w:tcBorders>
                  <w:noWrap/>
                  <w:vAlign w:val="bottom"/>
                  <w:hideMark/>
                </w:tcPr>
                <w:p w14:paraId="65BA70CD"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21.021 </w:t>
                  </w:r>
                </w:p>
              </w:tc>
            </w:tr>
            <w:tr w:rsidR="00B64FFB" w:rsidRPr="00B64FFB" w14:paraId="491E65BA"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07823387"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Rionegro                                                                                                                                                                                                </w:t>
                  </w:r>
                </w:p>
              </w:tc>
              <w:tc>
                <w:tcPr>
                  <w:tcW w:w="1350" w:type="dxa"/>
                  <w:tcBorders>
                    <w:top w:val="nil"/>
                    <w:left w:val="nil"/>
                    <w:bottom w:val="single" w:sz="4" w:space="0" w:color="auto"/>
                    <w:right w:val="single" w:sz="4" w:space="0" w:color="auto"/>
                  </w:tcBorders>
                  <w:noWrap/>
                  <w:vAlign w:val="bottom"/>
                  <w:hideMark/>
                </w:tcPr>
                <w:p w14:paraId="28FF83C2"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13.285 </w:t>
                  </w:r>
                </w:p>
              </w:tc>
              <w:tc>
                <w:tcPr>
                  <w:tcW w:w="1350" w:type="dxa"/>
                  <w:tcBorders>
                    <w:top w:val="nil"/>
                    <w:left w:val="nil"/>
                    <w:bottom w:val="single" w:sz="4" w:space="0" w:color="auto"/>
                    <w:right w:val="single" w:sz="4" w:space="0" w:color="auto"/>
                  </w:tcBorders>
                  <w:noWrap/>
                  <w:vAlign w:val="bottom"/>
                  <w:hideMark/>
                </w:tcPr>
                <w:p w14:paraId="6D6E686A"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13.987 </w:t>
                  </w:r>
                </w:p>
              </w:tc>
              <w:tc>
                <w:tcPr>
                  <w:tcW w:w="1405" w:type="dxa"/>
                  <w:tcBorders>
                    <w:top w:val="nil"/>
                    <w:left w:val="nil"/>
                    <w:bottom w:val="single" w:sz="4" w:space="0" w:color="auto"/>
                    <w:right w:val="single" w:sz="4" w:space="0" w:color="auto"/>
                  </w:tcBorders>
                  <w:noWrap/>
                  <w:vAlign w:val="bottom"/>
                  <w:hideMark/>
                </w:tcPr>
                <w:p w14:paraId="3FA89A87"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19.924 </w:t>
                  </w:r>
                </w:p>
              </w:tc>
            </w:tr>
            <w:tr w:rsidR="00B64FFB" w:rsidRPr="00B64FFB" w14:paraId="3F53E3D1"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37AE7B43"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Popayán                                                                                                                                                                                                 </w:t>
                  </w:r>
                </w:p>
              </w:tc>
              <w:tc>
                <w:tcPr>
                  <w:tcW w:w="1350" w:type="dxa"/>
                  <w:tcBorders>
                    <w:top w:val="nil"/>
                    <w:left w:val="nil"/>
                    <w:bottom w:val="single" w:sz="4" w:space="0" w:color="auto"/>
                    <w:right w:val="single" w:sz="4" w:space="0" w:color="auto"/>
                  </w:tcBorders>
                  <w:noWrap/>
                  <w:vAlign w:val="bottom"/>
                  <w:hideMark/>
                </w:tcPr>
                <w:p w14:paraId="3BBB7F40"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18.585 </w:t>
                  </w:r>
                </w:p>
              </w:tc>
              <w:tc>
                <w:tcPr>
                  <w:tcW w:w="1350" w:type="dxa"/>
                  <w:tcBorders>
                    <w:top w:val="nil"/>
                    <w:left w:val="nil"/>
                    <w:bottom w:val="single" w:sz="4" w:space="0" w:color="auto"/>
                    <w:right w:val="single" w:sz="4" w:space="0" w:color="auto"/>
                  </w:tcBorders>
                  <w:noWrap/>
                  <w:vAlign w:val="bottom"/>
                  <w:hideMark/>
                </w:tcPr>
                <w:p w14:paraId="230D7FC9"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17.016 </w:t>
                  </w:r>
                </w:p>
              </w:tc>
              <w:tc>
                <w:tcPr>
                  <w:tcW w:w="1405" w:type="dxa"/>
                  <w:tcBorders>
                    <w:top w:val="nil"/>
                    <w:left w:val="nil"/>
                    <w:bottom w:val="single" w:sz="4" w:space="0" w:color="auto"/>
                    <w:right w:val="single" w:sz="4" w:space="0" w:color="auto"/>
                  </w:tcBorders>
                  <w:noWrap/>
                  <w:vAlign w:val="bottom"/>
                  <w:hideMark/>
                </w:tcPr>
                <w:p w14:paraId="57EC0B13"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19.165 </w:t>
                  </w:r>
                </w:p>
              </w:tc>
            </w:tr>
            <w:tr w:rsidR="00B64FFB" w:rsidRPr="00B64FFB" w14:paraId="399C0D74"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464F3119"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Tuluá                                                                                                                                                                                                   </w:t>
                  </w:r>
                </w:p>
              </w:tc>
              <w:tc>
                <w:tcPr>
                  <w:tcW w:w="1350" w:type="dxa"/>
                  <w:tcBorders>
                    <w:top w:val="nil"/>
                    <w:left w:val="nil"/>
                    <w:bottom w:val="single" w:sz="4" w:space="0" w:color="auto"/>
                    <w:right w:val="single" w:sz="4" w:space="0" w:color="auto"/>
                  </w:tcBorders>
                  <w:noWrap/>
                  <w:vAlign w:val="bottom"/>
                  <w:hideMark/>
                </w:tcPr>
                <w:p w14:paraId="671B797A"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14.442 </w:t>
                  </w:r>
                </w:p>
              </w:tc>
              <w:tc>
                <w:tcPr>
                  <w:tcW w:w="1350" w:type="dxa"/>
                  <w:tcBorders>
                    <w:top w:val="nil"/>
                    <w:left w:val="nil"/>
                    <w:bottom w:val="single" w:sz="4" w:space="0" w:color="auto"/>
                    <w:right w:val="single" w:sz="4" w:space="0" w:color="auto"/>
                  </w:tcBorders>
                  <w:noWrap/>
                  <w:vAlign w:val="bottom"/>
                  <w:hideMark/>
                </w:tcPr>
                <w:p w14:paraId="24101EA7"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16.226 </w:t>
                  </w:r>
                </w:p>
              </w:tc>
              <w:tc>
                <w:tcPr>
                  <w:tcW w:w="1405" w:type="dxa"/>
                  <w:tcBorders>
                    <w:top w:val="nil"/>
                    <w:left w:val="nil"/>
                    <w:bottom w:val="single" w:sz="4" w:space="0" w:color="auto"/>
                    <w:right w:val="single" w:sz="4" w:space="0" w:color="auto"/>
                  </w:tcBorders>
                  <w:noWrap/>
                  <w:vAlign w:val="bottom"/>
                  <w:hideMark/>
                </w:tcPr>
                <w:p w14:paraId="1974C4A3"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18.763 </w:t>
                  </w:r>
                </w:p>
              </w:tc>
            </w:tr>
            <w:tr w:rsidR="00B64FFB" w:rsidRPr="00B64FFB" w14:paraId="603F243B"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69300BAD"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Itagüí                                                                                                                                                                                                  </w:t>
                  </w:r>
                </w:p>
              </w:tc>
              <w:tc>
                <w:tcPr>
                  <w:tcW w:w="1350" w:type="dxa"/>
                  <w:tcBorders>
                    <w:top w:val="nil"/>
                    <w:left w:val="nil"/>
                    <w:bottom w:val="single" w:sz="4" w:space="0" w:color="auto"/>
                    <w:right w:val="single" w:sz="4" w:space="0" w:color="auto"/>
                  </w:tcBorders>
                  <w:noWrap/>
                  <w:vAlign w:val="bottom"/>
                  <w:hideMark/>
                </w:tcPr>
                <w:p w14:paraId="733CD711"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13.191 </w:t>
                  </w:r>
                </w:p>
              </w:tc>
              <w:tc>
                <w:tcPr>
                  <w:tcW w:w="1350" w:type="dxa"/>
                  <w:tcBorders>
                    <w:top w:val="nil"/>
                    <w:left w:val="nil"/>
                    <w:bottom w:val="single" w:sz="4" w:space="0" w:color="auto"/>
                    <w:right w:val="single" w:sz="4" w:space="0" w:color="auto"/>
                  </w:tcBorders>
                  <w:noWrap/>
                  <w:vAlign w:val="bottom"/>
                  <w:hideMark/>
                </w:tcPr>
                <w:p w14:paraId="0013A49C"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13.975 </w:t>
                  </w:r>
                </w:p>
              </w:tc>
              <w:tc>
                <w:tcPr>
                  <w:tcW w:w="1405" w:type="dxa"/>
                  <w:tcBorders>
                    <w:top w:val="nil"/>
                    <w:left w:val="nil"/>
                    <w:bottom w:val="single" w:sz="4" w:space="0" w:color="auto"/>
                    <w:right w:val="single" w:sz="4" w:space="0" w:color="auto"/>
                  </w:tcBorders>
                  <w:noWrap/>
                  <w:vAlign w:val="bottom"/>
                  <w:hideMark/>
                </w:tcPr>
                <w:p w14:paraId="0C9EAAD9"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18.423 </w:t>
                  </w:r>
                </w:p>
              </w:tc>
            </w:tr>
            <w:tr w:rsidR="00B64FFB" w:rsidRPr="00B64FFB" w14:paraId="2600C4D0"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14CB926F"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Armenia                                                                                                                                                                                                 </w:t>
                  </w:r>
                </w:p>
              </w:tc>
              <w:tc>
                <w:tcPr>
                  <w:tcW w:w="1350" w:type="dxa"/>
                  <w:tcBorders>
                    <w:top w:val="nil"/>
                    <w:left w:val="nil"/>
                    <w:bottom w:val="single" w:sz="4" w:space="0" w:color="auto"/>
                    <w:right w:val="single" w:sz="4" w:space="0" w:color="auto"/>
                  </w:tcBorders>
                  <w:noWrap/>
                  <w:vAlign w:val="bottom"/>
                  <w:hideMark/>
                </w:tcPr>
                <w:p w14:paraId="60BD5C0D"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15.457 </w:t>
                  </w:r>
                </w:p>
              </w:tc>
              <w:tc>
                <w:tcPr>
                  <w:tcW w:w="1350" w:type="dxa"/>
                  <w:tcBorders>
                    <w:top w:val="nil"/>
                    <w:left w:val="nil"/>
                    <w:bottom w:val="single" w:sz="4" w:space="0" w:color="auto"/>
                    <w:right w:val="single" w:sz="4" w:space="0" w:color="auto"/>
                  </w:tcBorders>
                  <w:noWrap/>
                  <w:vAlign w:val="bottom"/>
                  <w:hideMark/>
                </w:tcPr>
                <w:p w14:paraId="5B81539C"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18.016 </w:t>
                  </w:r>
                </w:p>
              </w:tc>
              <w:tc>
                <w:tcPr>
                  <w:tcW w:w="1405" w:type="dxa"/>
                  <w:tcBorders>
                    <w:top w:val="nil"/>
                    <w:left w:val="nil"/>
                    <w:bottom w:val="single" w:sz="4" w:space="0" w:color="auto"/>
                    <w:right w:val="single" w:sz="4" w:space="0" w:color="auto"/>
                  </w:tcBorders>
                  <w:noWrap/>
                  <w:vAlign w:val="bottom"/>
                  <w:hideMark/>
                </w:tcPr>
                <w:p w14:paraId="0B716F4D"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18.273 </w:t>
                  </w:r>
                </w:p>
              </w:tc>
            </w:tr>
            <w:tr w:rsidR="00B64FFB" w:rsidRPr="00B64FFB" w14:paraId="641009BA"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1930EF9D"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Puerto Colombia                                                                                                                                                                                         </w:t>
                  </w:r>
                </w:p>
              </w:tc>
              <w:tc>
                <w:tcPr>
                  <w:tcW w:w="1350" w:type="dxa"/>
                  <w:tcBorders>
                    <w:top w:val="nil"/>
                    <w:left w:val="nil"/>
                    <w:bottom w:val="single" w:sz="4" w:space="0" w:color="auto"/>
                    <w:right w:val="single" w:sz="4" w:space="0" w:color="auto"/>
                  </w:tcBorders>
                  <w:noWrap/>
                  <w:vAlign w:val="bottom"/>
                  <w:hideMark/>
                </w:tcPr>
                <w:p w14:paraId="05652079"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9.102 </w:t>
                  </w:r>
                </w:p>
              </w:tc>
              <w:tc>
                <w:tcPr>
                  <w:tcW w:w="1350" w:type="dxa"/>
                  <w:tcBorders>
                    <w:top w:val="nil"/>
                    <w:left w:val="nil"/>
                    <w:bottom w:val="single" w:sz="4" w:space="0" w:color="auto"/>
                    <w:right w:val="single" w:sz="4" w:space="0" w:color="auto"/>
                  </w:tcBorders>
                  <w:noWrap/>
                  <w:vAlign w:val="bottom"/>
                  <w:hideMark/>
                </w:tcPr>
                <w:p w14:paraId="139B6B8C"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13.659 </w:t>
                  </w:r>
                </w:p>
              </w:tc>
              <w:tc>
                <w:tcPr>
                  <w:tcW w:w="1405" w:type="dxa"/>
                  <w:tcBorders>
                    <w:top w:val="nil"/>
                    <w:left w:val="nil"/>
                    <w:bottom w:val="single" w:sz="4" w:space="0" w:color="auto"/>
                    <w:right w:val="single" w:sz="4" w:space="0" w:color="auto"/>
                  </w:tcBorders>
                  <w:noWrap/>
                  <w:vAlign w:val="bottom"/>
                  <w:hideMark/>
                </w:tcPr>
                <w:p w14:paraId="4C798611"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16.538 </w:t>
                  </w:r>
                </w:p>
              </w:tc>
            </w:tr>
            <w:tr w:rsidR="00B64FFB" w:rsidRPr="00B64FFB" w14:paraId="41DB5DEA"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7718E400"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Puerto Boyacá                                                                                                                                                                                           </w:t>
                  </w:r>
                </w:p>
              </w:tc>
              <w:tc>
                <w:tcPr>
                  <w:tcW w:w="1350" w:type="dxa"/>
                  <w:tcBorders>
                    <w:top w:val="nil"/>
                    <w:left w:val="nil"/>
                    <w:bottom w:val="single" w:sz="4" w:space="0" w:color="auto"/>
                    <w:right w:val="single" w:sz="4" w:space="0" w:color="auto"/>
                  </w:tcBorders>
                  <w:noWrap/>
                  <w:vAlign w:val="bottom"/>
                  <w:hideMark/>
                </w:tcPr>
                <w:p w14:paraId="10EFCA9D"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6.969 </w:t>
                  </w:r>
                </w:p>
              </w:tc>
              <w:tc>
                <w:tcPr>
                  <w:tcW w:w="1350" w:type="dxa"/>
                  <w:tcBorders>
                    <w:top w:val="nil"/>
                    <w:left w:val="nil"/>
                    <w:bottom w:val="single" w:sz="4" w:space="0" w:color="auto"/>
                    <w:right w:val="single" w:sz="4" w:space="0" w:color="auto"/>
                  </w:tcBorders>
                  <w:noWrap/>
                  <w:vAlign w:val="bottom"/>
                  <w:hideMark/>
                </w:tcPr>
                <w:p w14:paraId="5A3CB131"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9.143 </w:t>
                  </w:r>
                </w:p>
              </w:tc>
              <w:tc>
                <w:tcPr>
                  <w:tcW w:w="1405" w:type="dxa"/>
                  <w:tcBorders>
                    <w:top w:val="nil"/>
                    <w:left w:val="nil"/>
                    <w:bottom w:val="single" w:sz="4" w:space="0" w:color="auto"/>
                    <w:right w:val="single" w:sz="4" w:space="0" w:color="auto"/>
                  </w:tcBorders>
                  <w:noWrap/>
                  <w:vAlign w:val="bottom"/>
                  <w:hideMark/>
                </w:tcPr>
                <w:p w14:paraId="65667B91"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10.099 </w:t>
                  </w:r>
                </w:p>
              </w:tc>
            </w:tr>
            <w:tr w:rsidR="00B64FFB" w:rsidRPr="00B64FFB" w14:paraId="6EDC9185"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25E21A20"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Madrid                                                                                                                                                                                                  </w:t>
                  </w:r>
                </w:p>
              </w:tc>
              <w:tc>
                <w:tcPr>
                  <w:tcW w:w="1350" w:type="dxa"/>
                  <w:tcBorders>
                    <w:top w:val="nil"/>
                    <w:left w:val="nil"/>
                    <w:bottom w:val="single" w:sz="4" w:space="0" w:color="auto"/>
                    <w:right w:val="single" w:sz="4" w:space="0" w:color="auto"/>
                  </w:tcBorders>
                  <w:noWrap/>
                  <w:vAlign w:val="bottom"/>
                  <w:hideMark/>
                </w:tcPr>
                <w:p w14:paraId="6E10FC7D"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7.298 </w:t>
                  </w:r>
                </w:p>
              </w:tc>
              <w:tc>
                <w:tcPr>
                  <w:tcW w:w="1350" w:type="dxa"/>
                  <w:tcBorders>
                    <w:top w:val="nil"/>
                    <w:left w:val="nil"/>
                    <w:bottom w:val="single" w:sz="4" w:space="0" w:color="auto"/>
                    <w:right w:val="single" w:sz="4" w:space="0" w:color="auto"/>
                  </w:tcBorders>
                  <w:noWrap/>
                  <w:vAlign w:val="bottom"/>
                  <w:hideMark/>
                </w:tcPr>
                <w:p w14:paraId="1CB33076"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9.025 </w:t>
                  </w:r>
                </w:p>
              </w:tc>
              <w:tc>
                <w:tcPr>
                  <w:tcW w:w="1405" w:type="dxa"/>
                  <w:tcBorders>
                    <w:top w:val="nil"/>
                    <w:left w:val="nil"/>
                    <w:bottom w:val="single" w:sz="4" w:space="0" w:color="auto"/>
                    <w:right w:val="single" w:sz="4" w:space="0" w:color="auto"/>
                  </w:tcBorders>
                  <w:noWrap/>
                  <w:vAlign w:val="bottom"/>
                  <w:hideMark/>
                </w:tcPr>
                <w:p w14:paraId="2156EBD2"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10.058 </w:t>
                  </w:r>
                </w:p>
              </w:tc>
            </w:tr>
            <w:tr w:rsidR="00B64FFB" w:rsidRPr="00B64FFB" w14:paraId="4D01535D"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39774ECB"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Sogamoso                                                                                                                                                                                                </w:t>
                  </w:r>
                </w:p>
              </w:tc>
              <w:tc>
                <w:tcPr>
                  <w:tcW w:w="1350" w:type="dxa"/>
                  <w:tcBorders>
                    <w:top w:val="nil"/>
                    <w:left w:val="nil"/>
                    <w:bottom w:val="single" w:sz="4" w:space="0" w:color="auto"/>
                    <w:right w:val="single" w:sz="4" w:space="0" w:color="auto"/>
                  </w:tcBorders>
                  <w:noWrap/>
                  <w:vAlign w:val="bottom"/>
                  <w:hideMark/>
                </w:tcPr>
                <w:p w14:paraId="31169C43"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7.533 </w:t>
                  </w:r>
                </w:p>
              </w:tc>
              <w:tc>
                <w:tcPr>
                  <w:tcW w:w="1350" w:type="dxa"/>
                  <w:tcBorders>
                    <w:top w:val="nil"/>
                    <w:left w:val="nil"/>
                    <w:bottom w:val="single" w:sz="4" w:space="0" w:color="auto"/>
                    <w:right w:val="single" w:sz="4" w:space="0" w:color="auto"/>
                  </w:tcBorders>
                  <w:noWrap/>
                  <w:vAlign w:val="bottom"/>
                  <w:hideMark/>
                </w:tcPr>
                <w:p w14:paraId="4B757A00"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8.955 </w:t>
                  </w:r>
                </w:p>
              </w:tc>
              <w:tc>
                <w:tcPr>
                  <w:tcW w:w="1405" w:type="dxa"/>
                  <w:tcBorders>
                    <w:top w:val="nil"/>
                    <w:left w:val="nil"/>
                    <w:bottom w:val="single" w:sz="4" w:space="0" w:color="auto"/>
                    <w:right w:val="single" w:sz="4" w:space="0" w:color="auto"/>
                  </w:tcBorders>
                  <w:noWrap/>
                  <w:vAlign w:val="bottom"/>
                  <w:hideMark/>
                </w:tcPr>
                <w:p w14:paraId="74D62CA9"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9.475 </w:t>
                  </w:r>
                </w:p>
              </w:tc>
            </w:tr>
            <w:tr w:rsidR="00B64FFB" w:rsidRPr="00B64FFB" w14:paraId="18A9B62F"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55CA408E"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Candelaria                                                                                                                                                                                              </w:t>
                  </w:r>
                </w:p>
              </w:tc>
              <w:tc>
                <w:tcPr>
                  <w:tcW w:w="1350" w:type="dxa"/>
                  <w:tcBorders>
                    <w:top w:val="nil"/>
                    <w:left w:val="nil"/>
                    <w:bottom w:val="single" w:sz="4" w:space="0" w:color="auto"/>
                    <w:right w:val="single" w:sz="4" w:space="0" w:color="auto"/>
                  </w:tcBorders>
                  <w:noWrap/>
                  <w:vAlign w:val="bottom"/>
                  <w:hideMark/>
                </w:tcPr>
                <w:p w14:paraId="4B1B60E6"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5.239 </w:t>
                  </w:r>
                </w:p>
              </w:tc>
              <w:tc>
                <w:tcPr>
                  <w:tcW w:w="1350" w:type="dxa"/>
                  <w:tcBorders>
                    <w:top w:val="nil"/>
                    <w:left w:val="nil"/>
                    <w:bottom w:val="single" w:sz="4" w:space="0" w:color="auto"/>
                    <w:right w:val="single" w:sz="4" w:space="0" w:color="auto"/>
                  </w:tcBorders>
                  <w:noWrap/>
                  <w:vAlign w:val="bottom"/>
                  <w:hideMark/>
                </w:tcPr>
                <w:p w14:paraId="7461452C"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6.591 </w:t>
                  </w:r>
                </w:p>
              </w:tc>
              <w:tc>
                <w:tcPr>
                  <w:tcW w:w="1405" w:type="dxa"/>
                  <w:tcBorders>
                    <w:top w:val="nil"/>
                    <w:left w:val="nil"/>
                    <w:bottom w:val="single" w:sz="4" w:space="0" w:color="auto"/>
                    <w:right w:val="single" w:sz="4" w:space="0" w:color="auto"/>
                  </w:tcBorders>
                  <w:noWrap/>
                  <w:vAlign w:val="bottom"/>
                  <w:hideMark/>
                </w:tcPr>
                <w:p w14:paraId="52A79F38"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9.135 </w:t>
                  </w:r>
                </w:p>
              </w:tc>
            </w:tr>
            <w:tr w:rsidR="00B64FFB" w:rsidRPr="00B64FFB" w14:paraId="49274DA8"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63A18FD8"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Nobsa                                                                                                                                                                                                   </w:t>
                  </w:r>
                </w:p>
              </w:tc>
              <w:tc>
                <w:tcPr>
                  <w:tcW w:w="1350" w:type="dxa"/>
                  <w:tcBorders>
                    <w:top w:val="nil"/>
                    <w:left w:val="nil"/>
                    <w:bottom w:val="single" w:sz="4" w:space="0" w:color="auto"/>
                    <w:right w:val="single" w:sz="4" w:space="0" w:color="auto"/>
                  </w:tcBorders>
                  <w:noWrap/>
                  <w:vAlign w:val="bottom"/>
                  <w:hideMark/>
                </w:tcPr>
                <w:p w14:paraId="4818325A"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6.458 </w:t>
                  </w:r>
                </w:p>
              </w:tc>
              <w:tc>
                <w:tcPr>
                  <w:tcW w:w="1350" w:type="dxa"/>
                  <w:tcBorders>
                    <w:top w:val="nil"/>
                    <w:left w:val="nil"/>
                    <w:bottom w:val="single" w:sz="4" w:space="0" w:color="auto"/>
                    <w:right w:val="single" w:sz="4" w:space="0" w:color="auto"/>
                  </w:tcBorders>
                  <w:noWrap/>
                  <w:vAlign w:val="bottom"/>
                  <w:hideMark/>
                </w:tcPr>
                <w:p w14:paraId="63507B36"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6.997 </w:t>
                  </w:r>
                </w:p>
              </w:tc>
              <w:tc>
                <w:tcPr>
                  <w:tcW w:w="1405" w:type="dxa"/>
                  <w:tcBorders>
                    <w:top w:val="nil"/>
                    <w:left w:val="nil"/>
                    <w:bottom w:val="single" w:sz="4" w:space="0" w:color="auto"/>
                    <w:right w:val="single" w:sz="4" w:space="0" w:color="auto"/>
                  </w:tcBorders>
                  <w:noWrap/>
                  <w:vAlign w:val="bottom"/>
                  <w:hideMark/>
                </w:tcPr>
                <w:p w14:paraId="2193C2A0"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9.091 </w:t>
                  </w:r>
                </w:p>
              </w:tc>
            </w:tr>
            <w:tr w:rsidR="00B64FFB" w:rsidRPr="00B64FFB" w14:paraId="175DD2FB"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1DEB87E2"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Pitalito                                                                                                                                                                                                </w:t>
                  </w:r>
                </w:p>
              </w:tc>
              <w:tc>
                <w:tcPr>
                  <w:tcW w:w="1350" w:type="dxa"/>
                  <w:tcBorders>
                    <w:top w:val="nil"/>
                    <w:left w:val="nil"/>
                    <w:bottom w:val="single" w:sz="4" w:space="0" w:color="auto"/>
                    <w:right w:val="single" w:sz="4" w:space="0" w:color="auto"/>
                  </w:tcBorders>
                  <w:noWrap/>
                  <w:vAlign w:val="bottom"/>
                  <w:hideMark/>
                </w:tcPr>
                <w:p w14:paraId="6FC8A258"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4.612 </w:t>
                  </w:r>
                </w:p>
              </w:tc>
              <w:tc>
                <w:tcPr>
                  <w:tcW w:w="1350" w:type="dxa"/>
                  <w:tcBorders>
                    <w:top w:val="nil"/>
                    <w:left w:val="nil"/>
                    <w:bottom w:val="single" w:sz="4" w:space="0" w:color="auto"/>
                    <w:right w:val="single" w:sz="4" w:space="0" w:color="auto"/>
                  </w:tcBorders>
                  <w:noWrap/>
                  <w:vAlign w:val="bottom"/>
                  <w:hideMark/>
                </w:tcPr>
                <w:p w14:paraId="7F09017A"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5.574 </w:t>
                  </w:r>
                </w:p>
              </w:tc>
              <w:tc>
                <w:tcPr>
                  <w:tcW w:w="1405" w:type="dxa"/>
                  <w:tcBorders>
                    <w:top w:val="nil"/>
                    <w:left w:val="nil"/>
                    <w:bottom w:val="single" w:sz="4" w:space="0" w:color="auto"/>
                    <w:right w:val="single" w:sz="4" w:space="0" w:color="auto"/>
                  </w:tcBorders>
                  <w:noWrap/>
                  <w:vAlign w:val="bottom"/>
                  <w:hideMark/>
                </w:tcPr>
                <w:p w14:paraId="178A9ABC"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9.022 </w:t>
                  </w:r>
                </w:p>
              </w:tc>
            </w:tr>
            <w:tr w:rsidR="00B64FFB" w:rsidRPr="00B64FFB" w14:paraId="633C0056"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4345C0B3"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Cajicá                                                                                                                                                                                                  </w:t>
                  </w:r>
                </w:p>
              </w:tc>
              <w:tc>
                <w:tcPr>
                  <w:tcW w:w="1350" w:type="dxa"/>
                  <w:tcBorders>
                    <w:top w:val="nil"/>
                    <w:left w:val="nil"/>
                    <w:bottom w:val="single" w:sz="4" w:space="0" w:color="auto"/>
                    <w:right w:val="single" w:sz="4" w:space="0" w:color="auto"/>
                  </w:tcBorders>
                  <w:noWrap/>
                  <w:vAlign w:val="bottom"/>
                  <w:hideMark/>
                </w:tcPr>
                <w:p w14:paraId="65FE73E8"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4.230 </w:t>
                  </w:r>
                </w:p>
              </w:tc>
              <w:tc>
                <w:tcPr>
                  <w:tcW w:w="1350" w:type="dxa"/>
                  <w:tcBorders>
                    <w:top w:val="nil"/>
                    <w:left w:val="nil"/>
                    <w:bottom w:val="single" w:sz="4" w:space="0" w:color="auto"/>
                    <w:right w:val="single" w:sz="4" w:space="0" w:color="auto"/>
                  </w:tcBorders>
                  <w:noWrap/>
                  <w:vAlign w:val="bottom"/>
                  <w:hideMark/>
                </w:tcPr>
                <w:p w14:paraId="6DB18629"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5.507 </w:t>
                  </w:r>
                </w:p>
              </w:tc>
              <w:tc>
                <w:tcPr>
                  <w:tcW w:w="1405" w:type="dxa"/>
                  <w:tcBorders>
                    <w:top w:val="nil"/>
                    <w:left w:val="nil"/>
                    <w:bottom w:val="single" w:sz="4" w:space="0" w:color="auto"/>
                    <w:right w:val="single" w:sz="4" w:space="0" w:color="auto"/>
                  </w:tcBorders>
                  <w:noWrap/>
                  <w:vAlign w:val="bottom"/>
                  <w:hideMark/>
                </w:tcPr>
                <w:p w14:paraId="4E74CEE6"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8.895 </w:t>
                  </w:r>
                </w:p>
              </w:tc>
            </w:tr>
            <w:tr w:rsidR="00B64FFB" w:rsidRPr="00B64FFB" w14:paraId="4A0E2897"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0CAA7680"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Fusagasugá                                                                                                                                                                                              </w:t>
                  </w:r>
                </w:p>
              </w:tc>
              <w:tc>
                <w:tcPr>
                  <w:tcW w:w="1350" w:type="dxa"/>
                  <w:tcBorders>
                    <w:top w:val="nil"/>
                    <w:left w:val="nil"/>
                    <w:bottom w:val="single" w:sz="4" w:space="0" w:color="auto"/>
                    <w:right w:val="single" w:sz="4" w:space="0" w:color="auto"/>
                  </w:tcBorders>
                  <w:noWrap/>
                  <w:vAlign w:val="bottom"/>
                  <w:hideMark/>
                </w:tcPr>
                <w:p w14:paraId="0290C1C7"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4.844 </w:t>
                  </w:r>
                </w:p>
              </w:tc>
              <w:tc>
                <w:tcPr>
                  <w:tcW w:w="1350" w:type="dxa"/>
                  <w:tcBorders>
                    <w:top w:val="nil"/>
                    <w:left w:val="nil"/>
                    <w:bottom w:val="single" w:sz="4" w:space="0" w:color="auto"/>
                    <w:right w:val="single" w:sz="4" w:space="0" w:color="auto"/>
                  </w:tcBorders>
                  <w:noWrap/>
                  <w:vAlign w:val="bottom"/>
                  <w:hideMark/>
                </w:tcPr>
                <w:p w14:paraId="0666A864"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5.241 </w:t>
                  </w:r>
                </w:p>
              </w:tc>
              <w:tc>
                <w:tcPr>
                  <w:tcW w:w="1405" w:type="dxa"/>
                  <w:tcBorders>
                    <w:top w:val="nil"/>
                    <w:left w:val="nil"/>
                    <w:bottom w:val="single" w:sz="4" w:space="0" w:color="auto"/>
                    <w:right w:val="single" w:sz="4" w:space="0" w:color="auto"/>
                  </w:tcBorders>
                  <w:noWrap/>
                  <w:vAlign w:val="bottom"/>
                  <w:hideMark/>
                </w:tcPr>
                <w:p w14:paraId="2B56C78B"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8.630 </w:t>
                  </w:r>
                </w:p>
              </w:tc>
            </w:tr>
            <w:tr w:rsidR="00B64FFB" w:rsidRPr="00B64FFB" w14:paraId="20876590"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0484ECFB"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Zipaquirá                                                                                                                                                                                               </w:t>
                  </w:r>
                </w:p>
              </w:tc>
              <w:tc>
                <w:tcPr>
                  <w:tcW w:w="1350" w:type="dxa"/>
                  <w:tcBorders>
                    <w:top w:val="nil"/>
                    <w:left w:val="nil"/>
                    <w:bottom w:val="single" w:sz="4" w:space="0" w:color="auto"/>
                    <w:right w:val="single" w:sz="4" w:space="0" w:color="auto"/>
                  </w:tcBorders>
                  <w:noWrap/>
                  <w:vAlign w:val="bottom"/>
                  <w:hideMark/>
                </w:tcPr>
                <w:p w14:paraId="7A84186B"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5.426 </w:t>
                  </w:r>
                </w:p>
              </w:tc>
              <w:tc>
                <w:tcPr>
                  <w:tcW w:w="1350" w:type="dxa"/>
                  <w:tcBorders>
                    <w:top w:val="nil"/>
                    <w:left w:val="nil"/>
                    <w:bottom w:val="single" w:sz="4" w:space="0" w:color="auto"/>
                    <w:right w:val="single" w:sz="4" w:space="0" w:color="auto"/>
                  </w:tcBorders>
                  <w:noWrap/>
                  <w:vAlign w:val="bottom"/>
                  <w:hideMark/>
                </w:tcPr>
                <w:p w14:paraId="38A9CCC3"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6.431 </w:t>
                  </w:r>
                </w:p>
              </w:tc>
              <w:tc>
                <w:tcPr>
                  <w:tcW w:w="1405" w:type="dxa"/>
                  <w:tcBorders>
                    <w:top w:val="nil"/>
                    <w:left w:val="nil"/>
                    <w:bottom w:val="single" w:sz="4" w:space="0" w:color="auto"/>
                    <w:right w:val="single" w:sz="4" w:space="0" w:color="auto"/>
                  </w:tcBorders>
                  <w:noWrap/>
                  <w:vAlign w:val="bottom"/>
                  <w:hideMark/>
                </w:tcPr>
                <w:p w14:paraId="65213379"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8.462 </w:t>
                  </w:r>
                </w:p>
              </w:tc>
            </w:tr>
            <w:tr w:rsidR="00B64FFB" w:rsidRPr="00B64FFB" w14:paraId="038795B1"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07C5227F"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El Cerrito                                                                                                                                                                                              </w:t>
                  </w:r>
                </w:p>
              </w:tc>
              <w:tc>
                <w:tcPr>
                  <w:tcW w:w="1350" w:type="dxa"/>
                  <w:tcBorders>
                    <w:top w:val="nil"/>
                    <w:left w:val="nil"/>
                    <w:bottom w:val="single" w:sz="4" w:space="0" w:color="auto"/>
                    <w:right w:val="single" w:sz="4" w:space="0" w:color="auto"/>
                  </w:tcBorders>
                  <w:noWrap/>
                  <w:vAlign w:val="bottom"/>
                  <w:hideMark/>
                </w:tcPr>
                <w:p w14:paraId="30C921FA"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4.477 </w:t>
                  </w:r>
                </w:p>
              </w:tc>
              <w:tc>
                <w:tcPr>
                  <w:tcW w:w="1350" w:type="dxa"/>
                  <w:tcBorders>
                    <w:top w:val="nil"/>
                    <w:left w:val="nil"/>
                    <w:bottom w:val="single" w:sz="4" w:space="0" w:color="auto"/>
                    <w:right w:val="single" w:sz="4" w:space="0" w:color="auto"/>
                  </w:tcBorders>
                  <w:noWrap/>
                  <w:vAlign w:val="bottom"/>
                  <w:hideMark/>
                </w:tcPr>
                <w:p w14:paraId="2F29445F"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5.320 </w:t>
                  </w:r>
                </w:p>
              </w:tc>
              <w:tc>
                <w:tcPr>
                  <w:tcW w:w="1405" w:type="dxa"/>
                  <w:tcBorders>
                    <w:top w:val="nil"/>
                    <w:left w:val="nil"/>
                    <w:bottom w:val="single" w:sz="4" w:space="0" w:color="auto"/>
                    <w:right w:val="single" w:sz="4" w:space="0" w:color="auto"/>
                  </w:tcBorders>
                  <w:noWrap/>
                  <w:vAlign w:val="bottom"/>
                  <w:hideMark/>
                </w:tcPr>
                <w:p w14:paraId="5D30AE1A"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7.537 </w:t>
                  </w:r>
                </w:p>
              </w:tc>
            </w:tr>
            <w:tr w:rsidR="00B64FFB" w:rsidRPr="00B64FFB" w14:paraId="430D118A"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5BFBEEC2"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Granada                                                                                                                                                                                                 </w:t>
                  </w:r>
                </w:p>
              </w:tc>
              <w:tc>
                <w:tcPr>
                  <w:tcW w:w="1350" w:type="dxa"/>
                  <w:tcBorders>
                    <w:top w:val="nil"/>
                    <w:left w:val="nil"/>
                    <w:bottom w:val="single" w:sz="4" w:space="0" w:color="auto"/>
                    <w:right w:val="single" w:sz="4" w:space="0" w:color="auto"/>
                  </w:tcBorders>
                  <w:noWrap/>
                  <w:vAlign w:val="bottom"/>
                  <w:hideMark/>
                </w:tcPr>
                <w:p w14:paraId="6B0362EA"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5.209 </w:t>
                  </w:r>
                </w:p>
              </w:tc>
              <w:tc>
                <w:tcPr>
                  <w:tcW w:w="1350" w:type="dxa"/>
                  <w:tcBorders>
                    <w:top w:val="nil"/>
                    <w:left w:val="nil"/>
                    <w:bottom w:val="single" w:sz="4" w:space="0" w:color="auto"/>
                    <w:right w:val="single" w:sz="4" w:space="0" w:color="auto"/>
                  </w:tcBorders>
                  <w:noWrap/>
                  <w:vAlign w:val="bottom"/>
                  <w:hideMark/>
                </w:tcPr>
                <w:p w14:paraId="7BF68E0F"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4.675 </w:t>
                  </w:r>
                </w:p>
              </w:tc>
              <w:tc>
                <w:tcPr>
                  <w:tcW w:w="1405" w:type="dxa"/>
                  <w:tcBorders>
                    <w:top w:val="nil"/>
                    <w:left w:val="nil"/>
                    <w:bottom w:val="single" w:sz="4" w:space="0" w:color="auto"/>
                    <w:right w:val="single" w:sz="4" w:space="0" w:color="auto"/>
                  </w:tcBorders>
                  <w:noWrap/>
                  <w:vAlign w:val="bottom"/>
                  <w:hideMark/>
                </w:tcPr>
                <w:p w14:paraId="3CB4DABF"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7.245 </w:t>
                  </w:r>
                </w:p>
              </w:tc>
            </w:tr>
            <w:tr w:rsidR="00B64FFB" w:rsidRPr="00B64FFB" w14:paraId="45FBC6D5"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76DC986D"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Corozal                                                                                                                                                                                                 </w:t>
                  </w:r>
                </w:p>
              </w:tc>
              <w:tc>
                <w:tcPr>
                  <w:tcW w:w="1350" w:type="dxa"/>
                  <w:tcBorders>
                    <w:top w:val="nil"/>
                    <w:left w:val="nil"/>
                    <w:bottom w:val="single" w:sz="4" w:space="0" w:color="auto"/>
                    <w:right w:val="single" w:sz="4" w:space="0" w:color="auto"/>
                  </w:tcBorders>
                  <w:noWrap/>
                  <w:vAlign w:val="bottom"/>
                  <w:hideMark/>
                </w:tcPr>
                <w:p w14:paraId="07D0978C"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5.017 </w:t>
                  </w:r>
                </w:p>
              </w:tc>
              <w:tc>
                <w:tcPr>
                  <w:tcW w:w="1350" w:type="dxa"/>
                  <w:tcBorders>
                    <w:top w:val="nil"/>
                    <w:left w:val="nil"/>
                    <w:bottom w:val="single" w:sz="4" w:space="0" w:color="auto"/>
                    <w:right w:val="single" w:sz="4" w:space="0" w:color="auto"/>
                  </w:tcBorders>
                  <w:noWrap/>
                  <w:vAlign w:val="bottom"/>
                  <w:hideMark/>
                </w:tcPr>
                <w:p w14:paraId="68527DF2"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6.703 </w:t>
                  </w:r>
                </w:p>
              </w:tc>
              <w:tc>
                <w:tcPr>
                  <w:tcW w:w="1405" w:type="dxa"/>
                  <w:tcBorders>
                    <w:top w:val="nil"/>
                    <w:left w:val="nil"/>
                    <w:bottom w:val="single" w:sz="4" w:space="0" w:color="auto"/>
                    <w:right w:val="single" w:sz="4" w:space="0" w:color="auto"/>
                  </w:tcBorders>
                  <w:noWrap/>
                  <w:vAlign w:val="bottom"/>
                  <w:hideMark/>
                </w:tcPr>
                <w:p w14:paraId="3FB68D92"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7.062 </w:t>
                  </w:r>
                </w:p>
              </w:tc>
            </w:tr>
            <w:tr w:rsidR="00B64FFB" w:rsidRPr="00B64FFB" w14:paraId="085770B4"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1FA77B76"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Melgar                                                                                                                                                                                                  </w:t>
                  </w:r>
                </w:p>
              </w:tc>
              <w:tc>
                <w:tcPr>
                  <w:tcW w:w="1350" w:type="dxa"/>
                  <w:tcBorders>
                    <w:top w:val="nil"/>
                    <w:left w:val="nil"/>
                    <w:bottom w:val="single" w:sz="4" w:space="0" w:color="auto"/>
                    <w:right w:val="single" w:sz="4" w:space="0" w:color="auto"/>
                  </w:tcBorders>
                  <w:noWrap/>
                  <w:vAlign w:val="bottom"/>
                  <w:hideMark/>
                </w:tcPr>
                <w:p w14:paraId="773827D2"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6.266 </w:t>
                  </w:r>
                </w:p>
              </w:tc>
              <w:tc>
                <w:tcPr>
                  <w:tcW w:w="1350" w:type="dxa"/>
                  <w:tcBorders>
                    <w:top w:val="nil"/>
                    <w:left w:val="nil"/>
                    <w:bottom w:val="single" w:sz="4" w:space="0" w:color="auto"/>
                    <w:right w:val="single" w:sz="4" w:space="0" w:color="auto"/>
                  </w:tcBorders>
                  <w:noWrap/>
                  <w:vAlign w:val="bottom"/>
                  <w:hideMark/>
                </w:tcPr>
                <w:p w14:paraId="405C87D8"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5.367 </w:t>
                  </w:r>
                </w:p>
              </w:tc>
              <w:tc>
                <w:tcPr>
                  <w:tcW w:w="1405" w:type="dxa"/>
                  <w:tcBorders>
                    <w:top w:val="nil"/>
                    <w:left w:val="nil"/>
                    <w:bottom w:val="single" w:sz="4" w:space="0" w:color="auto"/>
                    <w:right w:val="single" w:sz="4" w:space="0" w:color="auto"/>
                  </w:tcBorders>
                  <w:noWrap/>
                  <w:vAlign w:val="bottom"/>
                  <w:hideMark/>
                </w:tcPr>
                <w:p w14:paraId="38D43A51"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6.941 </w:t>
                  </w:r>
                </w:p>
              </w:tc>
            </w:tr>
            <w:tr w:rsidR="00B64FFB" w:rsidRPr="00B64FFB" w14:paraId="2F9AD823"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3C1E1606"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La Ceja                                                                                                                                                                                                 </w:t>
                  </w:r>
                </w:p>
              </w:tc>
              <w:tc>
                <w:tcPr>
                  <w:tcW w:w="1350" w:type="dxa"/>
                  <w:tcBorders>
                    <w:top w:val="nil"/>
                    <w:left w:val="nil"/>
                    <w:bottom w:val="single" w:sz="4" w:space="0" w:color="auto"/>
                    <w:right w:val="single" w:sz="4" w:space="0" w:color="auto"/>
                  </w:tcBorders>
                  <w:noWrap/>
                  <w:vAlign w:val="bottom"/>
                  <w:hideMark/>
                </w:tcPr>
                <w:p w14:paraId="693FABCF"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5.257 </w:t>
                  </w:r>
                </w:p>
              </w:tc>
              <w:tc>
                <w:tcPr>
                  <w:tcW w:w="1350" w:type="dxa"/>
                  <w:tcBorders>
                    <w:top w:val="nil"/>
                    <w:left w:val="nil"/>
                    <w:bottom w:val="single" w:sz="4" w:space="0" w:color="auto"/>
                    <w:right w:val="single" w:sz="4" w:space="0" w:color="auto"/>
                  </w:tcBorders>
                  <w:noWrap/>
                  <w:vAlign w:val="bottom"/>
                  <w:hideMark/>
                </w:tcPr>
                <w:p w14:paraId="4AAF16EA"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6.390 </w:t>
                  </w:r>
                </w:p>
              </w:tc>
              <w:tc>
                <w:tcPr>
                  <w:tcW w:w="1405" w:type="dxa"/>
                  <w:tcBorders>
                    <w:top w:val="nil"/>
                    <w:left w:val="nil"/>
                    <w:bottom w:val="single" w:sz="4" w:space="0" w:color="auto"/>
                    <w:right w:val="single" w:sz="4" w:space="0" w:color="auto"/>
                  </w:tcBorders>
                  <w:noWrap/>
                  <w:vAlign w:val="bottom"/>
                  <w:hideMark/>
                </w:tcPr>
                <w:p w14:paraId="3A0EEC5F"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6.627 </w:t>
                  </w:r>
                </w:p>
              </w:tc>
            </w:tr>
            <w:tr w:rsidR="00B64FFB" w:rsidRPr="00B64FFB" w14:paraId="22702AA3"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2346051E"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Magangué                                                                                                                                                                                                </w:t>
                  </w:r>
                </w:p>
              </w:tc>
              <w:tc>
                <w:tcPr>
                  <w:tcW w:w="1350" w:type="dxa"/>
                  <w:tcBorders>
                    <w:top w:val="nil"/>
                    <w:left w:val="nil"/>
                    <w:bottom w:val="single" w:sz="4" w:space="0" w:color="auto"/>
                    <w:right w:val="single" w:sz="4" w:space="0" w:color="auto"/>
                  </w:tcBorders>
                  <w:noWrap/>
                  <w:vAlign w:val="bottom"/>
                  <w:hideMark/>
                </w:tcPr>
                <w:p w14:paraId="503F095E"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5.850 </w:t>
                  </w:r>
                </w:p>
              </w:tc>
              <w:tc>
                <w:tcPr>
                  <w:tcW w:w="1350" w:type="dxa"/>
                  <w:tcBorders>
                    <w:top w:val="nil"/>
                    <w:left w:val="nil"/>
                    <w:bottom w:val="single" w:sz="4" w:space="0" w:color="auto"/>
                    <w:right w:val="single" w:sz="4" w:space="0" w:color="auto"/>
                  </w:tcBorders>
                  <w:noWrap/>
                  <w:vAlign w:val="bottom"/>
                  <w:hideMark/>
                </w:tcPr>
                <w:p w14:paraId="1D574134"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4.784 </w:t>
                  </w:r>
                </w:p>
              </w:tc>
              <w:tc>
                <w:tcPr>
                  <w:tcW w:w="1405" w:type="dxa"/>
                  <w:tcBorders>
                    <w:top w:val="nil"/>
                    <w:left w:val="nil"/>
                    <w:bottom w:val="single" w:sz="4" w:space="0" w:color="auto"/>
                    <w:right w:val="single" w:sz="4" w:space="0" w:color="auto"/>
                  </w:tcBorders>
                  <w:noWrap/>
                  <w:vAlign w:val="bottom"/>
                  <w:hideMark/>
                </w:tcPr>
                <w:p w14:paraId="376D2A81"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6.568 </w:t>
                  </w:r>
                </w:p>
              </w:tc>
            </w:tr>
            <w:tr w:rsidR="00B64FFB" w:rsidRPr="00B64FFB" w14:paraId="7C292CE2"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2C64FD98"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Palermo                                                                                                                                                                                                 </w:t>
                  </w:r>
                </w:p>
              </w:tc>
              <w:tc>
                <w:tcPr>
                  <w:tcW w:w="1350" w:type="dxa"/>
                  <w:tcBorders>
                    <w:top w:val="nil"/>
                    <w:left w:val="nil"/>
                    <w:bottom w:val="single" w:sz="4" w:space="0" w:color="auto"/>
                    <w:right w:val="single" w:sz="4" w:space="0" w:color="auto"/>
                  </w:tcBorders>
                  <w:noWrap/>
                  <w:vAlign w:val="bottom"/>
                  <w:hideMark/>
                </w:tcPr>
                <w:p w14:paraId="39617D78"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4.996 </w:t>
                  </w:r>
                </w:p>
              </w:tc>
              <w:tc>
                <w:tcPr>
                  <w:tcW w:w="1350" w:type="dxa"/>
                  <w:tcBorders>
                    <w:top w:val="nil"/>
                    <w:left w:val="nil"/>
                    <w:bottom w:val="single" w:sz="4" w:space="0" w:color="auto"/>
                    <w:right w:val="single" w:sz="4" w:space="0" w:color="auto"/>
                  </w:tcBorders>
                  <w:noWrap/>
                  <w:vAlign w:val="bottom"/>
                  <w:hideMark/>
                </w:tcPr>
                <w:p w14:paraId="6C1748D8"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3.946 </w:t>
                  </w:r>
                </w:p>
              </w:tc>
              <w:tc>
                <w:tcPr>
                  <w:tcW w:w="1405" w:type="dxa"/>
                  <w:tcBorders>
                    <w:top w:val="nil"/>
                    <w:left w:val="nil"/>
                    <w:bottom w:val="single" w:sz="4" w:space="0" w:color="auto"/>
                    <w:right w:val="single" w:sz="4" w:space="0" w:color="auto"/>
                  </w:tcBorders>
                  <w:noWrap/>
                  <w:vAlign w:val="bottom"/>
                  <w:hideMark/>
                </w:tcPr>
                <w:p w14:paraId="54528805"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6.506 </w:t>
                  </w:r>
                </w:p>
              </w:tc>
            </w:tr>
            <w:tr w:rsidR="00B64FFB" w:rsidRPr="00B64FFB" w14:paraId="0297B1CB"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0F5797D4"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Quibdó                                                                                                                                                                                                  </w:t>
                  </w:r>
                </w:p>
              </w:tc>
              <w:tc>
                <w:tcPr>
                  <w:tcW w:w="1350" w:type="dxa"/>
                  <w:tcBorders>
                    <w:top w:val="nil"/>
                    <w:left w:val="nil"/>
                    <w:bottom w:val="single" w:sz="4" w:space="0" w:color="auto"/>
                    <w:right w:val="single" w:sz="4" w:space="0" w:color="auto"/>
                  </w:tcBorders>
                  <w:noWrap/>
                  <w:vAlign w:val="bottom"/>
                  <w:hideMark/>
                </w:tcPr>
                <w:p w14:paraId="2E684A80"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5.214 </w:t>
                  </w:r>
                </w:p>
              </w:tc>
              <w:tc>
                <w:tcPr>
                  <w:tcW w:w="1350" w:type="dxa"/>
                  <w:tcBorders>
                    <w:top w:val="nil"/>
                    <w:left w:val="nil"/>
                    <w:bottom w:val="single" w:sz="4" w:space="0" w:color="auto"/>
                    <w:right w:val="single" w:sz="4" w:space="0" w:color="auto"/>
                  </w:tcBorders>
                  <w:noWrap/>
                  <w:vAlign w:val="bottom"/>
                  <w:hideMark/>
                </w:tcPr>
                <w:p w14:paraId="71FEE9F6"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6.036 </w:t>
                  </w:r>
                </w:p>
              </w:tc>
              <w:tc>
                <w:tcPr>
                  <w:tcW w:w="1405" w:type="dxa"/>
                  <w:tcBorders>
                    <w:top w:val="nil"/>
                    <w:left w:val="nil"/>
                    <w:bottom w:val="single" w:sz="4" w:space="0" w:color="auto"/>
                    <w:right w:val="single" w:sz="4" w:space="0" w:color="auto"/>
                  </w:tcBorders>
                  <w:noWrap/>
                  <w:vAlign w:val="bottom"/>
                  <w:hideMark/>
                </w:tcPr>
                <w:p w14:paraId="5B627DEC"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6.477 </w:t>
                  </w:r>
                </w:p>
              </w:tc>
            </w:tr>
            <w:tr w:rsidR="00B64FFB" w:rsidRPr="00B64FFB" w14:paraId="170DB9CE"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60761628"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San Gil                                                                                                                                                                                                 </w:t>
                  </w:r>
                </w:p>
              </w:tc>
              <w:tc>
                <w:tcPr>
                  <w:tcW w:w="1350" w:type="dxa"/>
                  <w:tcBorders>
                    <w:top w:val="nil"/>
                    <w:left w:val="nil"/>
                    <w:bottom w:val="single" w:sz="4" w:space="0" w:color="auto"/>
                    <w:right w:val="single" w:sz="4" w:space="0" w:color="auto"/>
                  </w:tcBorders>
                  <w:noWrap/>
                  <w:vAlign w:val="bottom"/>
                  <w:hideMark/>
                </w:tcPr>
                <w:p w14:paraId="2D3CD5C6"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4.256 </w:t>
                  </w:r>
                </w:p>
              </w:tc>
              <w:tc>
                <w:tcPr>
                  <w:tcW w:w="1350" w:type="dxa"/>
                  <w:tcBorders>
                    <w:top w:val="nil"/>
                    <w:left w:val="nil"/>
                    <w:bottom w:val="single" w:sz="4" w:space="0" w:color="auto"/>
                    <w:right w:val="single" w:sz="4" w:space="0" w:color="auto"/>
                  </w:tcBorders>
                  <w:noWrap/>
                  <w:vAlign w:val="bottom"/>
                  <w:hideMark/>
                </w:tcPr>
                <w:p w14:paraId="11E1CD39"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5.085 </w:t>
                  </w:r>
                </w:p>
              </w:tc>
              <w:tc>
                <w:tcPr>
                  <w:tcW w:w="1405" w:type="dxa"/>
                  <w:tcBorders>
                    <w:top w:val="nil"/>
                    <w:left w:val="nil"/>
                    <w:bottom w:val="single" w:sz="4" w:space="0" w:color="auto"/>
                    <w:right w:val="single" w:sz="4" w:space="0" w:color="auto"/>
                  </w:tcBorders>
                  <w:noWrap/>
                  <w:vAlign w:val="bottom"/>
                  <w:hideMark/>
                </w:tcPr>
                <w:p w14:paraId="1E8AB157"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6.146 </w:t>
                  </w:r>
                </w:p>
              </w:tc>
            </w:tr>
            <w:tr w:rsidR="00B64FFB" w:rsidRPr="00B64FFB" w14:paraId="5493685C"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3798D04E"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La Estrella                                                                                                                                                                                             </w:t>
                  </w:r>
                </w:p>
              </w:tc>
              <w:tc>
                <w:tcPr>
                  <w:tcW w:w="1350" w:type="dxa"/>
                  <w:tcBorders>
                    <w:top w:val="nil"/>
                    <w:left w:val="nil"/>
                    <w:bottom w:val="single" w:sz="4" w:space="0" w:color="auto"/>
                    <w:right w:val="single" w:sz="4" w:space="0" w:color="auto"/>
                  </w:tcBorders>
                  <w:noWrap/>
                  <w:vAlign w:val="bottom"/>
                  <w:hideMark/>
                </w:tcPr>
                <w:p w14:paraId="7C7C17B3"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4.067 </w:t>
                  </w:r>
                </w:p>
              </w:tc>
              <w:tc>
                <w:tcPr>
                  <w:tcW w:w="1350" w:type="dxa"/>
                  <w:tcBorders>
                    <w:top w:val="nil"/>
                    <w:left w:val="nil"/>
                    <w:bottom w:val="single" w:sz="4" w:space="0" w:color="auto"/>
                    <w:right w:val="single" w:sz="4" w:space="0" w:color="auto"/>
                  </w:tcBorders>
                  <w:noWrap/>
                  <w:vAlign w:val="bottom"/>
                  <w:hideMark/>
                </w:tcPr>
                <w:p w14:paraId="3FA6264A"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4.669 </w:t>
                  </w:r>
                </w:p>
              </w:tc>
              <w:tc>
                <w:tcPr>
                  <w:tcW w:w="1405" w:type="dxa"/>
                  <w:tcBorders>
                    <w:top w:val="nil"/>
                    <w:left w:val="nil"/>
                    <w:bottom w:val="single" w:sz="4" w:space="0" w:color="auto"/>
                    <w:right w:val="single" w:sz="4" w:space="0" w:color="auto"/>
                  </w:tcBorders>
                  <w:noWrap/>
                  <w:vAlign w:val="bottom"/>
                  <w:hideMark/>
                </w:tcPr>
                <w:p w14:paraId="6417ACE3"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6.082 </w:t>
                  </w:r>
                </w:p>
              </w:tc>
            </w:tr>
            <w:tr w:rsidR="00B64FFB" w:rsidRPr="00B64FFB" w14:paraId="7CB9F60C" w14:textId="77777777" w:rsidTr="00740130">
              <w:trPr>
                <w:trHeight w:val="227"/>
                <w:jc w:val="center"/>
              </w:trPr>
              <w:tc>
                <w:tcPr>
                  <w:tcW w:w="1936" w:type="dxa"/>
                  <w:tcBorders>
                    <w:top w:val="nil"/>
                    <w:left w:val="single" w:sz="4" w:space="0" w:color="auto"/>
                    <w:bottom w:val="single" w:sz="4" w:space="0" w:color="auto"/>
                    <w:right w:val="single" w:sz="4" w:space="0" w:color="auto"/>
                  </w:tcBorders>
                  <w:noWrap/>
                  <w:vAlign w:val="bottom"/>
                  <w:hideMark/>
                </w:tcPr>
                <w:p w14:paraId="57D86F26"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Acacías                                                                                                                                                                                                 </w:t>
                  </w:r>
                </w:p>
              </w:tc>
              <w:tc>
                <w:tcPr>
                  <w:tcW w:w="1350" w:type="dxa"/>
                  <w:tcBorders>
                    <w:top w:val="nil"/>
                    <w:left w:val="nil"/>
                    <w:bottom w:val="single" w:sz="4" w:space="0" w:color="auto"/>
                    <w:right w:val="single" w:sz="4" w:space="0" w:color="auto"/>
                  </w:tcBorders>
                  <w:noWrap/>
                  <w:vAlign w:val="bottom"/>
                  <w:hideMark/>
                </w:tcPr>
                <w:p w14:paraId="252CED08"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6.012 </w:t>
                  </w:r>
                </w:p>
              </w:tc>
              <w:tc>
                <w:tcPr>
                  <w:tcW w:w="1350" w:type="dxa"/>
                  <w:tcBorders>
                    <w:top w:val="nil"/>
                    <w:left w:val="nil"/>
                    <w:bottom w:val="single" w:sz="4" w:space="0" w:color="auto"/>
                    <w:right w:val="single" w:sz="4" w:space="0" w:color="auto"/>
                  </w:tcBorders>
                  <w:noWrap/>
                  <w:vAlign w:val="bottom"/>
                  <w:hideMark/>
                </w:tcPr>
                <w:p w14:paraId="478E18C8"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8.473 </w:t>
                  </w:r>
                </w:p>
              </w:tc>
              <w:tc>
                <w:tcPr>
                  <w:tcW w:w="1405" w:type="dxa"/>
                  <w:tcBorders>
                    <w:top w:val="nil"/>
                    <w:left w:val="nil"/>
                    <w:bottom w:val="single" w:sz="4" w:space="0" w:color="auto"/>
                    <w:right w:val="single" w:sz="4" w:space="0" w:color="auto"/>
                  </w:tcBorders>
                  <w:noWrap/>
                  <w:vAlign w:val="bottom"/>
                  <w:hideMark/>
                </w:tcPr>
                <w:p w14:paraId="3159986F" w14:textId="77777777" w:rsidR="00A3000A" w:rsidRPr="00740130" w:rsidRDefault="00A3000A" w:rsidP="00A3000A">
                  <w:pPr>
                    <w:spacing w:after="0" w:line="240" w:lineRule="auto"/>
                    <w:rPr>
                      <w:rFonts w:ascii="Times New Roman" w:eastAsia="Times New Roman" w:hAnsi="Times New Roman" w:cs="Times New Roman"/>
                      <w:color w:val="000000"/>
                      <w:lang w:val="es-419" w:eastAsia="es-419"/>
                    </w:rPr>
                  </w:pPr>
                  <w:r w:rsidRPr="00740130">
                    <w:rPr>
                      <w:rFonts w:ascii="Times New Roman" w:eastAsia="Times New Roman" w:hAnsi="Times New Roman" w:cs="Times New Roman"/>
                      <w:color w:val="000000"/>
                      <w:lang w:val="es-419" w:eastAsia="es-419"/>
                    </w:rPr>
                    <w:t xml:space="preserve">              6.067 </w:t>
                  </w:r>
                </w:p>
              </w:tc>
            </w:tr>
          </w:tbl>
          <w:p w14:paraId="4A2A167B" w14:textId="07A0CF05" w:rsidR="009D74A3" w:rsidRDefault="29E0F8D9" w:rsidP="00740130">
            <w:pPr>
              <w:ind w:firstLine="634"/>
              <w:jc w:val="both"/>
              <w:rPr>
                <w:rFonts w:ascii="Times New Roman" w:hAnsi="Times New Roman" w:cs="Times New Roman"/>
                <w:sz w:val="18"/>
                <w:szCs w:val="18"/>
              </w:rPr>
            </w:pPr>
            <w:r w:rsidRPr="00740130">
              <w:rPr>
                <w:rFonts w:ascii="Times New Roman" w:hAnsi="Times New Roman" w:cs="Times New Roman"/>
                <w:b/>
                <w:bCs/>
                <w:sz w:val="18"/>
                <w:szCs w:val="18"/>
              </w:rPr>
              <w:t>Fuente:</w:t>
            </w:r>
            <w:r w:rsidRPr="00740130">
              <w:rPr>
                <w:rFonts w:ascii="Times New Roman" w:hAnsi="Times New Roman" w:cs="Times New Roman"/>
                <w:sz w:val="18"/>
                <w:szCs w:val="18"/>
              </w:rPr>
              <w:t xml:space="preserve"> </w:t>
            </w:r>
            <w:r w:rsidR="00A3000A">
              <w:rPr>
                <w:rFonts w:ascii="Times New Roman" w:hAnsi="Times New Roman" w:cs="Times New Roman"/>
                <w:sz w:val="18"/>
                <w:szCs w:val="18"/>
              </w:rPr>
              <w:t xml:space="preserve">DNP, </w:t>
            </w:r>
            <w:r w:rsidR="00C715B9">
              <w:rPr>
                <w:rFonts w:ascii="Times New Roman" w:hAnsi="Times New Roman" w:cs="Times New Roman"/>
                <w:sz w:val="18"/>
                <w:szCs w:val="18"/>
              </w:rPr>
              <w:t xml:space="preserve">CUIPO. </w:t>
            </w:r>
            <w:r w:rsidR="00C715B9" w:rsidRPr="00C715B9">
              <w:rPr>
                <w:rFonts w:ascii="Times New Roman" w:hAnsi="Times New Roman" w:cs="Times New Roman"/>
                <w:sz w:val="18"/>
                <w:szCs w:val="18"/>
              </w:rPr>
              <w:t>Dirección de Descentralización y Fortalecimiento Fiscal</w:t>
            </w:r>
            <w:r w:rsidR="00E832FE" w:rsidRPr="00740130">
              <w:rPr>
                <w:rFonts w:ascii="Times New Roman" w:hAnsi="Times New Roman" w:cs="Times New Roman"/>
                <w:sz w:val="18"/>
                <w:szCs w:val="18"/>
              </w:rPr>
              <w:t>.</w:t>
            </w:r>
          </w:p>
          <w:p w14:paraId="456DA5AB" w14:textId="77777777" w:rsidR="004D5D03" w:rsidRDefault="004D5D03">
            <w:pPr>
              <w:ind w:firstLine="634"/>
              <w:jc w:val="both"/>
              <w:rPr>
                <w:rFonts w:ascii="Times New Roman" w:hAnsi="Times New Roman" w:cs="Times New Roman"/>
                <w:sz w:val="18"/>
                <w:szCs w:val="18"/>
              </w:rPr>
            </w:pPr>
            <w:r w:rsidRPr="00740130">
              <w:rPr>
                <w:rFonts w:ascii="Times New Roman" w:hAnsi="Times New Roman" w:cs="Times New Roman"/>
                <w:b/>
                <w:bCs/>
                <w:sz w:val="18"/>
                <w:szCs w:val="18"/>
              </w:rPr>
              <w:t>Nota</w:t>
            </w:r>
            <w:r>
              <w:rPr>
                <w:rFonts w:ascii="Times New Roman" w:hAnsi="Times New Roman" w:cs="Times New Roman"/>
                <w:sz w:val="18"/>
                <w:szCs w:val="18"/>
              </w:rPr>
              <w:t>: Incluye sobretasa al impuesto de alumbrado público</w:t>
            </w:r>
          </w:p>
          <w:p w14:paraId="06EF9C8C" w14:textId="408EE82C" w:rsidR="004D5D03" w:rsidRPr="00740130" w:rsidRDefault="004D5D03" w:rsidP="00740130">
            <w:pPr>
              <w:ind w:firstLine="634"/>
              <w:jc w:val="both"/>
              <w:rPr>
                <w:rFonts w:ascii="Times New Roman" w:hAnsi="Times New Roman" w:cs="Times New Roman"/>
                <w:sz w:val="18"/>
                <w:szCs w:val="18"/>
              </w:rPr>
            </w:pPr>
            <w:r>
              <w:rPr>
                <w:rFonts w:ascii="Times New Roman" w:hAnsi="Times New Roman" w:cs="Times New Roman"/>
                <w:sz w:val="18"/>
                <w:szCs w:val="18"/>
              </w:rPr>
              <w:t xml:space="preserve"> </w:t>
            </w:r>
          </w:p>
          <w:p w14:paraId="4AD9DEBB" w14:textId="408A114D" w:rsidR="0ADA029A" w:rsidRDefault="0ADA029A" w:rsidP="0ADA029A">
            <w:pPr>
              <w:pStyle w:val="paragraph"/>
              <w:spacing w:before="0" w:beforeAutospacing="0" w:after="0" w:afterAutospacing="0"/>
              <w:jc w:val="both"/>
              <w:rPr>
                <w:rStyle w:val="normaltextrun"/>
                <w:rFonts w:ascii="Times New Roman" w:hAnsi="Times New Roman" w:cs="Times New Roman"/>
                <w:color w:val="000000" w:themeColor="text1"/>
              </w:rPr>
            </w:pPr>
          </w:p>
          <w:p w14:paraId="4B1F0DEF" w14:textId="6327A722" w:rsidR="009D74A3" w:rsidRPr="00740130" w:rsidRDefault="009D74A3" w:rsidP="009D74A3">
            <w:pPr>
              <w:pStyle w:val="paragraph"/>
              <w:spacing w:before="0" w:beforeAutospacing="0" w:after="0" w:afterAutospacing="0"/>
              <w:jc w:val="both"/>
              <w:textAlignment w:val="baseline"/>
              <w:rPr>
                <w:rStyle w:val="normaltextrun"/>
                <w:rFonts w:ascii="Times New Roman" w:hAnsi="Times New Roman" w:cs="Times New Roman"/>
                <w:color w:val="000000" w:themeColor="text1"/>
              </w:rPr>
            </w:pPr>
            <w:r w:rsidRPr="009D74A3">
              <w:rPr>
                <w:rStyle w:val="normaltextrun"/>
                <w:rFonts w:ascii="Times New Roman" w:hAnsi="Times New Roman" w:cs="Times New Roman"/>
                <w:color w:val="000000" w:themeColor="text1"/>
              </w:rPr>
              <w:t>Según lo establecido en la Sentencia de Unificación 00826 de 2019 del Consejo de Estado, el impuesto que financia este servicio tiene sustento legal en las Leyes 97 de 1913 y 84 de 1915. Su cobro puede realizarse a los usuarios mediante un tributo, siempre que se respeten los principios de legalidad, equidad y capacidad de pago. No obstante, la sola tenencia de un inmueble no implica automáticamente la obligación de pago, ya que debe demostrarse que dicho predio se beneficia efectivamente del servicio</w:t>
            </w:r>
            <w:r w:rsidRPr="00740130">
              <w:rPr>
                <w:rStyle w:val="normaltextrun"/>
                <w:rFonts w:ascii="Times New Roman" w:hAnsi="Times New Roman" w:cs="Times New Roman"/>
                <w:color w:val="000000" w:themeColor="text1"/>
              </w:rPr>
              <w:t>. </w:t>
            </w:r>
          </w:p>
          <w:p w14:paraId="016669A9" w14:textId="7CB3A813" w:rsidR="009D74A3" w:rsidRPr="00740130" w:rsidRDefault="0099713C" w:rsidP="00740130">
            <w:pPr>
              <w:pStyle w:val="paragraph"/>
              <w:jc w:val="both"/>
              <w:textAlignment w:val="baseline"/>
              <w:rPr>
                <w:rStyle w:val="normaltextrun"/>
                <w:rFonts w:ascii="Times New Roman" w:hAnsi="Times New Roman" w:cs="Times New Roman"/>
                <w:color w:val="000000" w:themeColor="text1"/>
              </w:rPr>
            </w:pPr>
            <w:r w:rsidRPr="00740130">
              <w:rPr>
                <w:rStyle w:val="normaltextrun"/>
                <w:rFonts w:ascii="Times New Roman" w:hAnsi="Times New Roman" w:cs="Times New Roman"/>
                <w:color w:val="000000" w:themeColor="text1"/>
              </w:rPr>
              <w:t>El principio de justicia tributaria establece que quienes se benefician directamente del servicio deben contribuir a su sostenimiento. Un impuesto específico garantiza una fuente estable de recursos, evita la competencia con prioridades del presupuesto ordinario y protege la inversión a largo plazo.</w:t>
            </w:r>
          </w:p>
          <w:p w14:paraId="50F03815" w14:textId="1343E4B4" w:rsidR="009D74A3" w:rsidRPr="009D74A3" w:rsidRDefault="009D74A3" w:rsidP="009D74A3">
            <w:pPr>
              <w:pStyle w:val="paragraph"/>
              <w:spacing w:before="0" w:beforeAutospacing="0" w:after="0" w:afterAutospacing="0"/>
              <w:jc w:val="both"/>
              <w:textAlignment w:val="baseline"/>
              <w:rPr>
                <w:color w:val="000000" w:themeColor="text1"/>
                <w:sz w:val="32"/>
                <w:szCs w:val="32"/>
              </w:rPr>
            </w:pPr>
            <w:r w:rsidRPr="009D74A3">
              <w:rPr>
                <w:rStyle w:val="normaltextrun"/>
                <w:rFonts w:ascii="Times New Roman" w:hAnsi="Times New Roman" w:cs="Times New Roman"/>
                <w:color w:val="000000" w:themeColor="text1"/>
              </w:rPr>
              <w:t>De acuerdo con lo anterior, uno de los propósitos adicionales que permitiría dicho impuesto es definir una fuente específica para cubrir el costo de alumbrado público, que actualmente la Administración Distrital realiza con recursos ordinarios. Al contar con una fuente específica para el servicio de alumbrado público permitiría liberar recursos ordinarios, que pueden ser asignados para inversión en otros sectores de la Administración Distrital, por ejemplo, educación, salud, integración social, cultura, hábitat, entre otros, contribuyendo a los objetivos de calidad de gasto público, y de eficiencia en la administración de recursos públicos del Distrito. </w:t>
            </w:r>
            <w:r w:rsidRPr="009D74A3">
              <w:rPr>
                <w:rStyle w:val="eop"/>
                <w:color w:val="000000" w:themeColor="text1"/>
              </w:rPr>
              <w:t> </w:t>
            </w:r>
          </w:p>
          <w:p w14:paraId="2AA4669B" w14:textId="77777777" w:rsidR="009D74A3" w:rsidRPr="009D74A3" w:rsidRDefault="009D74A3" w:rsidP="009D74A3">
            <w:pPr>
              <w:pStyle w:val="paragraph"/>
              <w:spacing w:before="0" w:beforeAutospacing="0" w:after="0" w:afterAutospacing="0"/>
              <w:textAlignment w:val="baseline"/>
              <w:rPr>
                <w:sz w:val="32"/>
                <w:szCs w:val="32"/>
              </w:rPr>
            </w:pPr>
            <w:r w:rsidRPr="009D74A3">
              <w:rPr>
                <w:rStyle w:val="eop"/>
                <w:sz w:val="22"/>
                <w:szCs w:val="22"/>
              </w:rPr>
              <w:t> </w:t>
            </w:r>
          </w:p>
          <w:p w14:paraId="0001199C" w14:textId="16B5ECCE" w:rsidR="009D74A3" w:rsidRPr="009D74A3" w:rsidRDefault="009D74A3">
            <w:pPr>
              <w:pStyle w:val="paragraph"/>
              <w:numPr>
                <w:ilvl w:val="1"/>
                <w:numId w:val="6"/>
              </w:numPr>
              <w:spacing w:before="0" w:beforeAutospacing="0" w:after="0" w:afterAutospacing="0"/>
              <w:textAlignment w:val="baseline"/>
              <w:rPr>
                <w:rStyle w:val="eop"/>
              </w:rPr>
            </w:pPr>
            <w:r w:rsidRPr="009D74A3">
              <w:rPr>
                <w:rStyle w:val="normaltextrun"/>
                <w:rFonts w:ascii="Times New Roman" w:hAnsi="Times New Roman" w:cs="Times New Roman"/>
                <w:b/>
                <w:bCs/>
              </w:rPr>
              <w:t>Diagnóstico procedimiento</w:t>
            </w:r>
            <w:r w:rsidRPr="009D74A3">
              <w:rPr>
                <w:rStyle w:val="eop"/>
              </w:rPr>
              <w:t> </w:t>
            </w:r>
          </w:p>
          <w:p w14:paraId="45402C38" w14:textId="77777777" w:rsidR="009D74A3" w:rsidRPr="009D74A3" w:rsidRDefault="009D74A3" w:rsidP="009D74A3">
            <w:pPr>
              <w:pStyle w:val="paragraph"/>
              <w:spacing w:before="0" w:beforeAutospacing="0" w:after="0" w:afterAutospacing="0"/>
              <w:ind w:left="720"/>
              <w:textAlignment w:val="baseline"/>
              <w:rPr>
                <w:sz w:val="32"/>
                <w:szCs w:val="32"/>
              </w:rPr>
            </w:pPr>
            <w:r w:rsidRPr="009D74A3">
              <w:rPr>
                <w:rStyle w:val="eop"/>
              </w:rPr>
              <w:t> </w:t>
            </w:r>
          </w:p>
          <w:p w14:paraId="49ED432D"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lang w:val="es-ES"/>
              </w:rPr>
              <w:t>Se ha demostrado que la simplificación del sistema tributario podría mejorarlo mediante la reducción de los costos que asumen los contribuyentes al cumplir con sus obligaciones fiscales, tanto en tiempo como en dinero. Así mismo, que normas tributarias más simples son más comprensibles y, por lo tanto, más utilizadas, lo que haría más efectivas las políticas diseñadas para fomentar ciertas conductas, como el ahorro para la educación</w:t>
            </w:r>
            <w:r w:rsidRPr="009D74A3">
              <w:rPr>
                <w:rStyle w:val="normaltextrun"/>
                <w:rFonts w:ascii="Times New Roman" w:hAnsi="Times New Roman" w:cs="Times New Roman"/>
                <w:sz w:val="19"/>
                <w:szCs w:val="19"/>
                <w:vertAlign w:val="superscript"/>
                <w:lang w:val="es-ES"/>
              </w:rPr>
              <w:t>6</w:t>
            </w:r>
            <w:r w:rsidRPr="009D74A3">
              <w:rPr>
                <w:rStyle w:val="normaltextrun"/>
                <w:rFonts w:ascii="Times New Roman" w:hAnsi="Times New Roman" w:cs="Times New Roman"/>
                <w:lang w:val="es-ES"/>
              </w:rPr>
              <w:t>.</w:t>
            </w:r>
            <w:r w:rsidRPr="009D74A3">
              <w:rPr>
                <w:rStyle w:val="normaltextrun"/>
                <w:rFonts w:ascii="Times New Roman" w:hAnsi="Times New Roman" w:cs="Times New Roman"/>
              </w:rPr>
              <w:t> </w:t>
            </w:r>
            <w:r w:rsidRPr="009D74A3">
              <w:rPr>
                <w:rStyle w:val="eop"/>
              </w:rPr>
              <w:t> </w:t>
            </w:r>
          </w:p>
          <w:p w14:paraId="2E36ED17"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rPr>
              <w:t> </w:t>
            </w:r>
            <w:r w:rsidRPr="009D74A3">
              <w:rPr>
                <w:rStyle w:val="eop"/>
              </w:rPr>
              <w:t> </w:t>
            </w:r>
          </w:p>
          <w:p w14:paraId="0C3259BC"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lang w:val="es-ES"/>
              </w:rPr>
              <w:t>Adicionalmente, un sistema normativo tributario más simple puede mejorar el cumplimiento de los contribuyentes al reducir los errores involuntarios y la evasión. Las personas tienden a evadir impuestos que consideran injustos, y la complejidad puede generar esa percepción de injusticia. Por otro lado, los contribuyentes sofisticados pueden aprovechar las ambigüedades del código tributario, lo que dificulta la labor de fiscalización, por lo que se concluye que leyes más claras y simples, pueden arrojar mejores resultados que un proceso de determinación oficial del impuesto</w:t>
            </w:r>
            <w:r w:rsidRPr="009D74A3">
              <w:rPr>
                <w:rStyle w:val="normaltextrun"/>
                <w:rFonts w:ascii="Times New Roman" w:hAnsi="Times New Roman" w:cs="Times New Roman"/>
                <w:sz w:val="19"/>
                <w:szCs w:val="19"/>
                <w:vertAlign w:val="superscript"/>
                <w:lang w:val="es-ES"/>
              </w:rPr>
              <w:t>7</w:t>
            </w:r>
            <w:r w:rsidRPr="009D74A3">
              <w:rPr>
                <w:rStyle w:val="normaltextrun"/>
                <w:rFonts w:ascii="Times New Roman" w:hAnsi="Times New Roman" w:cs="Times New Roman"/>
                <w:lang w:val="es-ES"/>
              </w:rPr>
              <w:t>.</w:t>
            </w:r>
            <w:r w:rsidRPr="009D74A3">
              <w:rPr>
                <w:rStyle w:val="normaltextrun"/>
                <w:rFonts w:ascii="Times New Roman" w:hAnsi="Times New Roman" w:cs="Times New Roman"/>
              </w:rPr>
              <w:t> </w:t>
            </w:r>
            <w:r w:rsidRPr="009D74A3">
              <w:rPr>
                <w:rStyle w:val="eop"/>
              </w:rPr>
              <w:t> </w:t>
            </w:r>
          </w:p>
          <w:p w14:paraId="02A934A0"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rPr>
              <w:t> </w:t>
            </w:r>
            <w:r w:rsidRPr="009D74A3">
              <w:rPr>
                <w:rStyle w:val="eop"/>
              </w:rPr>
              <w:t> </w:t>
            </w:r>
          </w:p>
          <w:p w14:paraId="3054A1DD" w14:textId="3C43CCE8"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lang w:val="es-ES"/>
              </w:rPr>
              <w:t xml:space="preserve">Bajo este contexto, se advierte que el sistema tributario normativo del Distrito Capital </w:t>
            </w:r>
            <w:r w:rsidR="42978866" w:rsidRPr="46221FE5">
              <w:rPr>
                <w:rStyle w:val="normaltextrun"/>
                <w:rFonts w:ascii="Times New Roman" w:hAnsi="Times New Roman" w:cs="Times New Roman"/>
                <w:lang w:val="es-ES"/>
              </w:rPr>
              <w:t>tiene</w:t>
            </w:r>
            <w:r w:rsidR="0657A565" w:rsidRPr="46221FE5">
              <w:rPr>
                <w:rStyle w:val="normaltextrun"/>
                <w:rFonts w:ascii="Times New Roman" w:hAnsi="Times New Roman" w:cs="Times New Roman"/>
                <w:lang w:val="es-ES"/>
              </w:rPr>
              <w:t xml:space="preserve"> </w:t>
            </w:r>
            <w:r w:rsidRPr="009D74A3">
              <w:rPr>
                <w:rStyle w:val="normaltextrun"/>
                <w:rFonts w:ascii="Times New Roman" w:hAnsi="Times New Roman" w:cs="Times New Roman"/>
                <w:lang w:val="es-ES"/>
              </w:rPr>
              <w:t xml:space="preserve">una </w:t>
            </w:r>
            <w:r w:rsidR="42978866" w:rsidRPr="46221FE5">
              <w:rPr>
                <w:rStyle w:val="normaltextrun"/>
                <w:rFonts w:ascii="Times New Roman" w:hAnsi="Times New Roman" w:cs="Times New Roman"/>
                <w:lang w:val="es-ES"/>
              </w:rPr>
              <w:t xml:space="preserve">alta </w:t>
            </w:r>
            <w:r w:rsidRPr="009D74A3">
              <w:rPr>
                <w:rStyle w:val="normaltextrun"/>
                <w:rFonts w:ascii="Times New Roman" w:hAnsi="Times New Roman" w:cs="Times New Roman"/>
                <w:lang w:val="es-ES"/>
              </w:rPr>
              <w:t>dispersión normativa que dificulta gravemente la identificación de las normas vigentes aplicables a un caso concreto.</w:t>
            </w:r>
            <w:r w:rsidR="0657A565" w:rsidRPr="46221FE5">
              <w:rPr>
                <w:rStyle w:val="normaltextrun"/>
                <w:rFonts w:ascii="Times New Roman" w:hAnsi="Times New Roman" w:cs="Times New Roman"/>
              </w:rPr>
              <w:t> </w:t>
            </w:r>
            <w:r w:rsidR="0657A565" w:rsidRPr="46221FE5">
              <w:rPr>
                <w:rStyle w:val="normaltextrun"/>
                <w:rFonts w:ascii="Times New Roman" w:hAnsi="Times New Roman" w:cs="Times New Roman"/>
                <w:lang w:val="es-ES"/>
              </w:rPr>
              <w:t>Pese</w:t>
            </w:r>
            <w:r w:rsidRPr="009D74A3">
              <w:rPr>
                <w:rStyle w:val="normaltextrun"/>
                <w:rFonts w:ascii="Times New Roman" w:hAnsi="Times New Roman" w:cs="Times New Roman"/>
                <w:lang w:val="es-ES"/>
              </w:rPr>
              <w:t xml:space="preserve"> a que en dos ocasiones se ordenó una compilación normativa para organizar en un solo instrumento jurídico las normas procedimentales (Decreto Distrital 807 de 1993) y sustanciales (Decreto 352 de 2002), con posterioridad a ese ejercicio de compilación se expidieron múltiples acuerdos distritales de contenido tributario, cuyos artículos no fueron incorporados en los respectivos decretos.</w:t>
            </w:r>
            <w:r w:rsidR="0657A565" w:rsidRPr="46221FE5">
              <w:rPr>
                <w:rStyle w:val="normaltextrun"/>
                <w:rFonts w:ascii="Times New Roman" w:hAnsi="Times New Roman" w:cs="Times New Roman"/>
              </w:rPr>
              <w:t> </w:t>
            </w:r>
            <w:r w:rsidRPr="009D74A3">
              <w:rPr>
                <w:rStyle w:val="eop"/>
              </w:rPr>
              <w:t> </w:t>
            </w:r>
          </w:p>
          <w:p w14:paraId="39D2568E"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rPr>
              <w:t> </w:t>
            </w:r>
            <w:r w:rsidRPr="009D74A3">
              <w:rPr>
                <w:rStyle w:val="eop"/>
              </w:rPr>
              <w:t> </w:t>
            </w:r>
          </w:p>
          <w:p w14:paraId="554F6A10"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lang w:val="es-ES"/>
              </w:rPr>
              <w:t>De igual forma, se advierte que la mayoría de las normas contienen derogatorias tácitas lo que hace difícil para el contribuyente identificar la norma vigente aplicable. Lo propio ocurre debido a que no hay una organización temática, por impuesto, que permita identificar en un solo documento, por ejemplo, todas las normas de ICA o predial.</w:t>
            </w:r>
            <w:r w:rsidRPr="009D74A3">
              <w:rPr>
                <w:rStyle w:val="normaltextrun"/>
                <w:rFonts w:ascii="Times New Roman" w:hAnsi="Times New Roman" w:cs="Times New Roman"/>
              </w:rPr>
              <w:t> </w:t>
            </w:r>
            <w:r w:rsidRPr="009D74A3">
              <w:rPr>
                <w:rStyle w:val="eop"/>
              </w:rPr>
              <w:t> </w:t>
            </w:r>
          </w:p>
          <w:p w14:paraId="62A4D7E7"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eop"/>
              </w:rPr>
              <w:t> </w:t>
            </w:r>
          </w:p>
          <w:p w14:paraId="7AE865D1" w14:textId="77777777" w:rsidR="009D74A3" w:rsidRDefault="009D74A3" w:rsidP="009D74A3">
            <w:pPr>
              <w:pStyle w:val="paragraph"/>
              <w:spacing w:before="0" w:beforeAutospacing="0" w:after="0" w:afterAutospacing="0"/>
              <w:jc w:val="both"/>
              <w:textAlignment w:val="baseline"/>
              <w:rPr>
                <w:rStyle w:val="eop"/>
              </w:rPr>
            </w:pPr>
            <w:r w:rsidRPr="009D74A3">
              <w:rPr>
                <w:rStyle w:val="normaltextrun"/>
                <w:rFonts w:ascii="Times New Roman" w:hAnsi="Times New Roman" w:cs="Times New Roman"/>
              </w:rPr>
              <w:t>Lo anterior se hace especialmente tangible en materia de notificaciones, puesto que las reglas aplicables se encuentran en varios artículos en diferentes acuerdos, lo que dificulta la labor de la Administración Tributaria y entorpece el ejercicio del derecho de defensa de los contribuyentes.</w:t>
            </w:r>
            <w:r w:rsidRPr="009D74A3">
              <w:rPr>
                <w:rStyle w:val="eop"/>
              </w:rPr>
              <w:t> </w:t>
            </w:r>
          </w:p>
          <w:p w14:paraId="7C2EFD01" w14:textId="77777777" w:rsidR="009D74A3" w:rsidRDefault="009D74A3" w:rsidP="009D74A3">
            <w:pPr>
              <w:pStyle w:val="paragraph"/>
              <w:spacing w:before="0" w:beforeAutospacing="0" w:after="0" w:afterAutospacing="0"/>
              <w:jc w:val="both"/>
              <w:textAlignment w:val="baseline"/>
              <w:rPr>
                <w:rStyle w:val="eop"/>
              </w:rPr>
            </w:pPr>
          </w:p>
          <w:p w14:paraId="2776496D" w14:textId="77777777" w:rsidR="009D74A3" w:rsidRDefault="009D74A3" w:rsidP="009D74A3">
            <w:pPr>
              <w:pStyle w:val="paragraph"/>
              <w:spacing w:before="0" w:beforeAutospacing="0" w:after="0" w:afterAutospacing="0"/>
              <w:jc w:val="both"/>
              <w:textAlignment w:val="baseline"/>
              <w:rPr>
                <w:rStyle w:val="normaltextrun"/>
                <w:rFonts w:ascii="Times New Roman" w:hAnsi="Times New Roman" w:cs="Times New Roman"/>
              </w:rPr>
            </w:pPr>
            <w:r w:rsidRPr="009D74A3">
              <w:rPr>
                <w:rStyle w:val="normaltextrun"/>
                <w:rFonts w:ascii="Times New Roman" w:hAnsi="Times New Roman" w:cs="Times New Roman"/>
              </w:rPr>
              <w:t>Lo propio ocurre con el régimen sancionatorio aplicable en materia de información exógena</w:t>
            </w:r>
            <w:r>
              <w:rPr>
                <w:rStyle w:val="normaltextrun"/>
                <w:rFonts w:ascii="Times New Roman" w:hAnsi="Times New Roman" w:cs="Times New Roman"/>
              </w:rPr>
              <w:t xml:space="preserve"> dado que la norma distrital vigente establece tarifas superiores a las de la norma nacional, lo que acarrea que en cada caso se deba liquidar la sanción con ambas normas para establecer la que le resulta más favorable al contribuyente.</w:t>
            </w:r>
          </w:p>
          <w:p w14:paraId="0DCCBD03" w14:textId="77777777" w:rsidR="009D74A3" w:rsidRDefault="009D74A3" w:rsidP="009D74A3">
            <w:pPr>
              <w:pStyle w:val="paragraph"/>
              <w:spacing w:before="0" w:beforeAutospacing="0" w:after="0" w:afterAutospacing="0"/>
              <w:jc w:val="both"/>
              <w:textAlignment w:val="baseline"/>
              <w:rPr>
                <w:rStyle w:val="normaltextrun"/>
                <w:rFonts w:ascii="Times New Roman" w:hAnsi="Times New Roman" w:cs="Times New Roman"/>
              </w:rPr>
            </w:pPr>
          </w:p>
          <w:p w14:paraId="3EDD8815" w14:textId="0752A369" w:rsidR="009D74A3" w:rsidRPr="009D74A3" w:rsidRDefault="009D74A3" w:rsidP="009D74A3">
            <w:pPr>
              <w:pStyle w:val="paragraph"/>
              <w:spacing w:before="0" w:beforeAutospacing="0" w:after="0" w:afterAutospacing="0"/>
              <w:jc w:val="both"/>
              <w:textAlignment w:val="baseline"/>
              <w:rPr>
                <w:sz w:val="32"/>
                <w:szCs w:val="32"/>
              </w:rPr>
            </w:pPr>
            <w:r>
              <w:rPr>
                <w:rStyle w:val="normaltextrun"/>
                <w:rFonts w:ascii="Times New Roman" w:hAnsi="Times New Roman" w:cs="Times New Roman"/>
              </w:rPr>
              <w:t>En materia de proporcionalidad y reincidencia, se tiene que la norma distrital replica el contenido de la norma nacional y no contiene una regla de derecho que permita aplicar estos criterios en los impuestos a la propiedad, que se caracterizan por tener varios propietarios.</w:t>
            </w:r>
          </w:p>
          <w:p w14:paraId="45424134" w14:textId="5E913CEC" w:rsidR="009D74A3" w:rsidRPr="009D74A3" w:rsidRDefault="009D74A3" w:rsidP="009D74A3">
            <w:pPr>
              <w:pStyle w:val="paragraph"/>
              <w:spacing w:before="0" w:beforeAutospacing="0" w:after="0" w:afterAutospacing="0"/>
              <w:ind w:left="360"/>
              <w:textAlignment w:val="baseline"/>
              <w:rPr>
                <w:sz w:val="22"/>
                <w:szCs w:val="22"/>
              </w:rPr>
            </w:pPr>
            <w:r w:rsidRPr="009D74A3">
              <w:rPr>
                <w:rStyle w:val="eop"/>
                <w:sz w:val="22"/>
                <w:szCs w:val="22"/>
              </w:rPr>
              <w:t> </w:t>
            </w:r>
          </w:p>
          <w:p w14:paraId="72B55B4B" w14:textId="77777777" w:rsidR="009D74A3" w:rsidRPr="009D74A3" w:rsidRDefault="009D74A3">
            <w:pPr>
              <w:pStyle w:val="paragraph"/>
              <w:numPr>
                <w:ilvl w:val="1"/>
                <w:numId w:val="6"/>
              </w:numPr>
              <w:spacing w:before="0" w:beforeAutospacing="0" w:after="0" w:afterAutospacing="0"/>
              <w:jc w:val="both"/>
              <w:textAlignment w:val="baseline"/>
              <w:rPr>
                <w:rStyle w:val="normaltextrun"/>
                <w:rFonts w:ascii="Times New Roman" w:eastAsia="Times New Roman" w:hAnsi="Times New Roman" w:cs="Times New Roman"/>
                <w:sz w:val="32"/>
                <w:szCs w:val="32"/>
              </w:rPr>
            </w:pPr>
            <w:r w:rsidRPr="009D74A3">
              <w:rPr>
                <w:rStyle w:val="normaltextrun"/>
                <w:rFonts w:ascii="Times New Roman" w:hAnsi="Times New Roman" w:cs="Times New Roman"/>
                <w:b/>
                <w:bCs/>
              </w:rPr>
              <w:t xml:space="preserve">Diagnóstico impuestos publicidad exterior visual </w:t>
            </w:r>
          </w:p>
          <w:p w14:paraId="61A83653" w14:textId="77777777" w:rsidR="009D74A3" w:rsidRDefault="009D74A3" w:rsidP="009D74A3">
            <w:pPr>
              <w:pStyle w:val="paragraph"/>
              <w:spacing w:before="0" w:beforeAutospacing="0" w:after="0" w:afterAutospacing="0"/>
              <w:jc w:val="both"/>
              <w:textAlignment w:val="baseline"/>
              <w:rPr>
                <w:rStyle w:val="normaltextrun"/>
                <w:rFonts w:ascii="Times New Roman" w:hAnsi="Times New Roman" w:cs="Times New Roman"/>
                <w:b/>
                <w:bCs/>
              </w:rPr>
            </w:pPr>
          </w:p>
          <w:p w14:paraId="70E63744" w14:textId="41DA622D"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rPr>
              <w:t xml:space="preserve">El impuesto de publicidad exterior visual fue autorizado inicialmente por la Ley 97 de 1913 y posteriormente reglamentado por la Ley 140 de 1994, que amplió su alcance a toda publicidad visible desde el espacio público. En cumplimiento de esta normativa, el Distrito Capital adoptó el impuesto mediante el Acuerdo </w:t>
            </w:r>
            <w:r w:rsidR="000023D2">
              <w:rPr>
                <w:rStyle w:val="normaltextrun"/>
                <w:rFonts w:ascii="Times New Roman" w:hAnsi="Times New Roman" w:cs="Times New Roman"/>
              </w:rPr>
              <w:t xml:space="preserve">Distrital </w:t>
            </w:r>
            <w:r w:rsidRPr="009D74A3">
              <w:rPr>
                <w:rStyle w:val="normaltextrun"/>
                <w:rFonts w:ascii="Times New Roman" w:hAnsi="Times New Roman" w:cs="Times New Roman"/>
              </w:rPr>
              <w:t>111 de 2003, estableciendo su hecho generador, sujetos pasivos, base gravable y tarifa.</w:t>
            </w:r>
            <w:r w:rsidRPr="009D74A3">
              <w:rPr>
                <w:rStyle w:val="eop"/>
              </w:rPr>
              <w:t> </w:t>
            </w:r>
          </w:p>
          <w:p w14:paraId="4AE31068" w14:textId="77777777" w:rsidR="009D74A3" w:rsidRPr="009D74A3" w:rsidRDefault="009D74A3" w:rsidP="009D74A3">
            <w:pPr>
              <w:pStyle w:val="paragraph"/>
              <w:spacing w:before="0" w:beforeAutospacing="0" w:after="0" w:afterAutospacing="0"/>
              <w:jc w:val="both"/>
              <w:textAlignment w:val="baseline"/>
              <w:rPr>
                <w:sz w:val="32"/>
                <w:szCs w:val="32"/>
              </w:rPr>
            </w:pPr>
            <w:r w:rsidRPr="009D74A3">
              <w:rPr>
                <w:rStyle w:val="eop"/>
              </w:rPr>
              <w:t> </w:t>
            </w:r>
          </w:p>
          <w:p w14:paraId="03F9446B" w14:textId="0A58D894"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rPr>
              <w:t>No obstante, a pesar de su existencia como tributo, la instalación de vallas publicitarias ya está sujeta a un estricto control ambiental por parte de la Secretaría Distrital de Ambiente, que exige autorización previa y puede imponer sanciones significativas por incumplimientos, conforme a la Ley 1333 de 2009. Esto demuestra que el objetivo de regulación y control de la publicidad exterior visual ya se cumple por la vía administrativa, sin necesidad de un impuesto adicional.</w:t>
            </w:r>
            <w:r w:rsidRPr="009D74A3">
              <w:rPr>
                <w:rStyle w:val="eop"/>
              </w:rPr>
              <w:t> </w:t>
            </w:r>
          </w:p>
          <w:p w14:paraId="0CC28029" w14:textId="77777777" w:rsidR="009D74A3" w:rsidRPr="009D74A3" w:rsidRDefault="009D74A3" w:rsidP="009D74A3">
            <w:pPr>
              <w:pStyle w:val="paragraph"/>
              <w:spacing w:before="0" w:beforeAutospacing="0" w:after="0" w:afterAutospacing="0"/>
              <w:textAlignment w:val="baseline"/>
              <w:rPr>
                <w:sz w:val="32"/>
                <w:szCs w:val="32"/>
              </w:rPr>
            </w:pPr>
            <w:r w:rsidRPr="009D74A3">
              <w:rPr>
                <w:rStyle w:val="eop"/>
                <w:sz w:val="22"/>
                <w:szCs w:val="22"/>
              </w:rPr>
              <w:t> </w:t>
            </w:r>
          </w:p>
          <w:p w14:paraId="1CBB5CB8" w14:textId="05279CC4" w:rsidR="009D74A3" w:rsidRPr="009D74A3" w:rsidRDefault="009D74A3" w:rsidP="009D74A3">
            <w:pPr>
              <w:pStyle w:val="paragraph"/>
              <w:spacing w:before="0" w:beforeAutospacing="0" w:after="0" w:afterAutospacing="0"/>
              <w:jc w:val="both"/>
              <w:textAlignment w:val="baseline"/>
              <w:rPr>
                <w:color w:val="000000" w:themeColor="text1"/>
                <w:sz w:val="32"/>
                <w:szCs w:val="32"/>
              </w:rPr>
            </w:pPr>
            <w:r w:rsidRPr="009D74A3">
              <w:rPr>
                <w:rStyle w:val="normaltextrun"/>
                <w:rFonts w:ascii="Times New Roman" w:hAnsi="Times New Roman" w:cs="Times New Roman"/>
                <w:color w:val="000000" w:themeColor="text1"/>
              </w:rPr>
              <w:t>En este punto, se resalta que el Impuesto de Publicidad Exterior Visual, registró para el año 2024 un recaudo que ascendió a $4.982.761.000, equivalente al 0,03% del recaudo tributario total asociado a 51 contribuyentes.</w:t>
            </w:r>
            <w:r w:rsidRPr="009D74A3">
              <w:rPr>
                <w:rStyle w:val="eop"/>
                <w:color w:val="000000" w:themeColor="text1"/>
              </w:rPr>
              <w:t> </w:t>
            </w:r>
          </w:p>
          <w:p w14:paraId="4C775937" w14:textId="0D38F21C" w:rsidR="009D74A3" w:rsidRPr="009D74A3" w:rsidRDefault="009D74A3" w:rsidP="009D74A3">
            <w:pPr>
              <w:pStyle w:val="paragraph"/>
              <w:spacing w:before="0" w:beforeAutospacing="0" w:after="0" w:afterAutospacing="0"/>
              <w:jc w:val="both"/>
              <w:textAlignment w:val="baseline"/>
              <w:rPr>
                <w:sz w:val="32"/>
                <w:szCs w:val="32"/>
              </w:rPr>
            </w:pPr>
            <w:r w:rsidRPr="009D74A3">
              <w:rPr>
                <w:rStyle w:val="eop"/>
                <w:color w:val="D13438"/>
              </w:rPr>
              <w:t> </w:t>
            </w:r>
            <w:r w:rsidRPr="009D74A3">
              <w:rPr>
                <w:rStyle w:val="eop"/>
              </w:rPr>
              <w:t> </w:t>
            </w:r>
          </w:p>
          <w:p w14:paraId="19A678D0" w14:textId="1E9EE41F" w:rsidR="009D74A3" w:rsidRPr="009D74A3" w:rsidRDefault="009D74A3" w:rsidP="009D74A3">
            <w:pPr>
              <w:pStyle w:val="paragraph"/>
              <w:spacing w:before="0" w:beforeAutospacing="0" w:after="0" w:afterAutospacing="0"/>
              <w:jc w:val="both"/>
              <w:textAlignment w:val="baseline"/>
              <w:rPr>
                <w:sz w:val="32"/>
                <w:szCs w:val="32"/>
              </w:rPr>
            </w:pPr>
            <w:r w:rsidRPr="009D74A3">
              <w:rPr>
                <w:rStyle w:val="normaltextrun"/>
                <w:rFonts w:ascii="Times New Roman" w:hAnsi="Times New Roman" w:cs="Times New Roman"/>
              </w:rPr>
              <w:t xml:space="preserve">Así las cosas, se advierte que la eliminación de </w:t>
            </w:r>
            <w:r>
              <w:rPr>
                <w:rStyle w:val="normaltextrun"/>
                <w:rFonts w:ascii="Times New Roman" w:hAnsi="Times New Roman" w:cs="Times New Roman"/>
              </w:rPr>
              <w:t>este impuesto</w:t>
            </w:r>
            <w:r w:rsidRPr="009D74A3">
              <w:rPr>
                <w:rStyle w:val="normaltextrun"/>
                <w:rFonts w:ascii="Times New Roman" w:hAnsi="Times New Roman" w:cs="Times New Roman"/>
              </w:rPr>
              <w:t xml:space="preserve"> contribuiría a simplificar el sistema tributario distrital, reduciendo cargas administrativas tanto para la administración como para los contribuyentes. Esta medida se alinea con los principios de eficiencia y racionalización normativa, sin afectar el control sobre la instalación de vallas, que seguirá siendo ejercido por la autoridad ambiental competente</w:t>
            </w:r>
          </w:p>
          <w:p w14:paraId="19C750D7" w14:textId="77777777" w:rsidR="00C6388F" w:rsidRPr="009D74A3" w:rsidRDefault="00C6388F" w:rsidP="009D74A3">
            <w:pPr>
              <w:pStyle w:val="Ttulo1"/>
              <w:numPr>
                <w:ilvl w:val="0"/>
                <w:numId w:val="0"/>
              </w:numPr>
              <w:spacing w:before="0" w:after="0"/>
              <w:contextualSpacing/>
              <w:outlineLvl w:val="0"/>
              <w:rPr>
                <w:rFonts w:ascii="Times New Roman" w:eastAsia="Times New Roman" w:hAnsi="Times New Roman" w:cs="Times New Roman"/>
                <w:kern w:val="0"/>
                <w:sz w:val="24"/>
                <w:szCs w:val="24"/>
                <w:lang w:val="es-ES"/>
                <w14:ligatures w14:val="none"/>
              </w:rPr>
            </w:pPr>
          </w:p>
          <w:p w14:paraId="44F9612F" w14:textId="77777777" w:rsidR="00A94DF0" w:rsidRPr="009D74A3" w:rsidRDefault="00A94DF0" w:rsidP="46221FE5">
            <w:pPr>
              <w:pStyle w:val="Ttulo1"/>
              <w:spacing w:before="0" w:after="0"/>
              <w:contextualSpacing/>
              <w:outlineLvl w:val="0"/>
              <w:rPr>
                <w:rFonts w:ascii="Times New Roman" w:hAnsi="Times New Roman" w:cs="Times New Roman"/>
                <w:b/>
                <w:color w:val="auto"/>
                <w:sz w:val="24"/>
                <w:szCs w:val="24"/>
              </w:rPr>
            </w:pPr>
            <w:r w:rsidRPr="009D74A3">
              <w:rPr>
                <w:rFonts w:ascii="Times New Roman" w:hAnsi="Times New Roman" w:cs="Times New Roman"/>
                <w:b/>
                <w:color w:val="auto"/>
                <w:sz w:val="24"/>
                <w:szCs w:val="24"/>
              </w:rPr>
              <w:t>Propuestas de modificación normativa</w:t>
            </w:r>
          </w:p>
          <w:p w14:paraId="2E12170D" w14:textId="77777777" w:rsidR="00A94DF0" w:rsidRPr="009D74A3" w:rsidRDefault="00A94DF0" w:rsidP="008B29A2">
            <w:pPr>
              <w:contextualSpacing/>
              <w:rPr>
                <w:rFonts w:ascii="Times New Roman" w:hAnsi="Times New Roman" w:cs="Times New Roman"/>
              </w:rPr>
            </w:pPr>
          </w:p>
          <w:p w14:paraId="74AB47C4" w14:textId="77777777" w:rsidR="00A94DF0" w:rsidRPr="009D74A3" w:rsidRDefault="00A94DF0" w:rsidP="008B29A2">
            <w:pPr>
              <w:contextualSpacing/>
              <w:jc w:val="both"/>
              <w:rPr>
                <w:rFonts w:ascii="Times New Roman" w:hAnsi="Times New Roman" w:cs="Times New Roman"/>
                <w:sz w:val="24"/>
                <w:szCs w:val="24"/>
              </w:rPr>
            </w:pPr>
            <w:r w:rsidRPr="009D74A3">
              <w:rPr>
                <w:rFonts w:ascii="Times New Roman" w:hAnsi="Times New Roman" w:cs="Times New Roman"/>
                <w:sz w:val="24"/>
                <w:szCs w:val="24"/>
              </w:rPr>
              <w:t>De acuerdo con lo expuesto en el capítulo 4 de este documento, donde se identificaron las problemáticas para la ciudad de Bogotá respecto a los impuestos distritales, a continuación, se presentan las siguientes propuestas:</w:t>
            </w:r>
          </w:p>
          <w:p w14:paraId="69ED283B" w14:textId="77777777" w:rsidR="00A94DF0" w:rsidRPr="009D74A3" w:rsidRDefault="00A94DF0" w:rsidP="008B29A2">
            <w:pPr>
              <w:contextualSpacing/>
              <w:jc w:val="both"/>
              <w:rPr>
                <w:rFonts w:ascii="Times New Roman" w:hAnsi="Times New Roman" w:cs="Times New Roman"/>
                <w:sz w:val="24"/>
                <w:szCs w:val="24"/>
              </w:rPr>
            </w:pPr>
          </w:p>
          <w:p w14:paraId="0A20FC6A" w14:textId="7C534EE7" w:rsidR="00654FC0" w:rsidRPr="009D74A3" w:rsidRDefault="00654FC0" w:rsidP="46221FE5">
            <w:pPr>
              <w:pStyle w:val="Ttulo3"/>
              <w:spacing w:before="0" w:after="0"/>
              <w:contextualSpacing/>
              <w:outlineLvl w:val="2"/>
              <w:rPr>
                <w:rFonts w:ascii="Times New Roman" w:hAnsi="Times New Roman" w:cs="Times New Roman"/>
                <w:b/>
                <w:bCs/>
                <w:sz w:val="24"/>
                <w:szCs w:val="24"/>
              </w:rPr>
            </w:pPr>
            <w:r w:rsidRPr="009D74A3">
              <w:rPr>
                <w:rFonts w:ascii="Times New Roman" w:hAnsi="Times New Roman" w:cs="Times New Roman"/>
                <w:b/>
                <w:bCs/>
                <w:color w:val="auto"/>
                <w:sz w:val="24"/>
                <w:szCs w:val="24"/>
              </w:rPr>
              <w:t>Simplificación de Tarifas </w:t>
            </w:r>
          </w:p>
          <w:p w14:paraId="46FD6171" w14:textId="77777777" w:rsidR="00A94DF0" w:rsidRPr="009D74A3" w:rsidRDefault="00A94DF0" w:rsidP="008B29A2">
            <w:pPr>
              <w:contextualSpacing/>
              <w:jc w:val="both"/>
              <w:rPr>
                <w:rFonts w:ascii="Times New Roman" w:hAnsi="Times New Roman" w:cs="Times New Roman"/>
                <w:sz w:val="24"/>
                <w:szCs w:val="24"/>
              </w:rPr>
            </w:pPr>
          </w:p>
          <w:p w14:paraId="33AA7FB2" w14:textId="2D548522" w:rsidR="00C66083" w:rsidRPr="009D74A3" w:rsidRDefault="00A94DF0" w:rsidP="00C66083">
            <w:p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Con el fin de fortalecer la formalización empresarial, eliminar las barreras en la comprensión de la liquidación del ICA y fomentar la cultura tributaria mediante el uso adecuado de la norma se establece la simplificación de las tarifas del impuesto de Industria y Comercio a cuatro valores: 4, 7, 11 y 21. </w:t>
            </w:r>
            <w:r w:rsidR="00C66083" w:rsidRPr="009D74A3">
              <w:rPr>
                <w:rFonts w:ascii="Times New Roman" w:hAnsi="Times New Roman" w:cs="Times New Roman"/>
                <w:sz w:val="24"/>
                <w:szCs w:val="24"/>
              </w:rPr>
              <w:t xml:space="preserve"> </w:t>
            </w:r>
          </w:p>
          <w:p w14:paraId="51DAA8FB" w14:textId="77777777" w:rsidR="009D74A3" w:rsidRPr="00BC19EE" w:rsidRDefault="009D74A3" w:rsidP="009D74A3">
            <w:pPr>
              <w:contextualSpacing/>
              <w:jc w:val="both"/>
              <w:rPr>
                <w:rFonts w:ascii="Times New Roman" w:hAnsi="Times New Roman" w:cs="Times New Roman"/>
                <w:sz w:val="24"/>
                <w:szCs w:val="24"/>
              </w:rPr>
            </w:pPr>
          </w:p>
          <w:p w14:paraId="4C918D2F" w14:textId="38C0086F" w:rsidR="009D74A3" w:rsidRDefault="009D74A3">
            <w:pPr>
              <w:pStyle w:val="Prrafodelista"/>
              <w:numPr>
                <w:ilvl w:val="0"/>
                <w:numId w:val="3"/>
              </w:numPr>
              <w:ind w:left="0" w:firstLine="0"/>
              <w:jc w:val="both"/>
              <w:rPr>
                <w:rFonts w:ascii="Times New Roman" w:hAnsi="Times New Roman" w:cs="Times New Roman"/>
                <w:sz w:val="24"/>
                <w:szCs w:val="24"/>
              </w:rPr>
            </w:pPr>
            <w:r w:rsidRPr="02ABAB9C">
              <w:rPr>
                <w:rFonts w:ascii="Times New Roman" w:hAnsi="Times New Roman" w:cs="Times New Roman"/>
                <w:b/>
                <w:bCs/>
                <w:sz w:val="24"/>
                <w:szCs w:val="24"/>
              </w:rPr>
              <w:t>Tarifa preferencial del 4 por mil</w:t>
            </w:r>
            <w:r w:rsidRPr="02ABAB9C">
              <w:rPr>
                <w:rFonts w:ascii="Times New Roman" w:hAnsi="Times New Roman" w:cs="Times New Roman"/>
                <w:sz w:val="24"/>
                <w:szCs w:val="24"/>
              </w:rPr>
              <w:t xml:space="preserve">: </w:t>
            </w:r>
            <w:r>
              <w:rPr>
                <w:rFonts w:ascii="Times New Roman" w:hAnsi="Times New Roman" w:cs="Times New Roman"/>
                <w:sz w:val="24"/>
                <w:szCs w:val="24"/>
              </w:rPr>
              <w:t>D</w:t>
            </w:r>
            <w:r w:rsidRPr="02ABAB9C">
              <w:rPr>
                <w:rFonts w:ascii="Times New Roman" w:hAnsi="Times New Roman" w:cs="Times New Roman"/>
                <w:sz w:val="24"/>
                <w:szCs w:val="24"/>
              </w:rPr>
              <w:t xml:space="preserve">estinada a aquellas actividades que ya se encuentran hoy </w:t>
            </w:r>
            <w:r w:rsidRPr="009D74A3">
              <w:rPr>
                <w:rFonts w:ascii="Times New Roman" w:hAnsi="Times New Roman" w:cs="Times New Roman"/>
                <w:sz w:val="24"/>
                <w:szCs w:val="24"/>
              </w:rPr>
              <w:t xml:space="preserve">gravadas con la tarifa más baja del ICA o priorizadas para el desarrollo económico y que, en su mayoría, </w:t>
            </w:r>
            <w:r w:rsidRPr="46221FE5">
              <w:rPr>
                <w:rFonts w:ascii="Times New Roman" w:hAnsi="Times New Roman" w:cs="Times New Roman"/>
                <w:sz w:val="24"/>
                <w:szCs w:val="24"/>
              </w:rPr>
              <w:t>corresponden a sectores indispensables para el bienestar humano</w:t>
            </w:r>
            <w:r w:rsidRPr="009D74A3">
              <w:rPr>
                <w:rFonts w:ascii="Times New Roman" w:hAnsi="Times New Roman" w:cs="Times New Roman"/>
                <w:sz w:val="24"/>
                <w:szCs w:val="24"/>
              </w:rPr>
              <w:t xml:space="preserve"> y el funcionamiento cotidiano de la ciudad. Se trata de actividades como la fabricación de alimentos y prendas de vestir, el comercio al por menor de alimentos y bebidas</w:t>
            </w:r>
            <w:r w:rsidRPr="02ABAB9C">
              <w:rPr>
                <w:rFonts w:ascii="Times New Roman" w:hAnsi="Times New Roman" w:cs="Times New Roman"/>
                <w:sz w:val="24"/>
                <w:szCs w:val="24"/>
              </w:rPr>
              <w:t xml:space="preserve"> y la prestación de servicios de transporte, entre otras. Estos sectores suelen estar integrados por micronegocios o unidades productivas de baja escala, con márgenes de utilidad reducidos y alta informalidad. Por ello, mantener esta tarifa cumple un doble propósito: preservar la equidad económica y proteger sectores esenciales para la población.</w:t>
            </w:r>
          </w:p>
          <w:p w14:paraId="06E2226A" w14:textId="77777777" w:rsidR="009D74A3" w:rsidRDefault="009D74A3" w:rsidP="009D74A3">
            <w:pPr>
              <w:jc w:val="both"/>
              <w:rPr>
                <w:rFonts w:ascii="Times New Roman" w:hAnsi="Times New Roman" w:cs="Times New Roman"/>
                <w:sz w:val="24"/>
                <w:szCs w:val="24"/>
              </w:rPr>
            </w:pPr>
          </w:p>
          <w:p w14:paraId="2C4EE3EC" w14:textId="2EA99459" w:rsidR="009D74A3" w:rsidRDefault="009D74A3" w:rsidP="009D74A3">
            <w:pPr>
              <w:jc w:val="both"/>
              <w:rPr>
                <w:rFonts w:ascii="Times New Roman" w:hAnsi="Times New Roman" w:cs="Times New Roman"/>
                <w:sz w:val="24"/>
                <w:szCs w:val="24"/>
              </w:rPr>
            </w:pPr>
            <w:r w:rsidRPr="009D74A3">
              <w:rPr>
                <w:rFonts w:ascii="Times New Roman" w:hAnsi="Times New Roman" w:cs="Times New Roman"/>
                <w:sz w:val="24"/>
                <w:szCs w:val="24"/>
              </w:rPr>
              <w:t>Las actividades económicas cuya tarifa se reduce a 4 por mil pertenecen, principalmente a la Industria Manufacturera y a los sectores de comercio, información comunicaciones, entre otras. Con la asignación de esta tarifa se busca promover la diversificación y la sofisticación productiva como mecanismos para dinamizar el desarrollo económico. La priorización en las actividades industriales y comerciales busca fortalecer los micro y pequeños establecimientos, mientras que en el sector de Información y Comunicaciones se orienta a promover la edición de libros.</w:t>
            </w:r>
          </w:p>
          <w:p w14:paraId="134611DC" w14:textId="77777777" w:rsidR="00A94DF0" w:rsidRPr="009D74A3" w:rsidRDefault="00A94DF0" w:rsidP="008B29A2">
            <w:pPr>
              <w:contextualSpacing/>
              <w:jc w:val="both"/>
              <w:rPr>
                <w:rFonts w:ascii="Times New Roman" w:hAnsi="Times New Roman" w:cs="Times New Roman"/>
                <w:sz w:val="24"/>
                <w:szCs w:val="24"/>
              </w:rPr>
            </w:pPr>
          </w:p>
          <w:p w14:paraId="0227E464" w14:textId="683E5474" w:rsidR="00A94DF0" w:rsidRPr="009D74A3" w:rsidRDefault="00A94DF0">
            <w:pPr>
              <w:pStyle w:val="Prrafodelista"/>
              <w:numPr>
                <w:ilvl w:val="0"/>
                <w:numId w:val="3"/>
              </w:numPr>
              <w:ind w:left="0" w:firstLine="0"/>
              <w:jc w:val="both"/>
              <w:rPr>
                <w:rFonts w:ascii="Times New Roman" w:hAnsi="Times New Roman" w:cs="Times New Roman"/>
                <w:sz w:val="24"/>
                <w:szCs w:val="24"/>
              </w:rPr>
            </w:pPr>
            <w:r w:rsidRPr="009D74A3">
              <w:rPr>
                <w:rFonts w:ascii="Times New Roman" w:hAnsi="Times New Roman" w:cs="Times New Roman"/>
                <w:b/>
                <w:sz w:val="24"/>
                <w:szCs w:val="24"/>
              </w:rPr>
              <w:t>Tarifa preferencial de 7 por mil:</w:t>
            </w:r>
            <w:r w:rsidRPr="009D74A3">
              <w:rPr>
                <w:rFonts w:ascii="Times New Roman" w:hAnsi="Times New Roman" w:cs="Times New Roman"/>
                <w:sz w:val="24"/>
                <w:szCs w:val="24"/>
              </w:rPr>
              <w:t xml:space="preserve"> se aplicará de forma excepcional a actividades económicas consideradas prioritarias (</w:t>
            </w:r>
            <w:r w:rsidR="00121BE2">
              <w:rPr>
                <w:rFonts w:ascii="Times New Roman" w:hAnsi="Times New Roman" w:cs="Times New Roman"/>
                <w:sz w:val="24"/>
                <w:szCs w:val="24"/>
              </w:rPr>
              <w:t>Tabla 1</w:t>
            </w:r>
            <w:r w:rsidR="00ED666C">
              <w:rPr>
                <w:rFonts w:ascii="Times New Roman" w:hAnsi="Times New Roman" w:cs="Times New Roman"/>
                <w:sz w:val="24"/>
                <w:szCs w:val="24"/>
              </w:rPr>
              <w:t>6</w:t>
            </w:r>
            <w:r w:rsidR="0097509B">
              <w:rPr>
                <w:rFonts w:ascii="Times New Roman" w:hAnsi="Times New Roman" w:cs="Times New Roman"/>
                <w:sz w:val="24"/>
                <w:szCs w:val="24"/>
              </w:rPr>
              <w:t>)</w:t>
            </w:r>
            <w:r w:rsidR="0097509B">
              <w:t xml:space="preserve"> </w:t>
            </w:r>
            <w:r w:rsidRPr="009D74A3">
              <w:rPr>
                <w:rFonts w:ascii="Times New Roman" w:hAnsi="Times New Roman" w:cs="Times New Roman"/>
                <w:sz w:val="24"/>
                <w:szCs w:val="24"/>
              </w:rPr>
              <w:t>para el desarrollo de la ciudad con base en cuatro indicadores, a saber:</w:t>
            </w:r>
          </w:p>
          <w:p w14:paraId="35C85D0A" w14:textId="4C9C89DF" w:rsidR="00A94DF0" w:rsidRPr="009D74A3" w:rsidRDefault="00A94DF0" w:rsidP="00036089">
            <w:pPr>
              <w:pStyle w:val="Prrafodelista"/>
              <w:ind w:left="0"/>
              <w:jc w:val="both"/>
              <w:rPr>
                <w:rFonts w:ascii="Times New Roman" w:hAnsi="Times New Roman" w:cs="Times New Roman"/>
                <w:sz w:val="24"/>
                <w:szCs w:val="24"/>
              </w:rPr>
            </w:pPr>
            <w:r w:rsidRPr="009D74A3">
              <w:rPr>
                <w:rFonts w:ascii="Times New Roman" w:hAnsi="Times New Roman" w:cs="Times New Roman"/>
                <w:sz w:val="24"/>
                <w:szCs w:val="24"/>
              </w:rPr>
              <w:t>  </w:t>
            </w:r>
          </w:p>
          <w:p w14:paraId="62A6174E" w14:textId="77777777" w:rsidR="00A94DF0" w:rsidRPr="009D74A3" w:rsidRDefault="00A94DF0">
            <w:pPr>
              <w:pStyle w:val="Sinespaciado"/>
              <w:numPr>
                <w:ilvl w:val="0"/>
                <w:numId w:val="7"/>
              </w:numPr>
              <w:contextualSpacing/>
              <w:jc w:val="both"/>
              <w:rPr>
                <w:rFonts w:ascii="Times New Roman" w:hAnsi="Times New Roman" w:cs="Times New Roman"/>
                <w:sz w:val="24"/>
                <w:szCs w:val="24"/>
              </w:rPr>
            </w:pPr>
            <w:r w:rsidRPr="009D74A3">
              <w:rPr>
                <w:rFonts w:ascii="Times New Roman" w:hAnsi="Times New Roman" w:cs="Times New Roman"/>
                <w:sz w:val="24"/>
                <w:szCs w:val="24"/>
              </w:rPr>
              <w:t>Territorialidad </w:t>
            </w:r>
          </w:p>
          <w:p w14:paraId="18D900E7" w14:textId="2C61FC11" w:rsidR="00A94DF0" w:rsidRPr="009D74A3" w:rsidRDefault="00A94DF0">
            <w:pPr>
              <w:pStyle w:val="Sinespaciado"/>
              <w:numPr>
                <w:ilvl w:val="0"/>
                <w:numId w:val="7"/>
              </w:numPr>
              <w:contextualSpacing/>
              <w:jc w:val="both"/>
              <w:rPr>
                <w:rFonts w:ascii="Times New Roman" w:hAnsi="Times New Roman" w:cs="Times New Roman"/>
                <w:sz w:val="24"/>
                <w:szCs w:val="24"/>
              </w:rPr>
            </w:pPr>
            <w:r w:rsidRPr="009D74A3">
              <w:rPr>
                <w:rFonts w:ascii="Times New Roman" w:hAnsi="Times New Roman" w:cs="Times New Roman"/>
                <w:sz w:val="24"/>
                <w:szCs w:val="24"/>
              </w:rPr>
              <w:t>Demografía </w:t>
            </w:r>
          </w:p>
          <w:p w14:paraId="7D00556F" w14:textId="10DA88ED" w:rsidR="00036089" w:rsidRPr="009D74A3" w:rsidRDefault="00036089">
            <w:pPr>
              <w:pStyle w:val="Sinespaciado"/>
              <w:numPr>
                <w:ilvl w:val="0"/>
                <w:numId w:val="7"/>
              </w:numPr>
              <w:contextualSpacing/>
              <w:jc w:val="both"/>
              <w:rPr>
                <w:rFonts w:ascii="Times New Roman" w:hAnsi="Times New Roman" w:cs="Times New Roman"/>
                <w:sz w:val="24"/>
                <w:szCs w:val="24"/>
              </w:rPr>
            </w:pPr>
            <w:r w:rsidRPr="009D74A3">
              <w:rPr>
                <w:rFonts w:ascii="Times New Roman" w:hAnsi="Times New Roman" w:cs="Times New Roman"/>
                <w:sz w:val="24"/>
                <w:szCs w:val="24"/>
              </w:rPr>
              <w:t>Diversificación y sofisticación</w:t>
            </w:r>
          </w:p>
          <w:p w14:paraId="1E90C115" w14:textId="77777777" w:rsidR="00036089" w:rsidRPr="009D74A3" w:rsidRDefault="00036089" w:rsidP="00036089">
            <w:pPr>
              <w:pStyle w:val="Sinespaciado"/>
              <w:numPr>
                <w:ilvl w:val="0"/>
                <w:numId w:val="7"/>
              </w:numPr>
              <w:contextualSpacing/>
              <w:jc w:val="both"/>
              <w:rPr>
                <w:rFonts w:ascii="Times New Roman" w:hAnsi="Times New Roman" w:cs="Times New Roman"/>
                <w:sz w:val="24"/>
                <w:szCs w:val="24"/>
              </w:rPr>
            </w:pPr>
            <w:r w:rsidRPr="009D74A3">
              <w:rPr>
                <w:rFonts w:ascii="Times New Roman" w:hAnsi="Times New Roman" w:cs="Times New Roman"/>
                <w:sz w:val="24"/>
                <w:szCs w:val="24"/>
              </w:rPr>
              <w:t>Multiplicador </w:t>
            </w:r>
          </w:p>
          <w:p w14:paraId="5804512B" w14:textId="77777777" w:rsidR="00A94DF0" w:rsidRPr="009D74A3" w:rsidRDefault="00A94DF0" w:rsidP="008B29A2">
            <w:pPr>
              <w:pStyle w:val="Sinespaciado"/>
              <w:contextualSpacing/>
              <w:jc w:val="both"/>
              <w:rPr>
                <w:rFonts w:ascii="Times New Roman" w:hAnsi="Times New Roman" w:cs="Times New Roman"/>
                <w:sz w:val="24"/>
                <w:szCs w:val="24"/>
              </w:rPr>
            </w:pPr>
          </w:p>
          <w:p w14:paraId="38AAC1C1" w14:textId="7B31461D" w:rsidR="00A94DF0" w:rsidRPr="009D74A3" w:rsidRDefault="00A94DF0" w:rsidP="008B29A2">
            <w:pPr>
              <w:pStyle w:val="Sinespaciado"/>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Estos criterios atienden a los siguientes puntos del </w:t>
            </w:r>
            <w:r w:rsidR="00A20C9D" w:rsidRPr="009D74A3">
              <w:rPr>
                <w:rFonts w:ascii="Times New Roman" w:hAnsi="Times New Roman" w:cs="Times New Roman"/>
                <w:sz w:val="24"/>
                <w:szCs w:val="24"/>
              </w:rPr>
              <w:t>A</w:t>
            </w:r>
            <w:r w:rsidRPr="009D74A3">
              <w:rPr>
                <w:rFonts w:ascii="Times New Roman" w:hAnsi="Times New Roman" w:cs="Times New Roman"/>
                <w:sz w:val="24"/>
                <w:szCs w:val="24"/>
              </w:rPr>
              <w:t xml:space="preserve">cuerdo </w:t>
            </w:r>
            <w:r w:rsidR="000023D2">
              <w:rPr>
                <w:rFonts w:ascii="Times New Roman" w:hAnsi="Times New Roman" w:cs="Times New Roman"/>
                <w:sz w:val="24"/>
                <w:szCs w:val="24"/>
              </w:rPr>
              <w:t xml:space="preserve">Distrital </w:t>
            </w:r>
            <w:r w:rsidRPr="009D74A3">
              <w:rPr>
                <w:rFonts w:ascii="Times New Roman" w:hAnsi="Times New Roman" w:cs="Times New Roman"/>
                <w:sz w:val="24"/>
                <w:szCs w:val="24"/>
              </w:rPr>
              <w:t xml:space="preserve">927 de 2024: </w:t>
            </w:r>
          </w:p>
          <w:p w14:paraId="09D7C882" w14:textId="77777777" w:rsidR="00A94DF0" w:rsidRPr="009D74A3" w:rsidRDefault="00A94DF0" w:rsidP="008B29A2">
            <w:pPr>
              <w:pStyle w:val="Sinespaciado"/>
              <w:contextualSpacing/>
              <w:jc w:val="both"/>
              <w:rPr>
                <w:rFonts w:ascii="Times New Roman" w:hAnsi="Times New Roman" w:cs="Times New Roman"/>
                <w:sz w:val="24"/>
                <w:szCs w:val="24"/>
              </w:rPr>
            </w:pPr>
          </w:p>
          <w:p w14:paraId="05441CE5" w14:textId="77777777" w:rsidR="00582908" w:rsidRPr="009D74A3" w:rsidRDefault="00582908" w:rsidP="00582908">
            <w:pPr>
              <w:pStyle w:val="Sinespaciado"/>
              <w:numPr>
                <w:ilvl w:val="0"/>
                <w:numId w:val="5"/>
              </w:numPr>
              <w:contextualSpacing/>
              <w:jc w:val="both"/>
              <w:rPr>
                <w:rFonts w:ascii="Times New Roman" w:hAnsi="Times New Roman" w:cs="Times New Roman"/>
                <w:sz w:val="24"/>
                <w:szCs w:val="24"/>
              </w:rPr>
            </w:pPr>
            <w:r w:rsidRPr="009D74A3">
              <w:rPr>
                <w:rFonts w:ascii="Times New Roman" w:hAnsi="Times New Roman" w:cs="Times New Roman"/>
                <w:sz w:val="24"/>
                <w:szCs w:val="24"/>
              </w:rPr>
              <w:t>A partir del artículo 304 la administración distrital podrá priorizar y/o precisar la delimitación de las actuaciones estratégicas establecidas en la Revisión del Plan de Ordenamiento Territorial, siempre y cuando se justifique su aporte a la concreción del Modelo de Ocupación Territorial del Plan con el fin de impulsar la reactivación económica y dinamizar la promoción del empleo del sector constructor en Bogotá.</w:t>
            </w:r>
          </w:p>
          <w:p w14:paraId="21152CEC" w14:textId="77777777" w:rsidR="00582908" w:rsidRPr="009D74A3" w:rsidRDefault="00582908" w:rsidP="00582908">
            <w:pPr>
              <w:pStyle w:val="Sinespaciado"/>
              <w:ind w:left="360"/>
              <w:contextualSpacing/>
              <w:jc w:val="both"/>
              <w:rPr>
                <w:rFonts w:ascii="Times New Roman" w:hAnsi="Times New Roman" w:cs="Times New Roman"/>
                <w:sz w:val="24"/>
                <w:szCs w:val="24"/>
              </w:rPr>
            </w:pPr>
          </w:p>
          <w:p w14:paraId="44692842" w14:textId="77777777" w:rsidR="00582908" w:rsidRPr="009D74A3" w:rsidRDefault="00582908" w:rsidP="00582908">
            <w:pPr>
              <w:pStyle w:val="Sinespaciado"/>
              <w:ind w:left="720"/>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Para esto es necesario impulsar actividades económicas con mayor concentración y presencia en las actuaciones estratégicas priorizadas contemplando un criterio territorial enfocado en articular los sectores económicos con planes de desarrollo urbano, renovación de zonas industriales, corredores logísticos e infraestructuras. Esto permite optimizar el uso del suelo, reducir desigualdades espaciales y fortalecer clústeres sectoriales con base </w:t>
            </w:r>
            <w:r w:rsidRPr="009D74A3">
              <w:rPr>
                <w:rFonts w:ascii="Times New Roman" w:hAnsi="Times New Roman" w:cs="Times New Roman"/>
                <w:b/>
                <w:sz w:val="24"/>
                <w:szCs w:val="24"/>
              </w:rPr>
              <w:t>territorial.</w:t>
            </w:r>
          </w:p>
          <w:p w14:paraId="78B2FA95" w14:textId="77777777" w:rsidR="00582908" w:rsidRDefault="00582908" w:rsidP="00582908">
            <w:pPr>
              <w:pStyle w:val="Sinespaciado"/>
              <w:ind w:left="720"/>
              <w:contextualSpacing/>
              <w:jc w:val="both"/>
              <w:rPr>
                <w:rFonts w:ascii="Times New Roman" w:hAnsi="Times New Roman" w:cs="Times New Roman"/>
                <w:sz w:val="24"/>
                <w:szCs w:val="24"/>
              </w:rPr>
            </w:pPr>
          </w:p>
          <w:p w14:paraId="3633C9F7" w14:textId="77777777" w:rsidR="00A94DF0" w:rsidRPr="009D74A3" w:rsidRDefault="00A94DF0">
            <w:pPr>
              <w:pStyle w:val="Sinespaciado"/>
              <w:numPr>
                <w:ilvl w:val="0"/>
                <w:numId w:val="5"/>
              </w:num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El articulo 5 relaciona cinco objetivos estratégicos, resaltando la necesidad de ver a Bogotá como una “ciudad en la que todos y todas podamos desarrollar y aprovechar al máximo nuestro potencial como personas, familias, empresas, academia y sociedad”, potencializando el crecimiento con la identidad poblacional actual de la ciudad y priorizando actividades económicas que contemplen las necesidades para el ciudadano y la transición </w:t>
            </w:r>
            <w:r w:rsidRPr="009D74A3">
              <w:rPr>
                <w:rFonts w:ascii="Times New Roman" w:hAnsi="Times New Roman" w:cs="Times New Roman"/>
                <w:b/>
                <w:sz w:val="24"/>
                <w:szCs w:val="24"/>
              </w:rPr>
              <w:t>demográfica</w:t>
            </w:r>
            <w:r w:rsidRPr="009D74A3">
              <w:rPr>
                <w:rFonts w:ascii="Times New Roman" w:hAnsi="Times New Roman" w:cs="Times New Roman"/>
                <w:sz w:val="24"/>
                <w:szCs w:val="24"/>
              </w:rPr>
              <w:t xml:space="preserve">. </w:t>
            </w:r>
          </w:p>
          <w:p w14:paraId="7BD7DF0B" w14:textId="77777777" w:rsidR="00A94DF0" w:rsidRPr="009D74A3" w:rsidRDefault="00A94DF0" w:rsidP="008B29A2">
            <w:pPr>
              <w:pStyle w:val="Sinespaciado"/>
              <w:contextualSpacing/>
              <w:jc w:val="both"/>
              <w:rPr>
                <w:rFonts w:ascii="Times New Roman" w:hAnsi="Times New Roman" w:cs="Times New Roman"/>
                <w:sz w:val="24"/>
                <w:szCs w:val="24"/>
              </w:rPr>
            </w:pPr>
          </w:p>
          <w:p w14:paraId="27AA589D" w14:textId="776D4E41" w:rsidR="00A94DF0" w:rsidRPr="009D74A3" w:rsidRDefault="00A94DF0" w:rsidP="00740130">
            <w:pPr>
              <w:pStyle w:val="Sinespaciado"/>
              <w:ind w:left="708"/>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Sectores como los servicios de cuidado, la salud, la educación técnica y tecnológica, y la economía plateada adquieren especial relevancia en 2025, en tanto ofrecen respuestas económicas y sociales a estos desafíos estructurales. Su fortalecimiento también genera oportunidades de empleo para mujeres, jóvenes y cuidadores, favoreciendo la equidad e inclusión en el mercado laboral. </w:t>
            </w:r>
          </w:p>
          <w:p w14:paraId="3F0E5BD5" w14:textId="77777777" w:rsidR="00560F07" w:rsidRDefault="00560F07" w:rsidP="00560F07">
            <w:pPr>
              <w:pStyle w:val="Sinespaciado"/>
              <w:ind w:left="720"/>
              <w:contextualSpacing/>
              <w:jc w:val="both"/>
              <w:rPr>
                <w:rFonts w:ascii="Times New Roman" w:hAnsi="Times New Roman" w:cs="Times New Roman"/>
                <w:sz w:val="24"/>
                <w:szCs w:val="24"/>
              </w:rPr>
            </w:pPr>
          </w:p>
          <w:p w14:paraId="4D1654E7" w14:textId="77777777" w:rsidR="00A94DF0" w:rsidRPr="009D74A3" w:rsidRDefault="00A94DF0">
            <w:pPr>
              <w:pStyle w:val="Sinespaciado"/>
              <w:numPr>
                <w:ilvl w:val="0"/>
                <w:numId w:val="5"/>
              </w:numPr>
              <w:contextualSpacing/>
              <w:jc w:val="both"/>
              <w:rPr>
                <w:rFonts w:ascii="Times New Roman" w:hAnsi="Times New Roman" w:cs="Times New Roman"/>
                <w:sz w:val="24"/>
                <w:szCs w:val="24"/>
              </w:rPr>
            </w:pPr>
            <w:r w:rsidRPr="009D74A3">
              <w:rPr>
                <w:rFonts w:ascii="Times New Roman" w:hAnsi="Times New Roman" w:cs="Times New Roman"/>
                <w:sz w:val="24"/>
                <w:szCs w:val="24"/>
              </w:rPr>
              <w:t>El articulo 90 relaciona que “la Administración Distrital, en cabeza de la Secretaría de Desarrollo Económico y en coordinación con las demás entidades distritales que para el efecto considere pertinentes, formulará e implementará una estrategia de circuitos cortos de comercialización que facilite la inclusión y participación de los pequeños y medianos productores, incorporando modalidades como compras públicas, encadenamientos comerciales, agroferias, mercados campesinos, misiones comerciales, red de plazas públicas de mercado, entre otros, en aras de promover el contacto comercial directo entre la oferta productiva de Bogotá y la región con el mercado doméstico, nacional e internacional”.</w:t>
            </w:r>
          </w:p>
          <w:p w14:paraId="6CC401E6" w14:textId="77777777" w:rsidR="00A94DF0" w:rsidRPr="009D74A3" w:rsidRDefault="00A94DF0" w:rsidP="008B29A2">
            <w:pPr>
              <w:pStyle w:val="Sinespaciado"/>
              <w:contextualSpacing/>
              <w:jc w:val="both"/>
              <w:rPr>
                <w:rFonts w:ascii="Times New Roman" w:hAnsi="Times New Roman" w:cs="Times New Roman"/>
                <w:sz w:val="24"/>
                <w:szCs w:val="24"/>
              </w:rPr>
            </w:pPr>
          </w:p>
          <w:p w14:paraId="3689C88B" w14:textId="50E4B3F7" w:rsidR="00A94DF0" w:rsidRPr="009D74A3" w:rsidRDefault="00A94DF0" w:rsidP="008B29A2">
            <w:pPr>
              <w:pStyle w:val="Sinespaciado"/>
              <w:ind w:left="720"/>
              <w:contextualSpacing/>
              <w:jc w:val="both"/>
              <w:rPr>
                <w:rFonts w:ascii="Times New Roman" w:hAnsi="Times New Roman" w:cs="Times New Roman"/>
                <w:sz w:val="24"/>
                <w:szCs w:val="24"/>
              </w:rPr>
            </w:pPr>
            <w:r w:rsidRPr="009D74A3">
              <w:rPr>
                <w:rFonts w:ascii="Times New Roman" w:hAnsi="Times New Roman" w:cs="Times New Roman"/>
                <w:sz w:val="24"/>
                <w:szCs w:val="24"/>
              </w:rPr>
              <w:t>Esto no solo requiere impulsar el crecimiento económico sino que da prioridad a actividades que contribuyen a la transformación productiva, mediante la producción de bienes y servicios con mayor complejidad económica y potencial de exportación priorizando actividades económicas en esta línea</w:t>
            </w:r>
            <w:r w:rsidR="00036089">
              <w:rPr>
                <w:rFonts w:ascii="Times New Roman" w:hAnsi="Times New Roman" w:cs="Times New Roman"/>
                <w:sz w:val="24"/>
                <w:szCs w:val="24"/>
              </w:rPr>
              <w:t xml:space="preserve"> con base en la </w:t>
            </w:r>
            <w:r w:rsidR="00036089" w:rsidRPr="00036089">
              <w:rPr>
                <w:rFonts w:ascii="Times New Roman" w:hAnsi="Times New Roman" w:cs="Times New Roman"/>
                <w:b/>
                <w:bCs/>
                <w:sz w:val="24"/>
                <w:szCs w:val="24"/>
              </w:rPr>
              <w:t>diversificación y sofisticación</w:t>
            </w:r>
            <w:r w:rsidRPr="009D74A3">
              <w:rPr>
                <w:rFonts w:ascii="Times New Roman" w:hAnsi="Times New Roman" w:cs="Times New Roman"/>
                <w:sz w:val="24"/>
                <w:szCs w:val="24"/>
              </w:rPr>
              <w:t xml:space="preserve">. </w:t>
            </w:r>
          </w:p>
          <w:p w14:paraId="5EDF5D3A" w14:textId="77777777" w:rsidR="00A94DF0" w:rsidRPr="009D74A3" w:rsidRDefault="00A94DF0" w:rsidP="008B29A2">
            <w:pPr>
              <w:pStyle w:val="Sinespaciado"/>
              <w:ind w:left="720"/>
              <w:contextualSpacing/>
              <w:jc w:val="both"/>
              <w:rPr>
                <w:rFonts w:ascii="Times New Roman" w:hAnsi="Times New Roman" w:cs="Times New Roman"/>
                <w:sz w:val="24"/>
                <w:szCs w:val="24"/>
              </w:rPr>
            </w:pPr>
          </w:p>
          <w:p w14:paraId="3A086704" w14:textId="77777777" w:rsidR="00A94DF0" w:rsidRPr="009D74A3" w:rsidRDefault="00A94DF0">
            <w:pPr>
              <w:pStyle w:val="Sinespaciado"/>
              <w:numPr>
                <w:ilvl w:val="0"/>
                <w:numId w:val="5"/>
              </w:num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Para el cumplimiento de sus objetivos el acuerdo relaciona programas, como el del numeral 4 donde se establece el programa 19, desarrollo empresarial, productivo y empleo que a partir de la priorización de actividades con mayores encadenamiento y </w:t>
            </w:r>
            <w:r w:rsidRPr="00B86AE7">
              <w:rPr>
                <w:rFonts w:ascii="Times New Roman" w:hAnsi="Times New Roman" w:cs="Times New Roman"/>
                <w:b/>
                <w:sz w:val="24"/>
                <w:szCs w:val="24"/>
              </w:rPr>
              <w:t>multiplicadores</w:t>
            </w:r>
            <w:r w:rsidRPr="009D74A3">
              <w:rPr>
                <w:rFonts w:ascii="Times New Roman" w:hAnsi="Times New Roman" w:cs="Times New Roman"/>
                <w:sz w:val="24"/>
                <w:szCs w:val="24"/>
              </w:rPr>
              <w:t xml:space="preserve"> de inversión genere un desarrollo a la ciudad. </w:t>
            </w:r>
          </w:p>
          <w:p w14:paraId="6F64E256" w14:textId="77777777" w:rsidR="00A94DF0" w:rsidRPr="009D74A3" w:rsidRDefault="00A94DF0" w:rsidP="008B29A2">
            <w:pPr>
              <w:pStyle w:val="Sinespaciado"/>
              <w:contextualSpacing/>
              <w:jc w:val="both"/>
              <w:rPr>
                <w:rFonts w:ascii="Times New Roman" w:hAnsi="Times New Roman" w:cs="Times New Roman"/>
                <w:sz w:val="24"/>
                <w:szCs w:val="24"/>
              </w:rPr>
            </w:pPr>
          </w:p>
          <w:p w14:paraId="0C4BEDF0" w14:textId="77777777" w:rsidR="00A94DF0" w:rsidRPr="009D74A3" w:rsidRDefault="00A94DF0" w:rsidP="008B29A2">
            <w:pPr>
              <w:pStyle w:val="Sinespaciado"/>
              <w:ind w:left="708"/>
              <w:contextualSpacing/>
              <w:jc w:val="both"/>
              <w:rPr>
                <w:rFonts w:ascii="Times New Roman" w:hAnsi="Times New Roman" w:cs="Times New Roman"/>
                <w:sz w:val="24"/>
                <w:szCs w:val="24"/>
              </w:rPr>
            </w:pPr>
            <w:r w:rsidRPr="009D74A3">
              <w:rPr>
                <w:rFonts w:ascii="Times New Roman" w:hAnsi="Times New Roman" w:cs="Times New Roman"/>
                <w:sz w:val="24"/>
                <w:szCs w:val="24"/>
              </w:rPr>
              <w:t>Este criterio prioriza aquellas actividades económicas con un alto nivel de encadenamientos productivos y capacidad de generar externalidades positivas en términos de inversión y empleo. En Bogotá, sectores como servicios empresariales, tecnologías de la información, construcción sostenible y manufactura avanzada presentan efectos multiplicadores significativos, al activar múltiples eslabones de la cadena de valor local y nacional. Su impulso permite dinamizar el tejido empresarial, aumentar la formalización laboral y promover la innovación tecnológica</w:t>
            </w:r>
          </w:p>
          <w:p w14:paraId="3EBA1604" w14:textId="77777777" w:rsidR="00A94DF0" w:rsidRPr="009D74A3" w:rsidRDefault="00A94DF0" w:rsidP="00654FC0">
            <w:pPr>
              <w:pStyle w:val="Sinespaciado"/>
              <w:contextualSpacing/>
              <w:jc w:val="both"/>
              <w:rPr>
                <w:rFonts w:ascii="Times New Roman" w:hAnsi="Times New Roman" w:cs="Times New Roman"/>
                <w:sz w:val="24"/>
                <w:szCs w:val="24"/>
              </w:rPr>
            </w:pPr>
          </w:p>
          <w:p w14:paraId="38A135E9" w14:textId="2E7A2E06" w:rsidR="00A94DF0" w:rsidRPr="009D74A3" w:rsidRDefault="00A94DF0" w:rsidP="005F2F70">
            <w:pPr>
              <w:contextualSpacing/>
              <w:jc w:val="both"/>
              <w:rPr>
                <w:rFonts w:ascii="Times New Roman" w:hAnsi="Times New Roman" w:cs="Times New Roman"/>
                <w:sz w:val="24"/>
                <w:szCs w:val="24"/>
              </w:rPr>
            </w:pPr>
            <w:r w:rsidRPr="009D74A3">
              <w:rPr>
                <w:rFonts w:ascii="Times New Roman" w:hAnsi="Times New Roman" w:cs="Times New Roman"/>
                <w:sz w:val="24"/>
                <w:szCs w:val="24"/>
              </w:rPr>
              <w:t>Se pretende que estas actividades favorezcan a su vez la generación de empleo, la atracción de inversión, la innovación productiva y contribuyan con el ordenamiento territorial, por lo cual la tarifa propuesta operará como un instrumento de política económica local.</w:t>
            </w:r>
          </w:p>
          <w:p w14:paraId="1B9E087C" w14:textId="77777777" w:rsidR="00A94DF0" w:rsidRPr="009D74A3" w:rsidRDefault="00A94DF0" w:rsidP="008B29A2">
            <w:pPr>
              <w:contextualSpacing/>
              <w:jc w:val="both"/>
              <w:rPr>
                <w:rFonts w:ascii="Times New Roman" w:hAnsi="Times New Roman" w:cs="Times New Roman"/>
                <w:b/>
                <w:sz w:val="24"/>
                <w:szCs w:val="24"/>
              </w:rPr>
            </w:pPr>
          </w:p>
          <w:p w14:paraId="18B8328C" w14:textId="1046FDC8" w:rsidR="00A94DF0" w:rsidRPr="009D74A3" w:rsidRDefault="00BD0316" w:rsidP="00C47772">
            <w:pPr>
              <w:pStyle w:val="Prrafodelista"/>
              <w:numPr>
                <w:ilvl w:val="0"/>
                <w:numId w:val="4"/>
              </w:numPr>
              <w:ind w:left="359"/>
              <w:jc w:val="both"/>
              <w:rPr>
                <w:rFonts w:ascii="Times New Roman" w:hAnsi="Times New Roman" w:cs="Times New Roman"/>
                <w:sz w:val="24"/>
                <w:szCs w:val="24"/>
              </w:rPr>
            </w:pPr>
            <w:r>
              <w:rPr>
                <w:rFonts w:ascii="Times New Roman" w:hAnsi="Times New Roman" w:cs="Times New Roman"/>
                <w:b/>
                <w:sz w:val="24"/>
                <w:szCs w:val="24"/>
              </w:rPr>
              <w:t xml:space="preserve"> </w:t>
            </w:r>
            <w:r w:rsidR="00A94DF0" w:rsidRPr="009D74A3">
              <w:rPr>
                <w:rFonts w:ascii="Times New Roman" w:hAnsi="Times New Roman" w:cs="Times New Roman"/>
                <w:b/>
                <w:sz w:val="24"/>
                <w:szCs w:val="24"/>
              </w:rPr>
              <w:t>Tarifa general de 11 por mil:</w:t>
            </w:r>
            <w:r w:rsidR="00A94DF0" w:rsidRPr="009D74A3">
              <w:rPr>
                <w:rFonts w:ascii="Times New Roman" w:hAnsi="Times New Roman" w:cs="Times New Roman"/>
                <w:sz w:val="24"/>
                <w:szCs w:val="24"/>
              </w:rPr>
              <w:t xml:space="preserve"> </w:t>
            </w:r>
            <w:r w:rsidR="00A20C9D" w:rsidRPr="009D74A3">
              <w:rPr>
                <w:rFonts w:ascii="Times New Roman" w:hAnsi="Times New Roman" w:cs="Times New Roman"/>
                <w:sz w:val="24"/>
                <w:szCs w:val="24"/>
              </w:rPr>
              <w:t>S</w:t>
            </w:r>
            <w:r w:rsidR="00A94DF0" w:rsidRPr="009D74A3">
              <w:rPr>
                <w:rFonts w:ascii="Times New Roman" w:hAnsi="Times New Roman" w:cs="Times New Roman"/>
                <w:sz w:val="24"/>
                <w:szCs w:val="24"/>
              </w:rPr>
              <w:t>erá la tarifa aplicable por regla general a todas las actividades que no cumplan con criterios específicos de priorización o tratamiento excepcional. Esta tarifa asegurará una base uniforme y amplia de contribuyentes, favoreciendo la equidad horizontal y la estabilidad del recaudo. </w:t>
            </w:r>
          </w:p>
          <w:p w14:paraId="6D77F2DB" w14:textId="77777777" w:rsidR="00A94DF0" w:rsidRPr="009D74A3" w:rsidRDefault="00A94DF0" w:rsidP="008B29A2">
            <w:pPr>
              <w:contextualSpacing/>
              <w:jc w:val="both"/>
              <w:rPr>
                <w:rFonts w:ascii="Times New Roman" w:hAnsi="Times New Roman" w:cs="Times New Roman"/>
                <w:sz w:val="24"/>
                <w:szCs w:val="24"/>
              </w:rPr>
            </w:pPr>
          </w:p>
          <w:p w14:paraId="2DACBF22" w14:textId="388CDE2F" w:rsidR="00A94DF0" w:rsidRPr="009D74A3" w:rsidRDefault="00A94DF0">
            <w:pPr>
              <w:numPr>
                <w:ilvl w:val="0"/>
                <w:numId w:val="4"/>
              </w:numPr>
              <w:ind w:left="426"/>
              <w:contextualSpacing/>
              <w:jc w:val="both"/>
              <w:rPr>
                <w:rFonts w:ascii="Times New Roman" w:hAnsi="Times New Roman" w:cs="Times New Roman"/>
                <w:sz w:val="24"/>
                <w:szCs w:val="24"/>
              </w:rPr>
            </w:pPr>
            <w:r w:rsidRPr="009D74A3">
              <w:rPr>
                <w:rFonts w:ascii="Times New Roman" w:hAnsi="Times New Roman" w:cs="Times New Roman"/>
                <w:b/>
                <w:sz w:val="24"/>
                <w:szCs w:val="24"/>
              </w:rPr>
              <w:t xml:space="preserve">Tarifa especial de </w:t>
            </w:r>
            <w:r w:rsidR="3E8AD62D" w:rsidRPr="009D74A3">
              <w:rPr>
                <w:rFonts w:ascii="Times New Roman" w:hAnsi="Times New Roman" w:cs="Times New Roman"/>
                <w:b/>
                <w:bCs/>
                <w:sz w:val="24"/>
                <w:szCs w:val="24"/>
              </w:rPr>
              <w:t>21</w:t>
            </w:r>
            <w:r w:rsidRPr="009D74A3">
              <w:rPr>
                <w:rFonts w:ascii="Times New Roman" w:hAnsi="Times New Roman" w:cs="Times New Roman"/>
                <w:b/>
                <w:sz w:val="24"/>
                <w:szCs w:val="24"/>
              </w:rPr>
              <w:t xml:space="preserve"> por mil:</w:t>
            </w:r>
            <w:r w:rsidRPr="009D74A3">
              <w:rPr>
                <w:rFonts w:ascii="Times New Roman" w:hAnsi="Times New Roman" w:cs="Times New Roman"/>
                <w:sz w:val="24"/>
                <w:szCs w:val="24"/>
              </w:rPr>
              <w:t xml:space="preserve"> </w:t>
            </w:r>
            <w:r w:rsidR="00A20C9D" w:rsidRPr="009D74A3">
              <w:rPr>
                <w:rFonts w:ascii="Times New Roman" w:hAnsi="Times New Roman" w:cs="Times New Roman"/>
                <w:sz w:val="24"/>
                <w:szCs w:val="24"/>
              </w:rPr>
              <w:t>A</w:t>
            </w:r>
            <w:r w:rsidRPr="009D74A3">
              <w:rPr>
                <w:rFonts w:ascii="Times New Roman" w:hAnsi="Times New Roman" w:cs="Times New Roman"/>
                <w:sz w:val="24"/>
                <w:szCs w:val="24"/>
              </w:rPr>
              <w:t>plicable al sector financiero y comercio de bebidas alcohólicas, tabaco y sus derivados, en consideración a su alta capacidad contributiva, niveles de utilidad y menor efecto multiplicador sobre el tejido productivo local. Así las cosas, su inclusión responde a criterios de progresividad tributaria y justicia fiscal.</w:t>
            </w:r>
            <w:r w:rsidR="00F03DA0" w:rsidRPr="009D74A3">
              <w:rPr>
                <w:rFonts w:ascii="Times New Roman" w:hAnsi="Times New Roman" w:cs="Times New Roman"/>
                <w:sz w:val="24"/>
                <w:szCs w:val="24"/>
              </w:rPr>
              <w:t xml:space="preserve"> </w:t>
            </w:r>
          </w:p>
          <w:p w14:paraId="00B57608" w14:textId="77777777" w:rsidR="003B49CE" w:rsidRDefault="003B49CE" w:rsidP="003B49CE">
            <w:pPr>
              <w:contextualSpacing/>
              <w:jc w:val="both"/>
              <w:rPr>
                <w:rFonts w:ascii="Times New Roman" w:hAnsi="Times New Roman" w:cs="Times New Roman"/>
                <w:sz w:val="24"/>
                <w:szCs w:val="24"/>
              </w:rPr>
            </w:pPr>
          </w:p>
          <w:p w14:paraId="1ABC81DF" w14:textId="7C9A701A" w:rsidR="003B49CE" w:rsidRPr="009D74A3" w:rsidRDefault="00032EF4" w:rsidP="003B49CE">
            <w:pPr>
              <w:contextualSpacing/>
              <w:jc w:val="both"/>
              <w:rPr>
                <w:rFonts w:ascii="Times New Roman" w:hAnsi="Times New Roman" w:cs="Times New Roman"/>
                <w:sz w:val="24"/>
                <w:szCs w:val="24"/>
              </w:rPr>
            </w:pPr>
            <w:r>
              <w:rPr>
                <w:rFonts w:ascii="Times New Roman" w:hAnsi="Times New Roman" w:cs="Times New Roman"/>
                <w:sz w:val="24"/>
                <w:szCs w:val="24"/>
              </w:rPr>
              <w:t>Así las cosas, actualmente e</w:t>
            </w:r>
            <w:r w:rsidR="003B49CE" w:rsidRPr="009D74A3">
              <w:rPr>
                <w:rFonts w:ascii="Times New Roman" w:hAnsi="Times New Roman" w:cs="Times New Roman"/>
                <w:sz w:val="24"/>
                <w:szCs w:val="24"/>
              </w:rPr>
              <w:t>l ICA opera con una estructura fragmentada de trece tarifas que varían por tipo de actividad económica, y que carece de una lógica que permita alinear las tarifas nominales con objetivos de desarrollo económico local. En este sentido, la propuesta tiene por objeto reducir el número de tarifas del ICA a cuatro (4) alícuotas, cada una de ellas vinculada a criterios de política tributaria y aplicados bajo una lógica general, así: </w:t>
            </w:r>
          </w:p>
          <w:p w14:paraId="4CCEF9B0" w14:textId="77777777" w:rsidR="003B49CE" w:rsidRDefault="003B49CE" w:rsidP="003B49CE">
            <w:pPr>
              <w:contextualSpacing/>
              <w:jc w:val="both"/>
              <w:rPr>
                <w:rFonts w:ascii="Times New Roman" w:hAnsi="Times New Roman" w:cs="Times New Roman"/>
                <w:sz w:val="24"/>
                <w:szCs w:val="24"/>
              </w:rPr>
            </w:pPr>
          </w:p>
          <w:p w14:paraId="1F2238A9" w14:textId="77777777" w:rsidR="00961E7E" w:rsidRDefault="00961E7E" w:rsidP="003B49CE">
            <w:pPr>
              <w:contextualSpacing/>
              <w:jc w:val="both"/>
              <w:rPr>
                <w:rFonts w:ascii="Times New Roman" w:hAnsi="Times New Roman" w:cs="Times New Roman"/>
                <w:sz w:val="24"/>
                <w:szCs w:val="24"/>
              </w:rPr>
            </w:pPr>
          </w:p>
          <w:p w14:paraId="09A1DC3D" w14:textId="77777777" w:rsidR="00C943C6" w:rsidRPr="00E206FA" w:rsidRDefault="00C943C6" w:rsidP="00C943C6">
            <w:pPr>
              <w:contextualSpacing/>
              <w:jc w:val="center"/>
              <w:rPr>
                <w:rFonts w:ascii="Times New Roman" w:hAnsi="Times New Roman" w:cs="Times New Roman"/>
                <w:b/>
              </w:rPr>
            </w:pPr>
            <w:r w:rsidRPr="004E4ED5">
              <w:rPr>
                <w:rFonts w:ascii="Times New Roman" w:hAnsi="Times New Roman" w:cs="Times New Roman"/>
                <w:b/>
                <w:highlight w:val="yellow"/>
              </w:rPr>
              <w:t>Tabla 15</w:t>
            </w:r>
          </w:p>
          <w:p w14:paraId="218AC73C" w14:textId="77777777" w:rsidR="00C943C6" w:rsidRPr="00A452CB" w:rsidRDefault="00C943C6" w:rsidP="00C943C6">
            <w:pPr>
              <w:pStyle w:val="Descripcin"/>
              <w:keepNext/>
              <w:spacing w:after="0"/>
              <w:contextualSpacing/>
              <w:jc w:val="center"/>
              <w:rPr>
                <w:rFonts w:ascii="Times New Roman" w:hAnsi="Times New Roman" w:cs="Times New Roman"/>
                <w:b/>
                <w:i w:val="0"/>
                <w:iCs w:val="0"/>
                <w:color w:val="auto"/>
                <w:sz w:val="22"/>
                <w:szCs w:val="22"/>
              </w:rPr>
            </w:pPr>
            <w:r w:rsidRPr="00E206FA">
              <w:rPr>
                <w:rFonts w:ascii="Times New Roman" w:hAnsi="Times New Roman" w:cs="Times New Roman"/>
                <w:b/>
                <w:i w:val="0"/>
                <w:iCs w:val="0"/>
                <w:color w:val="auto"/>
                <w:sz w:val="22"/>
                <w:szCs w:val="22"/>
              </w:rPr>
              <w:t>Número de actividades económicas según la tarifa en la que se liquidaba anteriormente y la propuesta</w:t>
            </w:r>
          </w:p>
          <w:tbl>
            <w:tblPr>
              <w:tblW w:w="7200" w:type="dxa"/>
              <w:jc w:val="center"/>
              <w:tblLayout w:type="fixed"/>
              <w:tblCellMar>
                <w:left w:w="70" w:type="dxa"/>
                <w:right w:w="70" w:type="dxa"/>
              </w:tblCellMar>
              <w:tblLook w:val="04A0" w:firstRow="1" w:lastRow="0" w:firstColumn="1" w:lastColumn="0" w:noHBand="0" w:noVBand="1"/>
            </w:tblPr>
            <w:tblGrid>
              <w:gridCol w:w="1200"/>
              <w:gridCol w:w="1200"/>
              <w:gridCol w:w="1200"/>
              <w:gridCol w:w="1200"/>
              <w:gridCol w:w="1200"/>
              <w:gridCol w:w="1200"/>
            </w:tblGrid>
            <w:tr w:rsidR="00C943C6" w:rsidRPr="00DA4AD7" w14:paraId="235CFD7C" w14:textId="77777777">
              <w:trPr>
                <w:trHeight w:val="300"/>
                <w:jc w:val="center"/>
              </w:trPr>
              <w:tc>
                <w:tcPr>
                  <w:tcW w:w="1200" w:type="dxa"/>
                  <w:vMerge w:val="restart"/>
                  <w:tcBorders>
                    <w:top w:val="single" w:sz="8" w:space="0" w:color="auto"/>
                    <w:left w:val="single" w:sz="8" w:space="0" w:color="auto"/>
                    <w:bottom w:val="single" w:sz="8" w:space="0" w:color="000000"/>
                    <w:right w:val="single" w:sz="8" w:space="0" w:color="auto"/>
                  </w:tcBorders>
                  <w:shd w:val="clear" w:color="000000" w:fill="002060"/>
                  <w:vAlign w:val="center"/>
                  <w:hideMark/>
                </w:tcPr>
                <w:p w14:paraId="640A0FAD" w14:textId="77777777" w:rsidR="00C943C6" w:rsidRPr="00922C2B" w:rsidRDefault="00C943C6" w:rsidP="00C943C6">
                  <w:pPr>
                    <w:spacing w:after="0" w:line="240" w:lineRule="auto"/>
                    <w:jc w:val="center"/>
                    <w:rPr>
                      <w:rFonts w:ascii="Times New Roman" w:eastAsia="Times New Roman" w:hAnsi="Times New Roman" w:cs="Times New Roman"/>
                      <w:b/>
                      <w:bCs/>
                      <w:color w:val="FFFFFF"/>
                      <w:sz w:val="20"/>
                      <w:szCs w:val="20"/>
                      <w:lang w:eastAsia="es-CO"/>
                    </w:rPr>
                  </w:pPr>
                  <w:r w:rsidRPr="00922C2B">
                    <w:rPr>
                      <w:rFonts w:ascii="Times New Roman" w:eastAsia="Times New Roman" w:hAnsi="Times New Roman" w:cs="Times New Roman"/>
                      <w:b/>
                      <w:bCs/>
                      <w:color w:val="FFFFFF"/>
                      <w:sz w:val="20"/>
                      <w:szCs w:val="20"/>
                      <w:lang w:eastAsia="es-CO"/>
                    </w:rPr>
                    <w:t xml:space="preserve">Tarifa actual </w:t>
                  </w:r>
                </w:p>
              </w:tc>
              <w:tc>
                <w:tcPr>
                  <w:tcW w:w="4800" w:type="dxa"/>
                  <w:gridSpan w:val="4"/>
                  <w:tcBorders>
                    <w:top w:val="single" w:sz="8" w:space="0" w:color="auto"/>
                    <w:left w:val="nil"/>
                    <w:bottom w:val="single" w:sz="8" w:space="0" w:color="auto"/>
                    <w:right w:val="single" w:sz="8" w:space="0" w:color="000000"/>
                  </w:tcBorders>
                  <w:shd w:val="clear" w:color="000000" w:fill="002060"/>
                  <w:vAlign w:val="center"/>
                  <w:hideMark/>
                </w:tcPr>
                <w:p w14:paraId="7108599A" w14:textId="77777777" w:rsidR="00C943C6" w:rsidRPr="00922C2B" w:rsidRDefault="00C943C6" w:rsidP="00C943C6">
                  <w:pPr>
                    <w:spacing w:after="0" w:line="240" w:lineRule="auto"/>
                    <w:jc w:val="center"/>
                    <w:rPr>
                      <w:rFonts w:ascii="Times New Roman" w:eastAsia="Times New Roman" w:hAnsi="Times New Roman" w:cs="Times New Roman"/>
                      <w:b/>
                      <w:bCs/>
                      <w:color w:val="FFFFFF"/>
                      <w:sz w:val="20"/>
                      <w:szCs w:val="20"/>
                      <w:lang w:eastAsia="es-CO"/>
                    </w:rPr>
                  </w:pPr>
                  <w:r w:rsidRPr="00922C2B">
                    <w:rPr>
                      <w:rFonts w:ascii="Times New Roman" w:eastAsia="Times New Roman" w:hAnsi="Times New Roman" w:cs="Times New Roman"/>
                      <w:b/>
                      <w:bCs/>
                      <w:color w:val="FFFFFF"/>
                      <w:sz w:val="20"/>
                      <w:szCs w:val="20"/>
                      <w:lang w:eastAsia="es-CO"/>
                    </w:rPr>
                    <w:t xml:space="preserve">Tarifa propuesta </w:t>
                  </w:r>
                </w:p>
              </w:tc>
              <w:tc>
                <w:tcPr>
                  <w:tcW w:w="1200" w:type="dxa"/>
                  <w:vMerge w:val="restart"/>
                  <w:tcBorders>
                    <w:top w:val="single" w:sz="8" w:space="0" w:color="auto"/>
                    <w:left w:val="single" w:sz="8" w:space="0" w:color="auto"/>
                    <w:bottom w:val="single" w:sz="8" w:space="0" w:color="000000"/>
                    <w:right w:val="single" w:sz="8" w:space="0" w:color="auto"/>
                  </w:tcBorders>
                  <w:shd w:val="clear" w:color="000000" w:fill="002060"/>
                  <w:vAlign w:val="center"/>
                  <w:hideMark/>
                </w:tcPr>
                <w:p w14:paraId="68626F84" w14:textId="77777777" w:rsidR="00C943C6" w:rsidRPr="00922C2B" w:rsidRDefault="00C943C6" w:rsidP="00C943C6">
                  <w:pPr>
                    <w:spacing w:after="0" w:line="240" w:lineRule="auto"/>
                    <w:jc w:val="center"/>
                    <w:rPr>
                      <w:rFonts w:ascii="Times New Roman" w:eastAsia="Times New Roman" w:hAnsi="Times New Roman" w:cs="Times New Roman"/>
                      <w:b/>
                      <w:bCs/>
                      <w:color w:val="FFFFFF"/>
                      <w:sz w:val="20"/>
                      <w:szCs w:val="20"/>
                      <w:lang w:eastAsia="es-CO"/>
                    </w:rPr>
                  </w:pPr>
                  <w:r w:rsidRPr="00922C2B">
                    <w:rPr>
                      <w:rFonts w:ascii="Times New Roman" w:eastAsia="Times New Roman" w:hAnsi="Times New Roman" w:cs="Times New Roman"/>
                      <w:b/>
                      <w:bCs/>
                      <w:color w:val="FFFFFF"/>
                      <w:sz w:val="20"/>
                      <w:szCs w:val="20"/>
                      <w:lang w:eastAsia="es-CO"/>
                    </w:rPr>
                    <w:t>Total general</w:t>
                  </w:r>
                </w:p>
              </w:tc>
            </w:tr>
            <w:tr w:rsidR="00C943C6" w:rsidRPr="00DA4AD7" w14:paraId="49FE8BE6" w14:textId="77777777">
              <w:trPr>
                <w:trHeight w:val="300"/>
                <w:jc w:val="center"/>
              </w:trPr>
              <w:tc>
                <w:tcPr>
                  <w:tcW w:w="1200" w:type="dxa"/>
                  <w:vMerge/>
                  <w:tcBorders>
                    <w:top w:val="single" w:sz="8" w:space="0" w:color="auto"/>
                    <w:left w:val="single" w:sz="8" w:space="0" w:color="auto"/>
                    <w:bottom w:val="single" w:sz="8" w:space="0" w:color="000000"/>
                    <w:right w:val="single" w:sz="8" w:space="0" w:color="auto"/>
                  </w:tcBorders>
                  <w:vAlign w:val="center"/>
                  <w:hideMark/>
                </w:tcPr>
                <w:p w14:paraId="4175526B" w14:textId="77777777" w:rsidR="00C943C6" w:rsidRPr="00922C2B" w:rsidRDefault="00C943C6" w:rsidP="00C943C6">
                  <w:pPr>
                    <w:spacing w:after="0" w:line="240" w:lineRule="auto"/>
                    <w:rPr>
                      <w:rFonts w:ascii="Times New Roman" w:eastAsia="Times New Roman" w:hAnsi="Times New Roman" w:cs="Times New Roman"/>
                      <w:b/>
                      <w:bCs/>
                      <w:color w:val="FFFFFF"/>
                      <w:sz w:val="20"/>
                      <w:szCs w:val="20"/>
                      <w:lang w:eastAsia="es-CO"/>
                    </w:rPr>
                  </w:pPr>
                </w:p>
              </w:tc>
              <w:tc>
                <w:tcPr>
                  <w:tcW w:w="1200" w:type="dxa"/>
                  <w:tcBorders>
                    <w:top w:val="nil"/>
                    <w:left w:val="nil"/>
                    <w:bottom w:val="single" w:sz="8" w:space="0" w:color="auto"/>
                    <w:right w:val="single" w:sz="8" w:space="0" w:color="auto"/>
                  </w:tcBorders>
                  <w:shd w:val="clear" w:color="000000" w:fill="002060"/>
                  <w:vAlign w:val="center"/>
                  <w:hideMark/>
                </w:tcPr>
                <w:p w14:paraId="4CE79A94" w14:textId="77777777" w:rsidR="00C943C6" w:rsidRPr="00922C2B" w:rsidRDefault="00C943C6" w:rsidP="00C943C6">
                  <w:pPr>
                    <w:spacing w:after="0" w:line="240" w:lineRule="auto"/>
                    <w:jc w:val="center"/>
                    <w:rPr>
                      <w:rFonts w:ascii="Times New Roman" w:eastAsia="Times New Roman" w:hAnsi="Times New Roman" w:cs="Times New Roman"/>
                      <w:color w:val="FFFFFF"/>
                      <w:sz w:val="20"/>
                      <w:szCs w:val="20"/>
                      <w:lang w:eastAsia="es-CO"/>
                    </w:rPr>
                  </w:pPr>
                  <w:r w:rsidRPr="00922C2B">
                    <w:rPr>
                      <w:rFonts w:ascii="Times New Roman" w:eastAsia="Times New Roman" w:hAnsi="Times New Roman" w:cs="Times New Roman"/>
                      <w:color w:val="FFFFFF"/>
                      <w:sz w:val="20"/>
                      <w:szCs w:val="20"/>
                      <w:lang w:eastAsia="es-CO"/>
                    </w:rPr>
                    <w:t>4</w:t>
                  </w:r>
                </w:p>
              </w:tc>
              <w:tc>
                <w:tcPr>
                  <w:tcW w:w="1200" w:type="dxa"/>
                  <w:tcBorders>
                    <w:top w:val="nil"/>
                    <w:left w:val="nil"/>
                    <w:bottom w:val="single" w:sz="8" w:space="0" w:color="auto"/>
                    <w:right w:val="single" w:sz="8" w:space="0" w:color="auto"/>
                  </w:tcBorders>
                  <w:shd w:val="clear" w:color="000000" w:fill="002060"/>
                  <w:vAlign w:val="center"/>
                  <w:hideMark/>
                </w:tcPr>
                <w:p w14:paraId="6C21F315" w14:textId="77777777" w:rsidR="00C943C6" w:rsidRPr="00922C2B" w:rsidRDefault="00C943C6" w:rsidP="00C943C6">
                  <w:pPr>
                    <w:spacing w:after="0" w:line="240" w:lineRule="auto"/>
                    <w:jc w:val="center"/>
                    <w:rPr>
                      <w:rFonts w:ascii="Times New Roman" w:eastAsia="Times New Roman" w:hAnsi="Times New Roman" w:cs="Times New Roman"/>
                      <w:color w:val="FFFFFF"/>
                      <w:sz w:val="20"/>
                      <w:szCs w:val="20"/>
                      <w:lang w:eastAsia="es-CO"/>
                    </w:rPr>
                  </w:pPr>
                  <w:r w:rsidRPr="00922C2B">
                    <w:rPr>
                      <w:rFonts w:ascii="Times New Roman" w:eastAsia="Times New Roman" w:hAnsi="Times New Roman" w:cs="Times New Roman"/>
                      <w:color w:val="FFFFFF"/>
                      <w:sz w:val="20"/>
                      <w:szCs w:val="20"/>
                      <w:lang w:eastAsia="es-CO"/>
                    </w:rPr>
                    <w:t>7</w:t>
                  </w:r>
                </w:p>
              </w:tc>
              <w:tc>
                <w:tcPr>
                  <w:tcW w:w="1200" w:type="dxa"/>
                  <w:tcBorders>
                    <w:top w:val="nil"/>
                    <w:left w:val="nil"/>
                    <w:bottom w:val="single" w:sz="8" w:space="0" w:color="auto"/>
                    <w:right w:val="single" w:sz="8" w:space="0" w:color="auto"/>
                  </w:tcBorders>
                  <w:shd w:val="clear" w:color="000000" w:fill="002060"/>
                  <w:vAlign w:val="center"/>
                  <w:hideMark/>
                </w:tcPr>
                <w:p w14:paraId="6D776C3B" w14:textId="77777777" w:rsidR="00C943C6" w:rsidRPr="00922C2B" w:rsidRDefault="00C943C6" w:rsidP="00C943C6">
                  <w:pPr>
                    <w:spacing w:after="0" w:line="240" w:lineRule="auto"/>
                    <w:jc w:val="center"/>
                    <w:rPr>
                      <w:rFonts w:ascii="Times New Roman" w:eastAsia="Times New Roman" w:hAnsi="Times New Roman" w:cs="Times New Roman"/>
                      <w:color w:val="FFFFFF"/>
                      <w:sz w:val="20"/>
                      <w:szCs w:val="20"/>
                      <w:lang w:eastAsia="es-CO"/>
                    </w:rPr>
                  </w:pPr>
                  <w:r w:rsidRPr="00922C2B">
                    <w:rPr>
                      <w:rFonts w:ascii="Times New Roman" w:eastAsia="Times New Roman" w:hAnsi="Times New Roman" w:cs="Times New Roman"/>
                      <w:color w:val="FFFFFF"/>
                      <w:sz w:val="20"/>
                      <w:szCs w:val="20"/>
                      <w:lang w:eastAsia="es-CO"/>
                    </w:rPr>
                    <w:t>11</w:t>
                  </w:r>
                </w:p>
              </w:tc>
              <w:tc>
                <w:tcPr>
                  <w:tcW w:w="1200" w:type="dxa"/>
                  <w:tcBorders>
                    <w:top w:val="nil"/>
                    <w:left w:val="nil"/>
                    <w:bottom w:val="single" w:sz="8" w:space="0" w:color="auto"/>
                    <w:right w:val="single" w:sz="8" w:space="0" w:color="auto"/>
                  </w:tcBorders>
                  <w:shd w:val="clear" w:color="000000" w:fill="002060"/>
                  <w:vAlign w:val="center"/>
                  <w:hideMark/>
                </w:tcPr>
                <w:p w14:paraId="197FFA2A" w14:textId="77777777" w:rsidR="00C943C6" w:rsidRPr="00922C2B" w:rsidRDefault="00C943C6" w:rsidP="00C943C6">
                  <w:pPr>
                    <w:spacing w:after="0" w:line="240" w:lineRule="auto"/>
                    <w:jc w:val="center"/>
                    <w:rPr>
                      <w:rFonts w:ascii="Times New Roman" w:eastAsia="Times New Roman" w:hAnsi="Times New Roman" w:cs="Times New Roman"/>
                      <w:color w:val="FFFFFF"/>
                      <w:sz w:val="20"/>
                      <w:szCs w:val="20"/>
                      <w:lang w:eastAsia="es-CO"/>
                    </w:rPr>
                  </w:pPr>
                  <w:r w:rsidRPr="00922C2B">
                    <w:rPr>
                      <w:rFonts w:ascii="Times New Roman" w:eastAsia="Times New Roman" w:hAnsi="Times New Roman" w:cs="Times New Roman"/>
                      <w:color w:val="FFFFFF"/>
                      <w:sz w:val="20"/>
                      <w:szCs w:val="20"/>
                      <w:lang w:eastAsia="es-CO"/>
                    </w:rPr>
                    <w:t>21</w:t>
                  </w:r>
                </w:p>
              </w:tc>
              <w:tc>
                <w:tcPr>
                  <w:tcW w:w="1200" w:type="dxa"/>
                  <w:vMerge/>
                  <w:tcBorders>
                    <w:top w:val="single" w:sz="8" w:space="0" w:color="auto"/>
                    <w:left w:val="single" w:sz="8" w:space="0" w:color="auto"/>
                    <w:bottom w:val="single" w:sz="8" w:space="0" w:color="000000"/>
                    <w:right w:val="single" w:sz="8" w:space="0" w:color="auto"/>
                  </w:tcBorders>
                  <w:vAlign w:val="center"/>
                  <w:hideMark/>
                </w:tcPr>
                <w:p w14:paraId="5DACD1EE" w14:textId="77777777" w:rsidR="00C943C6" w:rsidRPr="00922C2B" w:rsidRDefault="00C943C6" w:rsidP="00C943C6">
                  <w:pPr>
                    <w:spacing w:after="0" w:line="240" w:lineRule="auto"/>
                    <w:rPr>
                      <w:rFonts w:ascii="Times New Roman" w:eastAsia="Times New Roman" w:hAnsi="Times New Roman" w:cs="Times New Roman"/>
                      <w:b/>
                      <w:bCs/>
                      <w:color w:val="FFFFFF"/>
                      <w:sz w:val="20"/>
                      <w:szCs w:val="20"/>
                      <w:lang w:eastAsia="es-CO"/>
                    </w:rPr>
                  </w:pPr>
                </w:p>
              </w:tc>
            </w:tr>
            <w:tr w:rsidR="00C943C6" w:rsidRPr="00590D62" w14:paraId="0303076E" w14:textId="77777777">
              <w:trPr>
                <w:trHeight w:val="300"/>
                <w:jc w:val="center"/>
              </w:trPr>
              <w:tc>
                <w:tcPr>
                  <w:tcW w:w="1200" w:type="dxa"/>
                  <w:tcBorders>
                    <w:top w:val="nil"/>
                    <w:left w:val="single" w:sz="8" w:space="0" w:color="auto"/>
                    <w:bottom w:val="single" w:sz="8" w:space="0" w:color="auto"/>
                    <w:right w:val="single" w:sz="8" w:space="0" w:color="auto"/>
                  </w:tcBorders>
                  <w:vAlign w:val="center"/>
                  <w:hideMark/>
                </w:tcPr>
                <w:p w14:paraId="4549DABC" w14:textId="77777777" w:rsidR="00C943C6" w:rsidRPr="00922C2B"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922C2B">
                    <w:rPr>
                      <w:rFonts w:ascii="Times New Roman" w:eastAsia="Times New Roman" w:hAnsi="Times New Roman" w:cs="Times New Roman"/>
                      <w:color w:val="000000"/>
                      <w:sz w:val="20"/>
                      <w:szCs w:val="20"/>
                      <w:lang w:eastAsia="es-CO"/>
                    </w:rPr>
                    <w:t>4,14</w:t>
                  </w:r>
                </w:p>
              </w:tc>
              <w:tc>
                <w:tcPr>
                  <w:tcW w:w="1200" w:type="dxa"/>
                  <w:tcBorders>
                    <w:top w:val="nil"/>
                    <w:left w:val="nil"/>
                    <w:bottom w:val="single" w:sz="8" w:space="0" w:color="auto"/>
                    <w:right w:val="single" w:sz="8" w:space="0" w:color="auto"/>
                  </w:tcBorders>
                  <w:vAlign w:val="center"/>
                  <w:hideMark/>
                </w:tcPr>
                <w:p w14:paraId="3D593284"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53</w:t>
                  </w:r>
                </w:p>
              </w:tc>
              <w:tc>
                <w:tcPr>
                  <w:tcW w:w="1200" w:type="dxa"/>
                  <w:tcBorders>
                    <w:top w:val="nil"/>
                    <w:left w:val="nil"/>
                    <w:bottom w:val="single" w:sz="8" w:space="0" w:color="auto"/>
                    <w:right w:val="single" w:sz="8" w:space="0" w:color="auto"/>
                  </w:tcBorders>
                  <w:vAlign w:val="center"/>
                  <w:hideMark/>
                </w:tcPr>
                <w:p w14:paraId="21F3D217"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3</w:t>
                  </w:r>
                </w:p>
              </w:tc>
              <w:tc>
                <w:tcPr>
                  <w:tcW w:w="1200" w:type="dxa"/>
                  <w:tcBorders>
                    <w:top w:val="nil"/>
                    <w:left w:val="nil"/>
                    <w:bottom w:val="single" w:sz="8" w:space="0" w:color="auto"/>
                    <w:right w:val="single" w:sz="8" w:space="0" w:color="auto"/>
                  </w:tcBorders>
                  <w:vAlign w:val="center"/>
                  <w:hideMark/>
                </w:tcPr>
                <w:p w14:paraId="21CF718F"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1</w:t>
                  </w:r>
                </w:p>
              </w:tc>
              <w:tc>
                <w:tcPr>
                  <w:tcW w:w="1200" w:type="dxa"/>
                  <w:tcBorders>
                    <w:top w:val="nil"/>
                    <w:left w:val="nil"/>
                    <w:bottom w:val="single" w:sz="8" w:space="0" w:color="auto"/>
                    <w:right w:val="single" w:sz="8" w:space="0" w:color="auto"/>
                  </w:tcBorders>
                  <w:vAlign w:val="center"/>
                  <w:hideMark/>
                </w:tcPr>
                <w:p w14:paraId="2E442D14"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08821F9A"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57</w:t>
                  </w:r>
                </w:p>
              </w:tc>
            </w:tr>
            <w:tr w:rsidR="00C943C6" w:rsidRPr="00590D62" w14:paraId="43D97D7E" w14:textId="77777777">
              <w:trPr>
                <w:trHeight w:val="300"/>
                <w:jc w:val="center"/>
              </w:trPr>
              <w:tc>
                <w:tcPr>
                  <w:tcW w:w="1200" w:type="dxa"/>
                  <w:tcBorders>
                    <w:top w:val="nil"/>
                    <w:left w:val="single" w:sz="8" w:space="0" w:color="auto"/>
                    <w:bottom w:val="single" w:sz="8" w:space="0" w:color="auto"/>
                    <w:right w:val="single" w:sz="8" w:space="0" w:color="auto"/>
                  </w:tcBorders>
                  <w:vAlign w:val="center"/>
                  <w:hideMark/>
                </w:tcPr>
                <w:p w14:paraId="2640A815" w14:textId="77777777" w:rsidR="00C943C6" w:rsidRPr="00922C2B"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922C2B">
                    <w:rPr>
                      <w:rFonts w:ascii="Times New Roman" w:eastAsia="Times New Roman" w:hAnsi="Times New Roman" w:cs="Times New Roman"/>
                      <w:color w:val="000000"/>
                      <w:sz w:val="20"/>
                      <w:szCs w:val="20"/>
                      <w:lang w:eastAsia="es-CO"/>
                    </w:rPr>
                    <w:t>6,9</w:t>
                  </w:r>
                </w:p>
              </w:tc>
              <w:tc>
                <w:tcPr>
                  <w:tcW w:w="1200" w:type="dxa"/>
                  <w:tcBorders>
                    <w:top w:val="nil"/>
                    <w:left w:val="nil"/>
                    <w:bottom w:val="single" w:sz="8" w:space="0" w:color="auto"/>
                    <w:right w:val="single" w:sz="8" w:space="0" w:color="auto"/>
                  </w:tcBorders>
                  <w:vAlign w:val="center"/>
                  <w:hideMark/>
                </w:tcPr>
                <w:p w14:paraId="197CEC0D"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1</w:t>
                  </w:r>
                </w:p>
              </w:tc>
              <w:tc>
                <w:tcPr>
                  <w:tcW w:w="1200" w:type="dxa"/>
                  <w:tcBorders>
                    <w:top w:val="nil"/>
                    <w:left w:val="nil"/>
                    <w:bottom w:val="single" w:sz="8" w:space="0" w:color="auto"/>
                    <w:right w:val="single" w:sz="8" w:space="0" w:color="auto"/>
                  </w:tcBorders>
                  <w:vAlign w:val="center"/>
                  <w:hideMark/>
                </w:tcPr>
                <w:p w14:paraId="68785E9A"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14</w:t>
                  </w:r>
                </w:p>
              </w:tc>
              <w:tc>
                <w:tcPr>
                  <w:tcW w:w="1200" w:type="dxa"/>
                  <w:tcBorders>
                    <w:top w:val="nil"/>
                    <w:left w:val="nil"/>
                    <w:bottom w:val="single" w:sz="8" w:space="0" w:color="auto"/>
                    <w:right w:val="single" w:sz="8" w:space="0" w:color="auto"/>
                  </w:tcBorders>
                  <w:vAlign w:val="center"/>
                  <w:hideMark/>
                </w:tcPr>
                <w:p w14:paraId="6CD21668"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17</w:t>
                  </w:r>
                </w:p>
              </w:tc>
              <w:tc>
                <w:tcPr>
                  <w:tcW w:w="1200" w:type="dxa"/>
                  <w:tcBorders>
                    <w:top w:val="nil"/>
                    <w:left w:val="nil"/>
                    <w:bottom w:val="single" w:sz="8" w:space="0" w:color="auto"/>
                    <w:right w:val="single" w:sz="8" w:space="0" w:color="auto"/>
                  </w:tcBorders>
                  <w:vAlign w:val="center"/>
                  <w:hideMark/>
                </w:tcPr>
                <w:p w14:paraId="52B2732A"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22F8F4F1"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32</w:t>
                  </w:r>
                </w:p>
              </w:tc>
            </w:tr>
            <w:tr w:rsidR="00C943C6" w:rsidRPr="00590D62" w14:paraId="4A4F444A" w14:textId="77777777">
              <w:trPr>
                <w:trHeight w:val="300"/>
                <w:jc w:val="center"/>
              </w:trPr>
              <w:tc>
                <w:tcPr>
                  <w:tcW w:w="1200" w:type="dxa"/>
                  <w:tcBorders>
                    <w:top w:val="nil"/>
                    <w:left w:val="single" w:sz="8" w:space="0" w:color="auto"/>
                    <w:bottom w:val="single" w:sz="8" w:space="0" w:color="auto"/>
                    <w:right w:val="single" w:sz="8" w:space="0" w:color="auto"/>
                  </w:tcBorders>
                  <w:vAlign w:val="center"/>
                  <w:hideMark/>
                </w:tcPr>
                <w:p w14:paraId="09B0309B" w14:textId="77777777" w:rsidR="00C943C6" w:rsidRPr="00922C2B"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922C2B">
                    <w:rPr>
                      <w:rFonts w:ascii="Times New Roman" w:eastAsia="Times New Roman" w:hAnsi="Times New Roman" w:cs="Times New Roman"/>
                      <w:color w:val="000000"/>
                      <w:sz w:val="20"/>
                      <w:szCs w:val="20"/>
                      <w:lang w:eastAsia="es-CO"/>
                    </w:rPr>
                    <w:t>7</w:t>
                  </w:r>
                </w:p>
              </w:tc>
              <w:tc>
                <w:tcPr>
                  <w:tcW w:w="1200" w:type="dxa"/>
                  <w:tcBorders>
                    <w:top w:val="nil"/>
                    <w:left w:val="nil"/>
                    <w:bottom w:val="single" w:sz="8" w:space="0" w:color="auto"/>
                    <w:right w:val="single" w:sz="8" w:space="0" w:color="auto"/>
                  </w:tcBorders>
                  <w:vAlign w:val="center"/>
                  <w:hideMark/>
                </w:tcPr>
                <w:p w14:paraId="47455804"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4A4E63A6"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7</w:t>
                  </w:r>
                </w:p>
              </w:tc>
              <w:tc>
                <w:tcPr>
                  <w:tcW w:w="1200" w:type="dxa"/>
                  <w:tcBorders>
                    <w:top w:val="nil"/>
                    <w:left w:val="nil"/>
                    <w:bottom w:val="single" w:sz="8" w:space="0" w:color="auto"/>
                    <w:right w:val="single" w:sz="8" w:space="0" w:color="auto"/>
                  </w:tcBorders>
                  <w:vAlign w:val="center"/>
                  <w:hideMark/>
                </w:tcPr>
                <w:p w14:paraId="3C51BB1C"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2683F8EA"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2FF0F762"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7</w:t>
                  </w:r>
                </w:p>
              </w:tc>
            </w:tr>
            <w:tr w:rsidR="00C943C6" w:rsidRPr="00590D62" w14:paraId="23F05B54" w14:textId="77777777">
              <w:trPr>
                <w:trHeight w:val="300"/>
                <w:jc w:val="center"/>
              </w:trPr>
              <w:tc>
                <w:tcPr>
                  <w:tcW w:w="1200" w:type="dxa"/>
                  <w:tcBorders>
                    <w:top w:val="nil"/>
                    <w:left w:val="single" w:sz="8" w:space="0" w:color="auto"/>
                    <w:bottom w:val="single" w:sz="8" w:space="0" w:color="auto"/>
                    <w:right w:val="single" w:sz="8" w:space="0" w:color="auto"/>
                  </w:tcBorders>
                  <w:vAlign w:val="center"/>
                  <w:hideMark/>
                </w:tcPr>
                <w:p w14:paraId="5DFBB4FB" w14:textId="77777777" w:rsidR="00C943C6" w:rsidRPr="00922C2B"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922C2B">
                    <w:rPr>
                      <w:rFonts w:ascii="Times New Roman" w:eastAsia="Times New Roman" w:hAnsi="Times New Roman" w:cs="Times New Roman"/>
                      <w:color w:val="000000"/>
                      <w:sz w:val="20"/>
                      <w:szCs w:val="20"/>
                      <w:lang w:eastAsia="es-CO"/>
                    </w:rPr>
                    <w:t>7,6</w:t>
                  </w:r>
                </w:p>
              </w:tc>
              <w:tc>
                <w:tcPr>
                  <w:tcW w:w="1200" w:type="dxa"/>
                  <w:tcBorders>
                    <w:top w:val="nil"/>
                    <w:left w:val="nil"/>
                    <w:bottom w:val="single" w:sz="8" w:space="0" w:color="auto"/>
                    <w:right w:val="single" w:sz="8" w:space="0" w:color="auto"/>
                  </w:tcBorders>
                  <w:vAlign w:val="center"/>
                  <w:hideMark/>
                </w:tcPr>
                <w:p w14:paraId="1C5AE2D1"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65BC3966"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3</w:t>
                  </w:r>
                </w:p>
              </w:tc>
              <w:tc>
                <w:tcPr>
                  <w:tcW w:w="1200" w:type="dxa"/>
                  <w:tcBorders>
                    <w:top w:val="nil"/>
                    <w:left w:val="nil"/>
                    <w:bottom w:val="single" w:sz="8" w:space="0" w:color="auto"/>
                    <w:right w:val="single" w:sz="8" w:space="0" w:color="auto"/>
                  </w:tcBorders>
                  <w:vAlign w:val="center"/>
                  <w:hideMark/>
                </w:tcPr>
                <w:p w14:paraId="00F2F738"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2</w:t>
                  </w:r>
                </w:p>
              </w:tc>
              <w:tc>
                <w:tcPr>
                  <w:tcW w:w="1200" w:type="dxa"/>
                  <w:tcBorders>
                    <w:top w:val="nil"/>
                    <w:left w:val="nil"/>
                    <w:bottom w:val="single" w:sz="8" w:space="0" w:color="auto"/>
                    <w:right w:val="single" w:sz="8" w:space="0" w:color="auto"/>
                  </w:tcBorders>
                  <w:vAlign w:val="center"/>
                  <w:hideMark/>
                </w:tcPr>
                <w:p w14:paraId="0402C7CF"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79B806F8"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5</w:t>
                  </w:r>
                </w:p>
              </w:tc>
            </w:tr>
            <w:tr w:rsidR="00C943C6" w:rsidRPr="00590D62" w14:paraId="73A73C43" w14:textId="77777777">
              <w:trPr>
                <w:trHeight w:val="300"/>
                <w:jc w:val="center"/>
              </w:trPr>
              <w:tc>
                <w:tcPr>
                  <w:tcW w:w="1200" w:type="dxa"/>
                  <w:tcBorders>
                    <w:top w:val="nil"/>
                    <w:left w:val="single" w:sz="8" w:space="0" w:color="auto"/>
                    <w:bottom w:val="single" w:sz="8" w:space="0" w:color="auto"/>
                    <w:right w:val="single" w:sz="8" w:space="0" w:color="auto"/>
                  </w:tcBorders>
                  <w:vAlign w:val="center"/>
                  <w:hideMark/>
                </w:tcPr>
                <w:p w14:paraId="56EC6A13" w14:textId="77777777" w:rsidR="00C943C6" w:rsidRPr="00922C2B"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922C2B">
                    <w:rPr>
                      <w:rFonts w:ascii="Times New Roman" w:eastAsia="Times New Roman" w:hAnsi="Times New Roman" w:cs="Times New Roman"/>
                      <w:color w:val="000000"/>
                      <w:sz w:val="20"/>
                      <w:szCs w:val="20"/>
                      <w:lang w:eastAsia="es-CO"/>
                    </w:rPr>
                    <w:t>7,66</w:t>
                  </w:r>
                </w:p>
              </w:tc>
              <w:tc>
                <w:tcPr>
                  <w:tcW w:w="1200" w:type="dxa"/>
                  <w:tcBorders>
                    <w:top w:val="nil"/>
                    <w:left w:val="nil"/>
                    <w:bottom w:val="single" w:sz="8" w:space="0" w:color="auto"/>
                    <w:right w:val="single" w:sz="8" w:space="0" w:color="auto"/>
                  </w:tcBorders>
                  <w:vAlign w:val="center"/>
                  <w:hideMark/>
                </w:tcPr>
                <w:p w14:paraId="46AE3C75"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25524160"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9</w:t>
                  </w:r>
                </w:p>
              </w:tc>
              <w:tc>
                <w:tcPr>
                  <w:tcW w:w="1200" w:type="dxa"/>
                  <w:tcBorders>
                    <w:top w:val="nil"/>
                    <w:left w:val="nil"/>
                    <w:bottom w:val="single" w:sz="8" w:space="0" w:color="auto"/>
                    <w:right w:val="single" w:sz="8" w:space="0" w:color="auto"/>
                  </w:tcBorders>
                  <w:vAlign w:val="center"/>
                  <w:hideMark/>
                </w:tcPr>
                <w:p w14:paraId="5FA2D6CA"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3</w:t>
                  </w:r>
                </w:p>
              </w:tc>
              <w:tc>
                <w:tcPr>
                  <w:tcW w:w="1200" w:type="dxa"/>
                  <w:tcBorders>
                    <w:top w:val="nil"/>
                    <w:left w:val="nil"/>
                    <w:bottom w:val="single" w:sz="8" w:space="0" w:color="auto"/>
                    <w:right w:val="single" w:sz="8" w:space="0" w:color="auto"/>
                  </w:tcBorders>
                  <w:vAlign w:val="center"/>
                  <w:hideMark/>
                </w:tcPr>
                <w:p w14:paraId="0516F833"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5D3C76D2"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12</w:t>
                  </w:r>
                </w:p>
              </w:tc>
            </w:tr>
            <w:tr w:rsidR="00C943C6" w:rsidRPr="00590D62" w14:paraId="4E8D9406" w14:textId="77777777">
              <w:trPr>
                <w:trHeight w:val="300"/>
                <w:jc w:val="center"/>
              </w:trPr>
              <w:tc>
                <w:tcPr>
                  <w:tcW w:w="1200" w:type="dxa"/>
                  <w:tcBorders>
                    <w:top w:val="nil"/>
                    <w:left w:val="single" w:sz="8" w:space="0" w:color="auto"/>
                    <w:bottom w:val="single" w:sz="8" w:space="0" w:color="auto"/>
                    <w:right w:val="single" w:sz="8" w:space="0" w:color="auto"/>
                  </w:tcBorders>
                  <w:vAlign w:val="center"/>
                  <w:hideMark/>
                </w:tcPr>
                <w:p w14:paraId="71BFDEB5" w14:textId="77777777" w:rsidR="00C943C6" w:rsidRPr="00922C2B"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922C2B">
                    <w:rPr>
                      <w:rFonts w:ascii="Times New Roman" w:eastAsia="Times New Roman" w:hAnsi="Times New Roman" w:cs="Times New Roman"/>
                      <w:color w:val="000000"/>
                      <w:sz w:val="20"/>
                      <w:szCs w:val="20"/>
                      <w:lang w:eastAsia="es-CO"/>
                    </w:rPr>
                    <w:t>8</w:t>
                  </w:r>
                </w:p>
              </w:tc>
              <w:tc>
                <w:tcPr>
                  <w:tcW w:w="1200" w:type="dxa"/>
                  <w:tcBorders>
                    <w:top w:val="nil"/>
                    <w:left w:val="nil"/>
                    <w:bottom w:val="single" w:sz="8" w:space="0" w:color="auto"/>
                    <w:right w:val="single" w:sz="8" w:space="0" w:color="auto"/>
                  </w:tcBorders>
                  <w:vAlign w:val="center"/>
                  <w:hideMark/>
                </w:tcPr>
                <w:p w14:paraId="68CFB612"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0388B52C"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1</w:t>
                  </w:r>
                </w:p>
              </w:tc>
              <w:tc>
                <w:tcPr>
                  <w:tcW w:w="1200" w:type="dxa"/>
                  <w:tcBorders>
                    <w:top w:val="nil"/>
                    <w:left w:val="nil"/>
                    <w:bottom w:val="single" w:sz="8" w:space="0" w:color="auto"/>
                    <w:right w:val="single" w:sz="8" w:space="0" w:color="auto"/>
                  </w:tcBorders>
                  <w:vAlign w:val="center"/>
                  <w:hideMark/>
                </w:tcPr>
                <w:p w14:paraId="2E9B0A4A"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0CE6804B"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01D474B2"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1</w:t>
                  </w:r>
                </w:p>
              </w:tc>
            </w:tr>
            <w:tr w:rsidR="00C943C6" w:rsidRPr="00590D62" w14:paraId="48F09055" w14:textId="77777777">
              <w:trPr>
                <w:trHeight w:val="300"/>
                <w:jc w:val="center"/>
              </w:trPr>
              <w:tc>
                <w:tcPr>
                  <w:tcW w:w="1200" w:type="dxa"/>
                  <w:tcBorders>
                    <w:top w:val="nil"/>
                    <w:left w:val="single" w:sz="8" w:space="0" w:color="auto"/>
                    <w:bottom w:val="single" w:sz="8" w:space="0" w:color="auto"/>
                    <w:right w:val="single" w:sz="8" w:space="0" w:color="auto"/>
                  </w:tcBorders>
                  <w:vAlign w:val="center"/>
                  <w:hideMark/>
                </w:tcPr>
                <w:p w14:paraId="28748F56" w14:textId="77777777" w:rsidR="00C943C6" w:rsidRPr="00922C2B"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922C2B">
                    <w:rPr>
                      <w:rFonts w:ascii="Times New Roman" w:eastAsia="Times New Roman" w:hAnsi="Times New Roman" w:cs="Times New Roman"/>
                      <w:color w:val="000000"/>
                      <w:sz w:val="20"/>
                      <w:szCs w:val="20"/>
                      <w:lang w:eastAsia="es-CO"/>
                    </w:rPr>
                    <w:t>8,66</w:t>
                  </w:r>
                </w:p>
              </w:tc>
              <w:tc>
                <w:tcPr>
                  <w:tcW w:w="1200" w:type="dxa"/>
                  <w:tcBorders>
                    <w:top w:val="nil"/>
                    <w:left w:val="nil"/>
                    <w:bottom w:val="single" w:sz="8" w:space="0" w:color="auto"/>
                    <w:right w:val="single" w:sz="8" w:space="0" w:color="auto"/>
                  </w:tcBorders>
                  <w:vAlign w:val="center"/>
                  <w:hideMark/>
                </w:tcPr>
                <w:p w14:paraId="1AABA8F7"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467DD396"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9</w:t>
                  </w:r>
                </w:p>
              </w:tc>
              <w:tc>
                <w:tcPr>
                  <w:tcW w:w="1200" w:type="dxa"/>
                  <w:tcBorders>
                    <w:top w:val="nil"/>
                    <w:left w:val="nil"/>
                    <w:bottom w:val="single" w:sz="8" w:space="0" w:color="auto"/>
                    <w:right w:val="single" w:sz="8" w:space="0" w:color="auto"/>
                  </w:tcBorders>
                  <w:vAlign w:val="center"/>
                  <w:hideMark/>
                </w:tcPr>
                <w:p w14:paraId="642B02BF"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3</w:t>
                  </w:r>
                </w:p>
              </w:tc>
              <w:tc>
                <w:tcPr>
                  <w:tcW w:w="1200" w:type="dxa"/>
                  <w:tcBorders>
                    <w:top w:val="nil"/>
                    <w:left w:val="nil"/>
                    <w:bottom w:val="single" w:sz="8" w:space="0" w:color="auto"/>
                    <w:right w:val="single" w:sz="8" w:space="0" w:color="auto"/>
                  </w:tcBorders>
                  <w:vAlign w:val="center"/>
                  <w:hideMark/>
                </w:tcPr>
                <w:p w14:paraId="611550BF"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09C796CB"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12</w:t>
                  </w:r>
                </w:p>
              </w:tc>
            </w:tr>
            <w:tr w:rsidR="00C943C6" w:rsidRPr="00590D62" w14:paraId="65297B4E" w14:textId="77777777">
              <w:trPr>
                <w:trHeight w:val="300"/>
                <w:jc w:val="center"/>
              </w:trPr>
              <w:tc>
                <w:tcPr>
                  <w:tcW w:w="1200" w:type="dxa"/>
                  <w:tcBorders>
                    <w:top w:val="nil"/>
                    <w:left w:val="single" w:sz="8" w:space="0" w:color="auto"/>
                    <w:bottom w:val="single" w:sz="8" w:space="0" w:color="auto"/>
                    <w:right w:val="single" w:sz="8" w:space="0" w:color="auto"/>
                  </w:tcBorders>
                  <w:vAlign w:val="center"/>
                  <w:hideMark/>
                </w:tcPr>
                <w:p w14:paraId="4FDDFB9F" w14:textId="77777777" w:rsidR="00C943C6" w:rsidRPr="00922C2B"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922C2B">
                    <w:rPr>
                      <w:rFonts w:ascii="Times New Roman" w:eastAsia="Times New Roman" w:hAnsi="Times New Roman" w:cs="Times New Roman"/>
                      <w:color w:val="000000"/>
                      <w:sz w:val="20"/>
                      <w:szCs w:val="20"/>
                      <w:lang w:eastAsia="es-CO"/>
                    </w:rPr>
                    <w:t>9,66</w:t>
                  </w:r>
                </w:p>
              </w:tc>
              <w:tc>
                <w:tcPr>
                  <w:tcW w:w="1200" w:type="dxa"/>
                  <w:tcBorders>
                    <w:top w:val="nil"/>
                    <w:left w:val="nil"/>
                    <w:bottom w:val="single" w:sz="8" w:space="0" w:color="auto"/>
                    <w:right w:val="single" w:sz="8" w:space="0" w:color="auto"/>
                  </w:tcBorders>
                  <w:vAlign w:val="center"/>
                  <w:hideMark/>
                </w:tcPr>
                <w:p w14:paraId="120AEE70"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4869F2D6"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27</w:t>
                  </w:r>
                </w:p>
              </w:tc>
              <w:tc>
                <w:tcPr>
                  <w:tcW w:w="1200" w:type="dxa"/>
                  <w:tcBorders>
                    <w:top w:val="nil"/>
                    <w:left w:val="nil"/>
                    <w:bottom w:val="single" w:sz="8" w:space="0" w:color="auto"/>
                    <w:right w:val="single" w:sz="8" w:space="0" w:color="auto"/>
                  </w:tcBorders>
                  <w:vAlign w:val="center"/>
                  <w:hideMark/>
                </w:tcPr>
                <w:p w14:paraId="2395E5C5"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92</w:t>
                  </w:r>
                </w:p>
              </w:tc>
              <w:tc>
                <w:tcPr>
                  <w:tcW w:w="1200" w:type="dxa"/>
                  <w:tcBorders>
                    <w:top w:val="nil"/>
                    <w:left w:val="nil"/>
                    <w:bottom w:val="single" w:sz="8" w:space="0" w:color="auto"/>
                    <w:right w:val="single" w:sz="8" w:space="0" w:color="auto"/>
                  </w:tcBorders>
                  <w:vAlign w:val="center"/>
                  <w:hideMark/>
                </w:tcPr>
                <w:p w14:paraId="489C6ADE"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3</w:t>
                  </w:r>
                </w:p>
              </w:tc>
              <w:tc>
                <w:tcPr>
                  <w:tcW w:w="1200" w:type="dxa"/>
                  <w:tcBorders>
                    <w:top w:val="nil"/>
                    <w:left w:val="nil"/>
                    <w:bottom w:val="single" w:sz="8" w:space="0" w:color="auto"/>
                    <w:right w:val="single" w:sz="8" w:space="0" w:color="auto"/>
                  </w:tcBorders>
                  <w:vAlign w:val="center"/>
                  <w:hideMark/>
                </w:tcPr>
                <w:p w14:paraId="33BC983F"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122</w:t>
                  </w:r>
                </w:p>
              </w:tc>
            </w:tr>
            <w:tr w:rsidR="00C943C6" w:rsidRPr="00590D62" w14:paraId="0735073F" w14:textId="77777777">
              <w:trPr>
                <w:trHeight w:val="300"/>
                <w:jc w:val="center"/>
              </w:trPr>
              <w:tc>
                <w:tcPr>
                  <w:tcW w:w="1200" w:type="dxa"/>
                  <w:tcBorders>
                    <w:top w:val="nil"/>
                    <w:left w:val="single" w:sz="8" w:space="0" w:color="auto"/>
                    <w:bottom w:val="single" w:sz="8" w:space="0" w:color="auto"/>
                    <w:right w:val="single" w:sz="8" w:space="0" w:color="auto"/>
                  </w:tcBorders>
                  <w:vAlign w:val="center"/>
                  <w:hideMark/>
                </w:tcPr>
                <w:p w14:paraId="036C580D" w14:textId="77777777" w:rsidR="00C943C6" w:rsidRPr="00922C2B"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922C2B">
                    <w:rPr>
                      <w:rFonts w:ascii="Times New Roman" w:eastAsia="Times New Roman" w:hAnsi="Times New Roman" w:cs="Times New Roman"/>
                      <w:color w:val="000000"/>
                      <w:sz w:val="20"/>
                      <w:szCs w:val="20"/>
                      <w:lang w:eastAsia="es-CO"/>
                    </w:rPr>
                    <w:t>10,62</w:t>
                  </w:r>
                </w:p>
              </w:tc>
              <w:tc>
                <w:tcPr>
                  <w:tcW w:w="1200" w:type="dxa"/>
                  <w:tcBorders>
                    <w:top w:val="nil"/>
                    <w:left w:val="nil"/>
                    <w:bottom w:val="single" w:sz="8" w:space="0" w:color="auto"/>
                    <w:right w:val="single" w:sz="8" w:space="0" w:color="auto"/>
                  </w:tcBorders>
                  <w:vAlign w:val="center"/>
                  <w:hideMark/>
                </w:tcPr>
                <w:p w14:paraId="6E7A8FBC"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6EE91528"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7EDD9517"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2</w:t>
                  </w:r>
                </w:p>
              </w:tc>
              <w:tc>
                <w:tcPr>
                  <w:tcW w:w="1200" w:type="dxa"/>
                  <w:tcBorders>
                    <w:top w:val="nil"/>
                    <w:left w:val="nil"/>
                    <w:bottom w:val="single" w:sz="8" w:space="0" w:color="auto"/>
                    <w:right w:val="single" w:sz="8" w:space="0" w:color="auto"/>
                  </w:tcBorders>
                  <w:vAlign w:val="center"/>
                  <w:hideMark/>
                </w:tcPr>
                <w:p w14:paraId="15AD9369"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3EFCE6F4"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2</w:t>
                  </w:r>
                </w:p>
              </w:tc>
            </w:tr>
            <w:tr w:rsidR="00C943C6" w:rsidRPr="005E70A5" w14:paraId="7D869658" w14:textId="77777777">
              <w:trPr>
                <w:trHeight w:val="300"/>
                <w:jc w:val="center"/>
              </w:trPr>
              <w:tc>
                <w:tcPr>
                  <w:tcW w:w="1200" w:type="dxa"/>
                  <w:tcBorders>
                    <w:top w:val="nil"/>
                    <w:left w:val="single" w:sz="8" w:space="0" w:color="auto"/>
                    <w:bottom w:val="single" w:sz="8" w:space="0" w:color="auto"/>
                    <w:right w:val="single" w:sz="8" w:space="0" w:color="auto"/>
                  </w:tcBorders>
                  <w:vAlign w:val="center"/>
                </w:tcPr>
                <w:p w14:paraId="18639EE2" w14:textId="77777777" w:rsidR="00C943C6" w:rsidRPr="00922C2B"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922C2B">
                    <w:rPr>
                      <w:rFonts w:ascii="Times New Roman" w:eastAsia="Times New Roman" w:hAnsi="Times New Roman" w:cs="Times New Roman"/>
                      <w:color w:val="000000"/>
                      <w:sz w:val="20"/>
                      <w:szCs w:val="20"/>
                      <w:lang w:eastAsia="es-CO"/>
                    </w:rPr>
                    <w:t>11,04</w:t>
                  </w:r>
                </w:p>
              </w:tc>
              <w:tc>
                <w:tcPr>
                  <w:tcW w:w="1200" w:type="dxa"/>
                  <w:tcBorders>
                    <w:top w:val="nil"/>
                    <w:left w:val="nil"/>
                    <w:bottom w:val="single" w:sz="8" w:space="0" w:color="auto"/>
                    <w:right w:val="single" w:sz="8" w:space="0" w:color="auto"/>
                  </w:tcBorders>
                  <w:vAlign w:val="center"/>
                </w:tcPr>
                <w:p w14:paraId="40D2F0E9"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tcPr>
                <w:p w14:paraId="7770E5F2"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70</w:t>
                  </w:r>
                </w:p>
              </w:tc>
              <w:tc>
                <w:tcPr>
                  <w:tcW w:w="1200" w:type="dxa"/>
                  <w:tcBorders>
                    <w:top w:val="nil"/>
                    <w:left w:val="nil"/>
                    <w:bottom w:val="single" w:sz="8" w:space="0" w:color="auto"/>
                    <w:right w:val="single" w:sz="8" w:space="0" w:color="auto"/>
                  </w:tcBorders>
                  <w:vAlign w:val="center"/>
                </w:tcPr>
                <w:p w14:paraId="413263CF"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109</w:t>
                  </w:r>
                </w:p>
              </w:tc>
              <w:tc>
                <w:tcPr>
                  <w:tcW w:w="1200" w:type="dxa"/>
                  <w:tcBorders>
                    <w:top w:val="nil"/>
                    <w:left w:val="nil"/>
                    <w:bottom w:val="single" w:sz="8" w:space="0" w:color="auto"/>
                    <w:right w:val="single" w:sz="8" w:space="0" w:color="auto"/>
                  </w:tcBorders>
                  <w:vAlign w:val="center"/>
                </w:tcPr>
                <w:p w14:paraId="452BCF72"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3</w:t>
                  </w:r>
                </w:p>
              </w:tc>
              <w:tc>
                <w:tcPr>
                  <w:tcW w:w="1200" w:type="dxa"/>
                  <w:tcBorders>
                    <w:top w:val="nil"/>
                    <w:left w:val="nil"/>
                    <w:bottom w:val="single" w:sz="8" w:space="0" w:color="auto"/>
                    <w:right w:val="single" w:sz="8" w:space="0" w:color="auto"/>
                  </w:tcBorders>
                  <w:vAlign w:val="center"/>
                </w:tcPr>
                <w:p w14:paraId="3CC21AB0"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182</w:t>
                  </w:r>
                </w:p>
              </w:tc>
            </w:tr>
            <w:tr w:rsidR="00C943C6" w:rsidRPr="00590D62" w14:paraId="1BFB7DBA" w14:textId="77777777">
              <w:trPr>
                <w:trHeight w:val="300"/>
                <w:jc w:val="center"/>
              </w:trPr>
              <w:tc>
                <w:tcPr>
                  <w:tcW w:w="1200" w:type="dxa"/>
                  <w:tcBorders>
                    <w:top w:val="nil"/>
                    <w:left w:val="single" w:sz="8" w:space="0" w:color="auto"/>
                    <w:bottom w:val="single" w:sz="8" w:space="0" w:color="auto"/>
                    <w:right w:val="single" w:sz="8" w:space="0" w:color="auto"/>
                  </w:tcBorders>
                  <w:vAlign w:val="center"/>
                  <w:hideMark/>
                </w:tcPr>
                <w:p w14:paraId="2F42A7F4" w14:textId="77777777" w:rsidR="00C943C6" w:rsidRPr="00922C2B"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922C2B">
                    <w:rPr>
                      <w:rFonts w:ascii="Times New Roman" w:eastAsia="Times New Roman" w:hAnsi="Times New Roman" w:cs="Times New Roman"/>
                      <w:color w:val="000000"/>
                      <w:sz w:val="20"/>
                      <w:szCs w:val="20"/>
                      <w:lang w:eastAsia="es-CO"/>
                    </w:rPr>
                    <w:t>12,14</w:t>
                  </w:r>
                </w:p>
              </w:tc>
              <w:tc>
                <w:tcPr>
                  <w:tcW w:w="1200" w:type="dxa"/>
                  <w:tcBorders>
                    <w:top w:val="nil"/>
                    <w:left w:val="nil"/>
                    <w:bottom w:val="single" w:sz="8" w:space="0" w:color="auto"/>
                    <w:right w:val="single" w:sz="8" w:space="0" w:color="auto"/>
                  </w:tcBorders>
                  <w:vAlign w:val="center"/>
                  <w:hideMark/>
                </w:tcPr>
                <w:p w14:paraId="2B320A64"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39C5747F"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671301A1"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1</w:t>
                  </w:r>
                </w:p>
              </w:tc>
              <w:tc>
                <w:tcPr>
                  <w:tcW w:w="1200" w:type="dxa"/>
                  <w:tcBorders>
                    <w:top w:val="nil"/>
                    <w:left w:val="nil"/>
                    <w:bottom w:val="single" w:sz="8" w:space="0" w:color="auto"/>
                    <w:right w:val="single" w:sz="8" w:space="0" w:color="auto"/>
                  </w:tcBorders>
                  <w:vAlign w:val="center"/>
                  <w:hideMark/>
                </w:tcPr>
                <w:p w14:paraId="5F3260FE"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2ABFD282"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1</w:t>
                  </w:r>
                </w:p>
              </w:tc>
            </w:tr>
            <w:tr w:rsidR="00C943C6" w:rsidRPr="00590D62" w14:paraId="12EAE206" w14:textId="77777777">
              <w:trPr>
                <w:trHeight w:val="300"/>
                <w:jc w:val="center"/>
              </w:trPr>
              <w:tc>
                <w:tcPr>
                  <w:tcW w:w="1200" w:type="dxa"/>
                  <w:tcBorders>
                    <w:top w:val="nil"/>
                    <w:left w:val="single" w:sz="8" w:space="0" w:color="auto"/>
                    <w:bottom w:val="single" w:sz="8" w:space="0" w:color="auto"/>
                    <w:right w:val="single" w:sz="8" w:space="0" w:color="auto"/>
                  </w:tcBorders>
                  <w:vAlign w:val="center"/>
                  <w:hideMark/>
                </w:tcPr>
                <w:p w14:paraId="1A12FA66" w14:textId="77777777" w:rsidR="00C943C6" w:rsidRPr="00922C2B"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922C2B">
                    <w:rPr>
                      <w:rFonts w:ascii="Times New Roman" w:eastAsia="Times New Roman" w:hAnsi="Times New Roman" w:cs="Times New Roman"/>
                      <w:color w:val="000000"/>
                      <w:sz w:val="20"/>
                      <w:szCs w:val="20"/>
                      <w:lang w:eastAsia="es-CO"/>
                    </w:rPr>
                    <w:t>13,8</w:t>
                  </w:r>
                </w:p>
              </w:tc>
              <w:tc>
                <w:tcPr>
                  <w:tcW w:w="1200" w:type="dxa"/>
                  <w:tcBorders>
                    <w:top w:val="nil"/>
                    <w:left w:val="nil"/>
                    <w:bottom w:val="single" w:sz="8" w:space="0" w:color="auto"/>
                    <w:right w:val="single" w:sz="8" w:space="0" w:color="auto"/>
                  </w:tcBorders>
                  <w:vAlign w:val="center"/>
                  <w:hideMark/>
                </w:tcPr>
                <w:p w14:paraId="651CECE0"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21B834B4"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32CAA360"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21</w:t>
                  </w:r>
                </w:p>
              </w:tc>
              <w:tc>
                <w:tcPr>
                  <w:tcW w:w="1200" w:type="dxa"/>
                  <w:tcBorders>
                    <w:top w:val="nil"/>
                    <w:left w:val="nil"/>
                    <w:bottom w:val="single" w:sz="8" w:space="0" w:color="auto"/>
                    <w:right w:val="single" w:sz="8" w:space="0" w:color="auto"/>
                  </w:tcBorders>
                  <w:vAlign w:val="center"/>
                  <w:hideMark/>
                </w:tcPr>
                <w:p w14:paraId="22EA6661"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8</w:t>
                  </w:r>
                </w:p>
              </w:tc>
              <w:tc>
                <w:tcPr>
                  <w:tcW w:w="1200" w:type="dxa"/>
                  <w:tcBorders>
                    <w:top w:val="nil"/>
                    <w:left w:val="nil"/>
                    <w:bottom w:val="single" w:sz="8" w:space="0" w:color="auto"/>
                    <w:right w:val="single" w:sz="8" w:space="0" w:color="auto"/>
                  </w:tcBorders>
                  <w:vAlign w:val="center"/>
                  <w:hideMark/>
                </w:tcPr>
                <w:p w14:paraId="15665C2D"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29</w:t>
                  </w:r>
                </w:p>
              </w:tc>
            </w:tr>
            <w:tr w:rsidR="00C943C6" w:rsidRPr="00590D62" w14:paraId="019C1027" w14:textId="77777777">
              <w:trPr>
                <w:trHeight w:val="300"/>
                <w:jc w:val="center"/>
              </w:trPr>
              <w:tc>
                <w:tcPr>
                  <w:tcW w:w="1200" w:type="dxa"/>
                  <w:tcBorders>
                    <w:top w:val="nil"/>
                    <w:left w:val="single" w:sz="8" w:space="0" w:color="auto"/>
                    <w:bottom w:val="single" w:sz="8" w:space="0" w:color="auto"/>
                    <w:right w:val="single" w:sz="8" w:space="0" w:color="auto"/>
                  </w:tcBorders>
                  <w:vAlign w:val="center"/>
                  <w:hideMark/>
                </w:tcPr>
                <w:p w14:paraId="57EDB215" w14:textId="77777777" w:rsidR="00C943C6" w:rsidRPr="00922C2B"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922C2B">
                    <w:rPr>
                      <w:rFonts w:ascii="Times New Roman" w:eastAsia="Times New Roman" w:hAnsi="Times New Roman" w:cs="Times New Roman"/>
                      <w:color w:val="000000"/>
                      <w:sz w:val="20"/>
                      <w:szCs w:val="20"/>
                      <w:lang w:eastAsia="es-CO"/>
                    </w:rPr>
                    <w:t>14</w:t>
                  </w:r>
                </w:p>
              </w:tc>
              <w:tc>
                <w:tcPr>
                  <w:tcW w:w="1200" w:type="dxa"/>
                  <w:tcBorders>
                    <w:top w:val="nil"/>
                    <w:left w:val="nil"/>
                    <w:bottom w:val="single" w:sz="8" w:space="0" w:color="auto"/>
                    <w:right w:val="single" w:sz="8" w:space="0" w:color="auto"/>
                  </w:tcBorders>
                  <w:vAlign w:val="center"/>
                  <w:hideMark/>
                </w:tcPr>
                <w:p w14:paraId="54D5A86B"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23AAF414"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1</w:t>
                  </w:r>
                </w:p>
              </w:tc>
              <w:tc>
                <w:tcPr>
                  <w:tcW w:w="1200" w:type="dxa"/>
                  <w:tcBorders>
                    <w:top w:val="nil"/>
                    <w:left w:val="nil"/>
                    <w:bottom w:val="single" w:sz="8" w:space="0" w:color="auto"/>
                    <w:right w:val="single" w:sz="8" w:space="0" w:color="auto"/>
                  </w:tcBorders>
                  <w:vAlign w:val="center"/>
                  <w:hideMark/>
                </w:tcPr>
                <w:p w14:paraId="7062699F"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0</w:t>
                  </w:r>
                </w:p>
              </w:tc>
              <w:tc>
                <w:tcPr>
                  <w:tcW w:w="1200" w:type="dxa"/>
                  <w:tcBorders>
                    <w:top w:val="nil"/>
                    <w:left w:val="nil"/>
                    <w:bottom w:val="single" w:sz="8" w:space="0" w:color="auto"/>
                    <w:right w:val="single" w:sz="8" w:space="0" w:color="auto"/>
                  </w:tcBorders>
                  <w:vAlign w:val="center"/>
                  <w:hideMark/>
                </w:tcPr>
                <w:p w14:paraId="0A7AE81C"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27</w:t>
                  </w:r>
                </w:p>
              </w:tc>
              <w:tc>
                <w:tcPr>
                  <w:tcW w:w="1200" w:type="dxa"/>
                  <w:tcBorders>
                    <w:top w:val="nil"/>
                    <w:left w:val="nil"/>
                    <w:bottom w:val="single" w:sz="8" w:space="0" w:color="auto"/>
                    <w:right w:val="single" w:sz="8" w:space="0" w:color="auto"/>
                  </w:tcBorders>
                  <w:vAlign w:val="center"/>
                  <w:hideMark/>
                </w:tcPr>
                <w:p w14:paraId="28272AA7" w14:textId="77777777" w:rsidR="00C943C6" w:rsidRPr="00B05A72" w:rsidRDefault="00C943C6" w:rsidP="00C943C6">
                  <w:pPr>
                    <w:spacing w:after="0" w:line="240" w:lineRule="auto"/>
                    <w:jc w:val="center"/>
                    <w:rPr>
                      <w:rFonts w:ascii="Times New Roman" w:eastAsia="Times New Roman" w:hAnsi="Times New Roman" w:cs="Times New Roman"/>
                      <w:color w:val="000000"/>
                      <w:sz w:val="20"/>
                      <w:szCs w:val="20"/>
                      <w:lang w:eastAsia="es-CO"/>
                    </w:rPr>
                  </w:pPr>
                  <w:r w:rsidRPr="00B05A72">
                    <w:rPr>
                      <w:rFonts w:ascii="Times New Roman" w:hAnsi="Times New Roman" w:cs="Times New Roman"/>
                      <w:sz w:val="20"/>
                      <w:szCs w:val="20"/>
                    </w:rPr>
                    <w:t>28</w:t>
                  </w:r>
                </w:p>
              </w:tc>
            </w:tr>
            <w:tr w:rsidR="00C943C6" w:rsidRPr="00590D62" w14:paraId="5D85595D" w14:textId="77777777">
              <w:trPr>
                <w:trHeight w:val="300"/>
                <w:jc w:val="center"/>
              </w:trPr>
              <w:tc>
                <w:tcPr>
                  <w:tcW w:w="1200" w:type="dxa"/>
                  <w:tcBorders>
                    <w:top w:val="nil"/>
                    <w:left w:val="single" w:sz="8" w:space="0" w:color="auto"/>
                    <w:bottom w:val="single" w:sz="8" w:space="0" w:color="auto"/>
                    <w:right w:val="single" w:sz="8" w:space="0" w:color="auto"/>
                  </w:tcBorders>
                  <w:shd w:val="clear" w:color="000000" w:fill="002060"/>
                  <w:vAlign w:val="center"/>
                  <w:hideMark/>
                </w:tcPr>
                <w:p w14:paraId="5B246695" w14:textId="77777777" w:rsidR="00C943C6" w:rsidRPr="00922C2B" w:rsidRDefault="00C943C6" w:rsidP="00C943C6">
                  <w:pPr>
                    <w:spacing w:after="0" w:line="240" w:lineRule="auto"/>
                    <w:jc w:val="center"/>
                    <w:rPr>
                      <w:rFonts w:ascii="Times New Roman" w:eastAsia="Times New Roman" w:hAnsi="Times New Roman" w:cs="Times New Roman"/>
                      <w:color w:val="FFFFFF"/>
                      <w:sz w:val="20"/>
                      <w:szCs w:val="20"/>
                      <w:lang w:eastAsia="es-CO"/>
                    </w:rPr>
                  </w:pPr>
                  <w:r w:rsidRPr="00922C2B">
                    <w:rPr>
                      <w:rFonts w:ascii="Times New Roman" w:eastAsia="Times New Roman" w:hAnsi="Times New Roman" w:cs="Times New Roman"/>
                      <w:color w:val="FFFFFF"/>
                      <w:sz w:val="20"/>
                      <w:szCs w:val="20"/>
                      <w:lang w:eastAsia="es-CO"/>
                    </w:rPr>
                    <w:t>Total general</w:t>
                  </w:r>
                </w:p>
              </w:tc>
              <w:tc>
                <w:tcPr>
                  <w:tcW w:w="1200" w:type="dxa"/>
                  <w:tcBorders>
                    <w:top w:val="nil"/>
                    <w:left w:val="nil"/>
                    <w:bottom w:val="single" w:sz="8" w:space="0" w:color="auto"/>
                    <w:right w:val="single" w:sz="8" w:space="0" w:color="auto"/>
                  </w:tcBorders>
                  <w:shd w:val="clear" w:color="000000" w:fill="002060"/>
                  <w:vAlign w:val="center"/>
                  <w:hideMark/>
                </w:tcPr>
                <w:p w14:paraId="1E8047BC" w14:textId="77777777" w:rsidR="00C943C6" w:rsidRPr="00B05A72" w:rsidRDefault="00C943C6" w:rsidP="00C943C6">
                  <w:pPr>
                    <w:spacing w:after="0" w:line="240" w:lineRule="auto"/>
                    <w:jc w:val="center"/>
                    <w:rPr>
                      <w:rFonts w:ascii="Times New Roman" w:eastAsia="Times New Roman" w:hAnsi="Times New Roman" w:cs="Times New Roman"/>
                      <w:color w:val="FFFFFF" w:themeColor="background1"/>
                      <w:sz w:val="20"/>
                      <w:szCs w:val="20"/>
                      <w:lang w:eastAsia="es-CO"/>
                    </w:rPr>
                  </w:pPr>
                  <w:r w:rsidRPr="00B05A72">
                    <w:rPr>
                      <w:rFonts w:ascii="Times New Roman" w:hAnsi="Times New Roman" w:cs="Times New Roman"/>
                      <w:sz w:val="20"/>
                      <w:szCs w:val="20"/>
                    </w:rPr>
                    <w:t>54</w:t>
                  </w:r>
                </w:p>
              </w:tc>
              <w:tc>
                <w:tcPr>
                  <w:tcW w:w="1200" w:type="dxa"/>
                  <w:tcBorders>
                    <w:top w:val="nil"/>
                    <w:left w:val="nil"/>
                    <w:bottom w:val="single" w:sz="8" w:space="0" w:color="auto"/>
                    <w:right w:val="single" w:sz="8" w:space="0" w:color="auto"/>
                  </w:tcBorders>
                  <w:shd w:val="clear" w:color="000000" w:fill="002060"/>
                  <w:vAlign w:val="center"/>
                  <w:hideMark/>
                </w:tcPr>
                <w:p w14:paraId="3A4CC1ED" w14:textId="77777777" w:rsidR="00C943C6" w:rsidRPr="00B05A72" w:rsidRDefault="00C943C6" w:rsidP="00C943C6">
                  <w:pPr>
                    <w:spacing w:after="0" w:line="240" w:lineRule="auto"/>
                    <w:jc w:val="center"/>
                    <w:rPr>
                      <w:rFonts w:ascii="Times New Roman" w:eastAsia="Times New Roman" w:hAnsi="Times New Roman" w:cs="Times New Roman"/>
                      <w:color w:val="FFFFFF" w:themeColor="background1"/>
                      <w:sz w:val="20"/>
                      <w:szCs w:val="20"/>
                      <w:lang w:eastAsia="es-CO"/>
                    </w:rPr>
                  </w:pPr>
                  <w:r w:rsidRPr="00B05A72">
                    <w:rPr>
                      <w:rFonts w:ascii="Times New Roman" w:hAnsi="Times New Roman" w:cs="Times New Roman"/>
                      <w:sz w:val="20"/>
                      <w:szCs w:val="20"/>
                    </w:rPr>
                    <w:t>144</w:t>
                  </w:r>
                </w:p>
              </w:tc>
              <w:tc>
                <w:tcPr>
                  <w:tcW w:w="1200" w:type="dxa"/>
                  <w:tcBorders>
                    <w:top w:val="nil"/>
                    <w:left w:val="nil"/>
                    <w:bottom w:val="single" w:sz="8" w:space="0" w:color="auto"/>
                    <w:right w:val="single" w:sz="8" w:space="0" w:color="auto"/>
                  </w:tcBorders>
                  <w:shd w:val="clear" w:color="000000" w:fill="002060"/>
                  <w:vAlign w:val="center"/>
                  <w:hideMark/>
                </w:tcPr>
                <w:p w14:paraId="2DB877A4" w14:textId="77777777" w:rsidR="00C943C6" w:rsidRPr="00B05A72" w:rsidRDefault="00C943C6" w:rsidP="00C943C6">
                  <w:pPr>
                    <w:spacing w:after="0" w:line="240" w:lineRule="auto"/>
                    <w:jc w:val="center"/>
                    <w:rPr>
                      <w:rFonts w:ascii="Times New Roman" w:eastAsia="Times New Roman" w:hAnsi="Times New Roman" w:cs="Times New Roman"/>
                      <w:color w:val="FFFFFF" w:themeColor="background1"/>
                      <w:sz w:val="20"/>
                      <w:szCs w:val="20"/>
                      <w:lang w:eastAsia="es-CO"/>
                    </w:rPr>
                  </w:pPr>
                  <w:r w:rsidRPr="00B05A72">
                    <w:rPr>
                      <w:rFonts w:ascii="Times New Roman" w:hAnsi="Times New Roman" w:cs="Times New Roman"/>
                      <w:sz w:val="20"/>
                      <w:szCs w:val="20"/>
                    </w:rPr>
                    <w:t>251</w:t>
                  </w:r>
                </w:p>
              </w:tc>
              <w:tc>
                <w:tcPr>
                  <w:tcW w:w="1200" w:type="dxa"/>
                  <w:tcBorders>
                    <w:top w:val="nil"/>
                    <w:left w:val="nil"/>
                    <w:bottom w:val="single" w:sz="8" w:space="0" w:color="auto"/>
                    <w:right w:val="single" w:sz="8" w:space="0" w:color="auto"/>
                  </w:tcBorders>
                  <w:shd w:val="clear" w:color="000000" w:fill="002060"/>
                  <w:vAlign w:val="center"/>
                  <w:hideMark/>
                </w:tcPr>
                <w:p w14:paraId="18D2A08D" w14:textId="77777777" w:rsidR="00C943C6" w:rsidRPr="00B05A72" w:rsidRDefault="00C943C6" w:rsidP="00C943C6">
                  <w:pPr>
                    <w:spacing w:after="0" w:line="240" w:lineRule="auto"/>
                    <w:jc w:val="center"/>
                    <w:rPr>
                      <w:rFonts w:ascii="Times New Roman" w:eastAsia="Times New Roman" w:hAnsi="Times New Roman" w:cs="Times New Roman"/>
                      <w:color w:val="FFFFFF" w:themeColor="background1"/>
                      <w:sz w:val="20"/>
                      <w:szCs w:val="20"/>
                      <w:lang w:eastAsia="es-CO"/>
                    </w:rPr>
                  </w:pPr>
                  <w:r w:rsidRPr="00B05A72">
                    <w:rPr>
                      <w:rFonts w:ascii="Times New Roman" w:hAnsi="Times New Roman" w:cs="Times New Roman"/>
                      <w:sz w:val="20"/>
                      <w:szCs w:val="20"/>
                    </w:rPr>
                    <w:t>41</w:t>
                  </w:r>
                </w:p>
              </w:tc>
              <w:tc>
                <w:tcPr>
                  <w:tcW w:w="1200" w:type="dxa"/>
                  <w:tcBorders>
                    <w:top w:val="nil"/>
                    <w:left w:val="nil"/>
                    <w:bottom w:val="single" w:sz="8" w:space="0" w:color="auto"/>
                    <w:right w:val="single" w:sz="8" w:space="0" w:color="auto"/>
                  </w:tcBorders>
                  <w:shd w:val="clear" w:color="000000" w:fill="002060"/>
                  <w:vAlign w:val="center"/>
                  <w:hideMark/>
                </w:tcPr>
                <w:p w14:paraId="6366101F" w14:textId="77777777" w:rsidR="00C943C6" w:rsidRPr="00B05A72" w:rsidRDefault="00C943C6" w:rsidP="00C943C6">
                  <w:pPr>
                    <w:spacing w:after="0" w:line="240" w:lineRule="auto"/>
                    <w:jc w:val="center"/>
                    <w:rPr>
                      <w:rFonts w:ascii="Times New Roman" w:eastAsia="Times New Roman" w:hAnsi="Times New Roman" w:cs="Times New Roman"/>
                      <w:color w:val="FFFFFF" w:themeColor="background1"/>
                      <w:sz w:val="20"/>
                      <w:szCs w:val="20"/>
                      <w:lang w:eastAsia="es-CO"/>
                    </w:rPr>
                  </w:pPr>
                  <w:r w:rsidRPr="00B05A72">
                    <w:rPr>
                      <w:rFonts w:ascii="Times New Roman" w:hAnsi="Times New Roman" w:cs="Times New Roman"/>
                      <w:sz w:val="20"/>
                      <w:szCs w:val="20"/>
                    </w:rPr>
                    <w:t>490</w:t>
                  </w:r>
                </w:p>
              </w:tc>
            </w:tr>
          </w:tbl>
          <w:p w14:paraId="5FC23866" w14:textId="77777777" w:rsidR="00C943C6" w:rsidRPr="009D74A3" w:rsidRDefault="00C943C6" w:rsidP="00C943C6">
            <w:pPr>
              <w:pStyle w:val="paragraph"/>
              <w:spacing w:before="0" w:beforeAutospacing="0" w:after="0" w:afterAutospacing="0"/>
              <w:ind w:left="351" w:firstLine="1701"/>
              <w:jc w:val="both"/>
              <w:textAlignment w:val="baseline"/>
              <w:outlineLvl w:val="2"/>
              <w:rPr>
                <w:sz w:val="32"/>
                <w:szCs w:val="32"/>
              </w:rPr>
            </w:pPr>
            <w:r w:rsidRPr="009D74A3">
              <w:rPr>
                <w:rStyle w:val="normaltextrun"/>
                <w:rFonts w:ascii="Times New Roman" w:hAnsi="Times New Roman" w:cs="Times New Roman"/>
                <w:b/>
                <w:bCs/>
                <w:sz w:val="20"/>
                <w:szCs w:val="20"/>
              </w:rPr>
              <w:t>Fuente:</w:t>
            </w:r>
            <w:r w:rsidRPr="009D74A3">
              <w:rPr>
                <w:rStyle w:val="normaltextrun"/>
                <w:rFonts w:ascii="Times New Roman" w:hAnsi="Times New Roman" w:cs="Times New Roman"/>
                <w:sz w:val="20"/>
                <w:szCs w:val="20"/>
              </w:rPr>
              <w:t xml:space="preserve"> Secretaría Distrital de Hacienda</w:t>
            </w:r>
            <w:r>
              <w:rPr>
                <w:rStyle w:val="eop"/>
              </w:rPr>
              <w:t>.</w:t>
            </w:r>
          </w:p>
          <w:p w14:paraId="38FA854F" w14:textId="77777777" w:rsidR="00C943C6" w:rsidRPr="009D74A3" w:rsidRDefault="00C943C6" w:rsidP="00C943C6">
            <w:pPr>
              <w:contextualSpacing/>
              <w:jc w:val="both"/>
              <w:rPr>
                <w:rFonts w:ascii="Times New Roman" w:hAnsi="Times New Roman" w:cs="Times New Roman"/>
              </w:rPr>
            </w:pPr>
          </w:p>
          <w:p w14:paraId="7DD902E2" w14:textId="77777777" w:rsidR="00C943C6" w:rsidRPr="009D74A3" w:rsidRDefault="00C943C6" w:rsidP="00C943C6">
            <w:pPr>
              <w:contextualSpacing/>
              <w:jc w:val="both"/>
              <w:rPr>
                <w:rFonts w:ascii="Times New Roman" w:hAnsi="Times New Roman" w:cs="Times New Roman"/>
                <w:sz w:val="24"/>
                <w:szCs w:val="24"/>
              </w:rPr>
            </w:pPr>
            <w:r w:rsidRPr="46221FE5">
              <w:rPr>
                <w:rFonts w:ascii="Times New Roman" w:hAnsi="Times New Roman" w:cs="Times New Roman"/>
                <w:sz w:val="24"/>
                <w:szCs w:val="24"/>
              </w:rPr>
              <w:t>La tabla 1</w:t>
            </w:r>
            <w:r>
              <w:rPr>
                <w:rFonts w:ascii="Times New Roman" w:hAnsi="Times New Roman" w:cs="Times New Roman"/>
                <w:sz w:val="24"/>
                <w:szCs w:val="24"/>
              </w:rPr>
              <w:t>5</w:t>
            </w:r>
            <w:r w:rsidRPr="46221FE5">
              <w:rPr>
                <w:rFonts w:ascii="Times New Roman" w:hAnsi="Times New Roman" w:cs="Times New Roman"/>
                <w:sz w:val="24"/>
                <w:szCs w:val="24"/>
              </w:rPr>
              <w:t xml:space="preserve"> muestra el número de actividades económicas con las que las empresas liquidaron ICA teniendo en cuanta la tarifa actual y</w:t>
            </w:r>
            <w:r>
              <w:rPr>
                <w:rFonts w:ascii="Times New Roman" w:hAnsi="Times New Roman" w:cs="Times New Roman"/>
                <w:sz w:val="24"/>
                <w:szCs w:val="24"/>
              </w:rPr>
              <w:t>,</w:t>
            </w:r>
            <w:r w:rsidRPr="46221FE5">
              <w:rPr>
                <w:rFonts w:ascii="Times New Roman" w:hAnsi="Times New Roman" w:cs="Times New Roman"/>
                <w:sz w:val="24"/>
                <w:szCs w:val="24"/>
              </w:rPr>
              <w:t xml:space="preserve"> en caso de adoptarse</w:t>
            </w:r>
            <w:r>
              <w:rPr>
                <w:rFonts w:ascii="Times New Roman" w:hAnsi="Times New Roman" w:cs="Times New Roman"/>
                <w:sz w:val="24"/>
                <w:szCs w:val="24"/>
              </w:rPr>
              <w:t>,</w:t>
            </w:r>
            <w:r w:rsidRPr="46221FE5">
              <w:rPr>
                <w:rFonts w:ascii="Times New Roman" w:hAnsi="Times New Roman" w:cs="Times New Roman"/>
                <w:sz w:val="24"/>
                <w:szCs w:val="24"/>
              </w:rPr>
              <w:t xml:space="preserve"> la aplicación de la propuesta. De las actividades que tenían tarifas superiores a 4,14, </w:t>
            </w:r>
            <w:r>
              <w:rPr>
                <w:rFonts w:ascii="Times New Roman" w:hAnsi="Times New Roman" w:cs="Times New Roman"/>
                <w:sz w:val="24"/>
                <w:szCs w:val="24"/>
              </w:rPr>
              <w:t>solo una</w:t>
            </w:r>
            <w:r w:rsidRPr="46221FE5">
              <w:rPr>
                <w:rFonts w:ascii="Times New Roman" w:hAnsi="Times New Roman" w:cs="Times New Roman"/>
                <w:sz w:val="24"/>
                <w:szCs w:val="24"/>
              </w:rPr>
              <w:t xml:space="preserve"> pasa a tarifa de 4; se resalta el hecho de 2</w:t>
            </w:r>
            <w:r>
              <w:rPr>
                <w:rFonts w:ascii="Times New Roman" w:hAnsi="Times New Roman" w:cs="Times New Roman"/>
                <w:sz w:val="24"/>
                <w:szCs w:val="24"/>
              </w:rPr>
              <w:t>1</w:t>
            </w:r>
            <w:r w:rsidRPr="46221FE5">
              <w:rPr>
                <w:rFonts w:ascii="Times New Roman" w:hAnsi="Times New Roman" w:cs="Times New Roman"/>
                <w:sz w:val="24"/>
                <w:szCs w:val="24"/>
              </w:rPr>
              <w:t xml:space="preserve"> actividades que tienen tarifa de 13,8 pasan a la tarifa general de 11 y </w:t>
            </w:r>
            <w:r>
              <w:rPr>
                <w:rFonts w:ascii="Times New Roman" w:hAnsi="Times New Roman" w:cs="Times New Roman"/>
                <w:sz w:val="24"/>
                <w:szCs w:val="24"/>
              </w:rPr>
              <w:t>70</w:t>
            </w:r>
            <w:r w:rsidRPr="46221FE5">
              <w:rPr>
                <w:rFonts w:ascii="Times New Roman" w:hAnsi="Times New Roman" w:cs="Times New Roman"/>
                <w:sz w:val="24"/>
                <w:szCs w:val="24"/>
              </w:rPr>
              <w:t xml:space="preserve"> actividades que actualmente manejan la tarifa de 11,04 pasan a tarifa 7, dado el planteamiento de priorización de tarifas que se desarrolla a continuación.</w:t>
            </w:r>
          </w:p>
          <w:p w14:paraId="572D53B1" w14:textId="77777777" w:rsidR="00A94DF0" w:rsidRPr="009D74A3" w:rsidRDefault="00A94DF0" w:rsidP="5EBA130B">
            <w:pPr>
              <w:contextualSpacing/>
              <w:jc w:val="both"/>
              <w:rPr>
                <w:rFonts w:ascii="Times New Roman" w:hAnsi="Times New Roman" w:cs="Times New Roman"/>
                <w:sz w:val="24"/>
                <w:szCs w:val="24"/>
              </w:rPr>
            </w:pPr>
          </w:p>
          <w:p w14:paraId="00F08D10" w14:textId="77777777" w:rsidR="00A94DF0" w:rsidRPr="009D74A3" w:rsidRDefault="00A94DF0" w:rsidP="00D02085">
            <w:pPr>
              <w:contextualSpacing/>
              <w:jc w:val="both"/>
              <w:rPr>
                <w:rFonts w:ascii="Times New Roman" w:hAnsi="Times New Roman" w:cs="Times New Roman"/>
                <w:sz w:val="24"/>
                <w:szCs w:val="24"/>
              </w:rPr>
            </w:pPr>
            <w:r w:rsidRPr="009D74A3">
              <w:rPr>
                <w:rFonts w:ascii="Times New Roman" w:hAnsi="Times New Roman" w:cs="Times New Roman"/>
                <w:sz w:val="24"/>
                <w:szCs w:val="24"/>
              </w:rPr>
              <w:t>Es preciso señalar igualmente que el tránsito hacia un esquema de tarifas nominales expresadas en números enteros corresponde con una práctica que se alinea con los principios de eficiencia administrativa, transparencia (claridad, comprensibilidad y previsibilidad de las normas tributarias) y simplificación tributaria, reconocidos como pilares de una buena política fiscal local. </w:t>
            </w:r>
          </w:p>
          <w:p w14:paraId="360AE981" w14:textId="77777777" w:rsidR="00A94DF0" w:rsidRPr="009D74A3" w:rsidRDefault="00A94DF0" w:rsidP="008B29A2">
            <w:pPr>
              <w:contextualSpacing/>
              <w:jc w:val="both"/>
              <w:rPr>
                <w:rFonts w:ascii="Times New Roman" w:hAnsi="Times New Roman" w:cs="Times New Roman"/>
                <w:b/>
                <w:sz w:val="24"/>
                <w:szCs w:val="24"/>
              </w:rPr>
            </w:pPr>
          </w:p>
          <w:p w14:paraId="5BACCAD2" w14:textId="3774EA9B" w:rsidR="00A94DF0" w:rsidRDefault="123D5121" w:rsidP="008B29A2">
            <w:pPr>
              <w:contextualSpacing/>
              <w:jc w:val="both"/>
              <w:rPr>
                <w:rFonts w:ascii="Times New Roman" w:hAnsi="Times New Roman" w:cs="Times New Roman"/>
                <w:sz w:val="24"/>
                <w:szCs w:val="24"/>
              </w:rPr>
            </w:pPr>
            <w:r w:rsidRPr="46221FE5">
              <w:rPr>
                <w:rFonts w:ascii="Times New Roman" w:hAnsi="Times New Roman" w:cs="Times New Roman"/>
                <w:sz w:val="24"/>
                <w:szCs w:val="24"/>
              </w:rPr>
              <w:t xml:space="preserve">Así las cosas, </w:t>
            </w:r>
            <w:r w:rsidR="69AEB626" w:rsidRPr="46221FE5">
              <w:rPr>
                <w:rFonts w:ascii="Times New Roman" w:hAnsi="Times New Roman" w:cs="Times New Roman"/>
                <w:sz w:val="24"/>
                <w:szCs w:val="24"/>
              </w:rPr>
              <w:t xml:space="preserve">a </w:t>
            </w:r>
            <w:r w:rsidR="00F57AB4" w:rsidRPr="46221FE5">
              <w:rPr>
                <w:rFonts w:ascii="Times New Roman" w:hAnsi="Times New Roman" w:cs="Times New Roman"/>
                <w:sz w:val="24"/>
                <w:szCs w:val="24"/>
              </w:rPr>
              <w:t>continuación,</w:t>
            </w:r>
            <w:r w:rsidR="69AEB626" w:rsidRPr="46221FE5">
              <w:rPr>
                <w:rFonts w:ascii="Times New Roman" w:hAnsi="Times New Roman" w:cs="Times New Roman"/>
                <w:sz w:val="24"/>
                <w:szCs w:val="24"/>
              </w:rPr>
              <w:t xml:space="preserve"> se presentan </w:t>
            </w:r>
            <w:r w:rsidR="0D51285C" w:rsidRPr="46221FE5">
              <w:rPr>
                <w:rFonts w:ascii="Times New Roman" w:hAnsi="Times New Roman" w:cs="Times New Roman"/>
                <w:sz w:val="24"/>
                <w:szCs w:val="24"/>
              </w:rPr>
              <w:t xml:space="preserve">las </w:t>
            </w:r>
            <w:r w:rsidR="00E10A80">
              <w:rPr>
                <w:rFonts w:ascii="Times New Roman" w:hAnsi="Times New Roman" w:cs="Times New Roman"/>
                <w:sz w:val="24"/>
                <w:szCs w:val="24"/>
              </w:rPr>
              <w:t>actividades</w:t>
            </w:r>
            <w:r w:rsidR="0069212F">
              <w:rPr>
                <w:rFonts w:ascii="Times New Roman" w:hAnsi="Times New Roman" w:cs="Times New Roman"/>
                <w:sz w:val="24"/>
                <w:szCs w:val="24"/>
              </w:rPr>
              <w:t xml:space="preserve"> priorizadas</w:t>
            </w:r>
            <w:r w:rsidR="0D51285C" w:rsidRPr="46221FE5">
              <w:rPr>
                <w:rFonts w:ascii="Times New Roman" w:hAnsi="Times New Roman" w:cs="Times New Roman"/>
                <w:sz w:val="24"/>
                <w:szCs w:val="24"/>
              </w:rPr>
              <w:t xml:space="preserve"> </w:t>
            </w:r>
            <w:r w:rsidR="00355CA1">
              <w:rPr>
                <w:rFonts w:ascii="Times New Roman" w:hAnsi="Times New Roman" w:cs="Times New Roman"/>
                <w:sz w:val="24"/>
                <w:szCs w:val="24"/>
              </w:rPr>
              <w:t xml:space="preserve">con la tarifa del 7 por mil en </w:t>
            </w:r>
            <w:r w:rsidR="1D9A5E5C" w:rsidRPr="46221FE5">
              <w:rPr>
                <w:rFonts w:ascii="Times New Roman" w:hAnsi="Times New Roman" w:cs="Times New Roman"/>
                <w:sz w:val="24"/>
                <w:szCs w:val="24"/>
              </w:rPr>
              <w:t>el impuesto de industria y comercio</w:t>
            </w:r>
            <w:r w:rsidR="746C634E" w:rsidRPr="46221FE5">
              <w:rPr>
                <w:rFonts w:ascii="Times New Roman" w:hAnsi="Times New Roman" w:cs="Times New Roman"/>
                <w:sz w:val="24"/>
                <w:szCs w:val="24"/>
              </w:rPr>
              <w:t>:</w:t>
            </w:r>
          </w:p>
          <w:p w14:paraId="75F99A64" w14:textId="77777777" w:rsidR="004119B3" w:rsidRPr="009D74A3" w:rsidRDefault="004119B3" w:rsidP="008B29A2">
            <w:pPr>
              <w:contextualSpacing/>
              <w:jc w:val="both"/>
              <w:rPr>
                <w:rFonts w:ascii="Times New Roman" w:hAnsi="Times New Roman" w:cs="Times New Roman"/>
              </w:rPr>
            </w:pPr>
          </w:p>
          <w:p w14:paraId="726A5E7E" w14:textId="53FE9803" w:rsidR="004208C3" w:rsidRPr="009D74A3" w:rsidRDefault="00A94DF0" w:rsidP="004E2B2A">
            <w:pPr>
              <w:contextualSpacing/>
              <w:jc w:val="center"/>
              <w:rPr>
                <w:rFonts w:ascii="Times New Roman" w:hAnsi="Times New Roman" w:cs="Times New Roman"/>
                <w:b/>
              </w:rPr>
            </w:pPr>
            <w:r w:rsidRPr="009D74A3">
              <w:rPr>
                <w:rFonts w:ascii="Times New Roman" w:hAnsi="Times New Roman" w:cs="Times New Roman"/>
                <w:b/>
                <w:bCs/>
              </w:rPr>
              <w:t xml:space="preserve">Tabla </w:t>
            </w:r>
            <w:r w:rsidR="004E2B2A" w:rsidRPr="009D74A3">
              <w:rPr>
                <w:rFonts w:ascii="Times New Roman" w:hAnsi="Times New Roman" w:cs="Times New Roman"/>
                <w:b/>
              </w:rPr>
              <w:t>1</w:t>
            </w:r>
            <w:r w:rsidR="00DE3630">
              <w:rPr>
                <w:rFonts w:ascii="Times New Roman" w:hAnsi="Times New Roman" w:cs="Times New Roman"/>
                <w:b/>
              </w:rPr>
              <w:t>6</w:t>
            </w:r>
          </w:p>
          <w:p w14:paraId="4BC96ABE" w14:textId="6D44AABC" w:rsidR="008A4BA2" w:rsidRDefault="00A94DF0" w:rsidP="008A4BA2">
            <w:pPr>
              <w:contextualSpacing/>
              <w:jc w:val="center"/>
              <w:rPr>
                <w:rFonts w:ascii="Times New Roman" w:hAnsi="Times New Roman" w:cs="Times New Roman"/>
                <w:b/>
                <w:bCs/>
              </w:rPr>
            </w:pPr>
            <w:r w:rsidRPr="00F87BEC">
              <w:rPr>
                <w:rFonts w:ascii="Times New Roman" w:hAnsi="Times New Roman" w:cs="Times New Roman"/>
                <w:b/>
              </w:rPr>
              <w:t xml:space="preserve">Clases económicas priorizadas a la tarifa </w:t>
            </w:r>
            <w:r w:rsidR="00355CA1">
              <w:rPr>
                <w:rFonts w:ascii="Times New Roman" w:hAnsi="Times New Roman" w:cs="Times New Roman"/>
                <w:b/>
              </w:rPr>
              <w:t>del 7 por mil en el ICA</w:t>
            </w:r>
          </w:p>
          <w:p w14:paraId="66310B74" w14:textId="77777777" w:rsidR="008A4BA2" w:rsidRDefault="008A4BA2" w:rsidP="008A4BA2">
            <w:pPr>
              <w:contextualSpacing/>
              <w:jc w:val="center"/>
              <w:rPr>
                <w:rFonts w:ascii="Times New Roman" w:hAnsi="Times New Roman" w:cs="Times New Roman"/>
                <w:b/>
                <w:bCs/>
              </w:rPr>
            </w:pPr>
          </w:p>
          <w:tbl>
            <w:tblPr>
              <w:tblW w:w="8540" w:type="dxa"/>
              <w:jc w:val="center"/>
              <w:tblLayout w:type="fixed"/>
              <w:tblCellMar>
                <w:left w:w="70" w:type="dxa"/>
                <w:right w:w="70" w:type="dxa"/>
              </w:tblCellMar>
              <w:tblLook w:val="04A0" w:firstRow="1" w:lastRow="0" w:firstColumn="1" w:lastColumn="0" w:noHBand="0" w:noVBand="1"/>
            </w:tblPr>
            <w:tblGrid>
              <w:gridCol w:w="8540"/>
            </w:tblGrid>
            <w:tr w:rsidR="008A4BA2" w:rsidRPr="00F64637" w14:paraId="6E67236C" w14:textId="77777777">
              <w:trPr>
                <w:trHeight w:val="580"/>
                <w:jc w:val="center"/>
              </w:trPr>
              <w:tc>
                <w:tcPr>
                  <w:tcW w:w="8540" w:type="dxa"/>
                  <w:tcBorders>
                    <w:top w:val="single" w:sz="4" w:space="0" w:color="auto"/>
                    <w:left w:val="single" w:sz="4" w:space="0" w:color="auto"/>
                    <w:bottom w:val="single" w:sz="4" w:space="0" w:color="auto"/>
                    <w:right w:val="single" w:sz="4" w:space="0" w:color="auto"/>
                  </w:tcBorders>
                  <w:shd w:val="clear" w:color="000000" w:fill="0B3040"/>
                  <w:vAlign w:val="center"/>
                  <w:hideMark/>
                </w:tcPr>
                <w:p w14:paraId="01CB46C8" w14:textId="77777777" w:rsidR="008A4BA2" w:rsidRPr="008A4BA2" w:rsidRDefault="008A4BA2" w:rsidP="008A4BA2">
                  <w:pPr>
                    <w:spacing w:after="0" w:line="240" w:lineRule="auto"/>
                    <w:jc w:val="center"/>
                    <w:rPr>
                      <w:rFonts w:ascii="Times New Roman" w:eastAsia="Times New Roman" w:hAnsi="Times New Roman" w:cs="Times New Roman"/>
                      <w:b/>
                      <w:bCs/>
                      <w:color w:val="FFFFFF"/>
                      <w:sz w:val="20"/>
                      <w:szCs w:val="20"/>
                      <w:lang w:eastAsia="es-CO"/>
                    </w:rPr>
                  </w:pPr>
                  <w:r w:rsidRPr="008A4BA2">
                    <w:rPr>
                      <w:rFonts w:ascii="Times New Roman" w:eastAsia="Times New Roman" w:hAnsi="Times New Roman" w:cs="Times New Roman"/>
                      <w:b/>
                      <w:bCs/>
                      <w:color w:val="FFFFFF"/>
                      <w:sz w:val="20"/>
                      <w:szCs w:val="20"/>
                      <w:lang w:eastAsia="es-CO"/>
                    </w:rPr>
                    <w:t>ACTIIVIDAD ECONOMICA</w:t>
                  </w:r>
                </w:p>
              </w:tc>
            </w:tr>
            <w:tr w:rsidR="008A4BA2" w:rsidRPr="00F64637" w14:paraId="368C8D17" w14:textId="77777777">
              <w:trPr>
                <w:trHeight w:val="580"/>
                <w:jc w:val="center"/>
              </w:trPr>
              <w:tc>
                <w:tcPr>
                  <w:tcW w:w="8540" w:type="dxa"/>
                  <w:tcBorders>
                    <w:top w:val="nil"/>
                    <w:left w:val="single" w:sz="4" w:space="0" w:color="auto"/>
                    <w:bottom w:val="single" w:sz="4" w:space="0" w:color="auto"/>
                    <w:right w:val="single" w:sz="4" w:space="0" w:color="auto"/>
                  </w:tcBorders>
                  <w:vAlign w:val="center"/>
                  <w:hideMark/>
                </w:tcPr>
                <w:p w14:paraId="05C6CBFE"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Comercio al por menor de prendas de vestir y sus accesorios (incluye artículos de piel) en establecimientos especializados</w:t>
                  </w:r>
                </w:p>
              </w:tc>
            </w:tr>
            <w:tr w:rsidR="008A4BA2" w:rsidRPr="00F64637" w14:paraId="25E40A8A" w14:textId="77777777">
              <w:trPr>
                <w:trHeight w:val="580"/>
                <w:jc w:val="center"/>
              </w:trPr>
              <w:tc>
                <w:tcPr>
                  <w:tcW w:w="8540" w:type="dxa"/>
                  <w:tcBorders>
                    <w:top w:val="nil"/>
                    <w:left w:val="single" w:sz="4" w:space="0" w:color="auto"/>
                    <w:bottom w:val="single" w:sz="4" w:space="0" w:color="auto"/>
                    <w:right w:val="single" w:sz="4" w:space="0" w:color="auto"/>
                  </w:tcBorders>
                  <w:vAlign w:val="center"/>
                  <w:hideMark/>
                </w:tcPr>
                <w:p w14:paraId="490D7F93"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Comercio al por menor de todo tipo de calzado y artículos de cuero y sucedáneos del cuero en establecimientos especializados</w:t>
                  </w:r>
                </w:p>
              </w:tc>
            </w:tr>
            <w:tr w:rsidR="008A4BA2" w:rsidRPr="00F64637" w14:paraId="7C5A665E" w14:textId="77777777">
              <w:trPr>
                <w:trHeight w:val="580"/>
                <w:jc w:val="center"/>
              </w:trPr>
              <w:tc>
                <w:tcPr>
                  <w:tcW w:w="8540" w:type="dxa"/>
                  <w:tcBorders>
                    <w:top w:val="nil"/>
                    <w:left w:val="single" w:sz="4" w:space="0" w:color="auto"/>
                    <w:bottom w:val="single" w:sz="4" w:space="0" w:color="auto"/>
                    <w:right w:val="single" w:sz="4" w:space="0" w:color="auto"/>
                  </w:tcBorders>
                  <w:vAlign w:val="center"/>
                  <w:hideMark/>
                </w:tcPr>
                <w:p w14:paraId="38750555"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Comercio de materiales de construcción, artículos de ferretería, pinturas, productos de vidrio, equipo y materiales de fontanería y calefacción</w:t>
                  </w:r>
                </w:p>
              </w:tc>
            </w:tr>
            <w:tr w:rsidR="008A4BA2" w:rsidRPr="00F64637" w14:paraId="70B7624F" w14:textId="77777777">
              <w:trPr>
                <w:trHeight w:val="580"/>
                <w:jc w:val="center"/>
              </w:trPr>
              <w:tc>
                <w:tcPr>
                  <w:tcW w:w="8540" w:type="dxa"/>
                  <w:tcBorders>
                    <w:top w:val="nil"/>
                    <w:left w:val="single" w:sz="4" w:space="0" w:color="auto"/>
                    <w:bottom w:val="single" w:sz="4" w:space="0" w:color="auto"/>
                    <w:right w:val="single" w:sz="4" w:space="0" w:color="auto"/>
                  </w:tcBorders>
                  <w:vAlign w:val="center"/>
                  <w:hideMark/>
                </w:tcPr>
                <w:p w14:paraId="331611D8"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Comercio de productos textiles, productos confeccionados para uso doméstico, prendas de vestir y calzado, en puestos de venta móviles</w:t>
                  </w:r>
                </w:p>
              </w:tc>
            </w:tr>
            <w:tr w:rsidR="008A4BA2" w:rsidRPr="00F64637" w14:paraId="218EDF6D"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46435E8B"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financieras de fondos de empleados y otras formas asociativas del sector solidario</w:t>
                  </w:r>
                </w:p>
              </w:tc>
            </w:tr>
            <w:tr w:rsidR="008A4BA2" w:rsidRPr="00F64637" w14:paraId="7C9BFA36"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11E25C7"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Acabado de productos textiles</w:t>
                  </w:r>
                </w:p>
              </w:tc>
            </w:tr>
            <w:tr w:rsidR="008A4BA2" w:rsidRPr="00F64637" w14:paraId="181AD110"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6DAEF4B"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grabación de sonido y edición de música</w:t>
                  </w:r>
                </w:p>
              </w:tc>
            </w:tr>
            <w:tr w:rsidR="008A4BA2" w:rsidRPr="00F64637" w14:paraId="56546EAA" w14:textId="77777777">
              <w:trPr>
                <w:trHeight w:val="580"/>
                <w:jc w:val="center"/>
              </w:trPr>
              <w:tc>
                <w:tcPr>
                  <w:tcW w:w="8540" w:type="dxa"/>
                  <w:tcBorders>
                    <w:top w:val="nil"/>
                    <w:left w:val="single" w:sz="4" w:space="0" w:color="auto"/>
                    <w:bottom w:val="single" w:sz="4" w:space="0" w:color="auto"/>
                    <w:right w:val="single" w:sz="4" w:space="0" w:color="auto"/>
                  </w:tcBorders>
                  <w:vAlign w:val="center"/>
                  <w:hideMark/>
                </w:tcPr>
                <w:p w14:paraId="57D30ADC"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postproducción de películas cinematográficas, videos, programas, anuncios y comerciales de televisión</w:t>
                  </w:r>
                </w:p>
              </w:tc>
            </w:tr>
            <w:tr w:rsidR="008A4BA2" w:rsidRPr="00F64637" w14:paraId="5A63476A" w14:textId="77777777">
              <w:trPr>
                <w:trHeight w:val="580"/>
                <w:jc w:val="center"/>
              </w:trPr>
              <w:tc>
                <w:tcPr>
                  <w:tcW w:w="8540" w:type="dxa"/>
                  <w:tcBorders>
                    <w:top w:val="nil"/>
                    <w:left w:val="single" w:sz="4" w:space="0" w:color="auto"/>
                    <w:bottom w:val="single" w:sz="4" w:space="0" w:color="auto"/>
                    <w:right w:val="single" w:sz="4" w:space="0" w:color="auto"/>
                  </w:tcBorders>
                  <w:vAlign w:val="center"/>
                  <w:hideMark/>
                </w:tcPr>
                <w:p w14:paraId="00265A4F"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producción de películas cinematográficas, videos, programas, anuncios y comerciales de televisión</w:t>
                  </w:r>
                </w:p>
              </w:tc>
            </w:tr>
            <w:tr w:rsidR="008A4BA2" w:rsidRPr="00F64637" w14:paraId="75011F30"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2DB788A0"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Confección de artículos con materiales textiles, excepto prendas de vestir</w:t>
                  </w:r>
                </w:p>
              </w:tc>
            </w:tr>
            <w:tr w:rsidR="008A4BA2" w:rsidRPr="00F64637" w14:paraId="43BC26F1"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47167610"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Construcción de barcos y de estructuras flotantes</w:t>
                  </w:r>
                </w:p>
              </w:tc>
            </w:tr>
            <w:tr w:rsidR="008A4BA2" w:rsidRPr="00F64637" w14:paraId="33206A70"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242ED14E"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Construcción de embarcaciones de recreo y deporte</w:t>
                  </w:r>
                </w:p>
              </w:tc>
            </w:tr>
            <w:tr w:rsidR="008A4BA2" w:rsidRPr="00F64637" w14:paraId="031F06CC"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7DA02100"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Curtido y recurtido de cueros; recurtido y teñido de pieles</w:t>
                  </w:r>
                </w:p>
              </w:tc>
            </w:tr>
            <w:tr w:rsidR="008A4BA2" w:rsidRPr="00F64637" w14:paraId="3B1C9095"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58547515"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Edición de programas de informática (software)</w:t>
                  </w:r>
                </w:p>
              </w:tc>
            </w:tr>
            <w:tr w:rsidR="008A4BA2" w:rsidRPr="00F64637" w14:paraId="1C2B69E2"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51E36876"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Edición y publicación de libros</w:t>
                  </w:r>
                </w:p>
              </w:tc>
            </w:tr>
            <w:tr w:rsidR="008A4BA2" w:rsidRPr="00F64637" w14:paraId="6AE2873F" w14:textId="77777777">
              <w:trPr>
                <w:trHeight w:val="580"/>
                <w:jc w:val="center"/>
              </w:trPr>
              <w:tc>
                <w:tcPr>
                  <w:tcW w:w="8540" w:type="dxa"/>
                  <w:tcBorders>
                    <w:top w:val="nil"/>
                    <w:left w:val="single" w:sz="4" w:space="0" w:color="auto"/>
                    <w:bottom w:val="single" w:sz="4" w:space="0" w:color="auto"/>
                    <w:right w:val="single" w:sz="4" w:space="0" w:color="auto"/>
                  </w:tcBorders>
                  <w:vAlign w:val="center"/>
                  <w:hideMark/>
                </w:tcPr>
                <w:p w14:paraId="4889D5F9"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Edición y publicación de libros (Tarifa especial para los contribuyentes que cumplen condiciones del Acuerdo 98 de 2003)</w:t>
                  </w:r>
                </w:p>
              </w:tc>
            </w:tr>
            <w:tr w:rsidR="008A4BA2" w:rsidRPr="00F64637" w14:paraId="2964B174"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F6B7B45"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Elaboración de bebidas lácteas</w:t>
                  </w:r>
                </w:p>
              </w:tc>
            </w:tr>
            <w:tr w:rsidR="008A4BA2" w:rsidRPr="00F64637" w14:paraId="52E62DD1"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16F86923"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Elaboración de jugos de frutas</w:t>
                  </w:r>
                </w:p>
              </w:tc>
            </w:tr>
            <w:tr w:rsidR="008A4BA2" w:rsidRPr="00F64637" w14:paraId="253BDA54"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63789D6A"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abonos y compuestos inorgánicos nitrogenados</w:t>
                  </w:r>
                </w:p>
              </w:tc>
            </w:tr>
            <w:tr w:rsidR="008A4BA2" w:rsidRPr="00F64637" w14:paraId="49E00623"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43394CC"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aeronaves, naves espaciales y de maquinaria conexa</w:t>
                  </w:r>
                </w:p>
              </w:tc>
            </w:tr>
            <w:tr w:rsidR="008A4BA2" w:rsidRPr="00F64637" w14:paraId="0212CAAE"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3258571D"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aparatos de distribución y control de la energía eléctrica</w:t>
                  </w:r>
                </w:p>
              </w:tc>
            </w:tr>
            <w:tr w:rsidR="008A4BA2" w:rsidRPr="00F64637" w14:paraId="70F0C92F"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25F63234"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aparatos electrónicos de consumo</w:t>
                  </w:r>
                </w:p>
              </w:tc>
            </w:tr>
            <w:tr w:rsidR="008A4BA2" w:rsidRPr="00F64637" w14:paraId="5323C929"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60630E2D"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artículos de cuchillería, herramientas de mano y artículos de ferretería</w:t>
                  </w:r>
                </w:p>
              </w:tc>
            </w:tr>
            <w:tr w:rsidR="008A4BA2" w:rsidRPr="00F64637" w14:paraId="6D46A933" w14:textId="77777777">
              <w:trPr>
                <w:trHeight w:val="580"/>
                <w:jc w:val="center"/>
              </w:trPr>
              <w:tc>
                <w:tcPr>
                  <w:tcW w:w="8540" w:type="dxa"/>
                  <w:tcBorders>
                    <w:top w:val="nil"/>
                    <w:left w:val="single" w:sz="4" w:space="0" w:color="auto"/>
                    <w:bottom w:val="single" w:sz="4" w:space="0" w:color="auto"/>
                    <w:right w:val="single" w:sz="4" w:space="0" w:color="auto"/>
                  </w:tcBorders>
                  <w:vAlign w:val="center"/>
                  <w:hideMark/>
                </w:tcPr>
                <w:p w14:paraId="1EE90A8E"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artículos de viaje, bolsos de mano y artículos similares elaborados en cuero, y fabricación de artículos de talabartería y guarnicionería</w:t>
                  </w:r>
                </w:p>
              </w:tc>
            </w:tr>
            <w:tr w:rsidR="008A4BA2" w:rsidRPr="00F64637" w14:paraId="0BB9B0BA" w14:textId="77777777">
              <w:trPr>
                <w:trHeight w:val="580"/>
                <w:jc w:val="center"/>
              </w:trPr>
              <w:tc>
                <w:tcPr>
                  <w:tcW w:w="8540" w:type="dxa"/>
                  <w:tcBorders>
                    <w:top w:val="nil"/>
                    <w:left w:val="single" w:sz="4" w:space="0" w:color="auto"/>
                    <w:bottom w:val="single" w:sz="4" w:space="0" w:color="auto"/>
                    <w:right w:val="single" w:sz="4" w:space="0" w:color="auto"/>
                  </w:tcBorders>
                  <w:vAlign w:val="center"/>
                  <w:hideMark/>
                </w:tcPr>
                <w:p w14:paraId="4AD5EB89"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artículos de viaje, bolsos de mano y artículos similares; artículos de talabartería y guarnicionería elaborados en otros materiales</w:t>
                  </w:r>
                </w:p>
              </w:tc>
            </w:tr>
            <w:tr w:rsidR="008A4BA2" w:rsidRPr="00F64637" w14:paraId="1BF4428A"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6DBD8DC2"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artículos y equipo para la práctica del deporte</w:t>
                  </w:r>
                </w:p>
              </w:tc>
            </w:tr>
            <w:tr w:rsidR="008A4BA2" w:rsidRPr="00F64637" w14:paraId="73C9D7B3" w14:textId="77777777">
              <w:trPr>
                <w:trHeight w:val="580"/>
                <w:jc w:val="center"/>
              </w:trPr>
              <w:tc>
                <w:tcPr>
                  <w:tcW w:w="8540" w:type="dxa"/>
                  <w:tcBorders>
                    <w:top w:val="nil"/>
                    <w:left w:val="single" w:sz="4" w:space="0" w:color="auto"/>
                    <w:bottom w:val="single" w:sz="4" w:space="0" w:color="auto"/>
                    <w:right w:val="single" w:sz="4" w:space="0" w:color="auto"/>
                  </w:tcBorders>
                  <w:vAlign w:val="center"/>
                  <w:hideMark/>
                </w:tcPr>
                <w:p w14:paraId="04A973BD"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carrocerías para vehículos automotores; fabricación de remolques y semirremolques</w:t>
                  </w:r>
                </w:p>
              </w:tc>
            </w:tr>
            <w:tr w:rsidR="008A4BA2" w:rsidRPr="00F64637" w14:paraId="349EC704"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2164D727"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caucho sintético en formas primarias</w:t>
                  </w:r>
                </w:p>
              </w:tc>
            </w:tr>
            <w:tr w:rsidR="008A4BA2" w:rsidRPr="00F64637" w14:paraId="6C5AE630"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4A45A1BF"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cojinetes, engranajes, trenes de engranajes y piezas de transmisión</w:t>
                  </w:r>
                </w:p>
              </w:tc>
            </w:tr>
            <w:tr w:rsidR="008A4BA2" w:rsidRPr="00F64637" w14:paraId="39722DD0"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763DBC6A"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componentes y tableros electrónicos</w:t>
                  </w:r>
                </w:p>
              </w:tc>
            </w:tr>
            <w:tr w:rsidR="008A4BA2" w:rsidRPr="00F64637" w14:paraId="797780F4"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6C544F6A"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computadoras y de equipo periférico</w:t>
                  </w:r>
                </w:p>
              </w:tc>
            </w:tr>
            <w:tr w:rsidR="008A4BA2" w:rsidRPr="00F64637" w14:paraId="6CDFA2DF"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789AFCC2"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cuerdas, cordeles, cables, bramantes y redes</w:t>
                  </w:r>
                </w:p>
              </w:tc>
            </w:tr>
            <w:tr w:rsidR="008A4BA2" w:rsidRPr="00F64637" w14:paraId="52CAA350"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5A7843B7"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equipo de elevación y manipulación</w:t>
                  </w:r>
                </w:p>
              </w:tc>
            </w:tr>
            <w:tr w:rsidR="008A4BA2" w:rsidRPr="00F64637" w14:paraId="5D3EB382"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42E81A1D"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equipo de medición, prueba, navegación y control</w:t>
                  </w:r>
                </w:p>
              </w:tc>
            </w:tr>
            <w:tr w:rsidR="008A4BA2" w:rsidRPr="00F64637" w14:paraId="528E0A29"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49796E6C"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equipos de comunicación</w:t>
                  </w:r>
                </w:p>
              </w:tc>
            </w:tr>
            <w:tr w:rsidR="008A4BA2" w:rsidRPr="00F64637" w14:paraId="6B85119C"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2E28BA6F"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equipos de potencia hidráulica y neumática</w:t>
                  </w:r>
                </w:p>
              </w:tc>
            </w:tr>
            <w:tr w:rsidR="008A4BA2" w:rsidRPr="00F64637" w14:paraId="30BEB4D2"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6B016CFA"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fibras sintéticas y artificiales</w:t>
                  </w:r>
                </w:p>
              </w:tc>
            </w:tr>
            <w:tr w:rsidR="008A4BA2" w:rsidRPr="00F64637" w14:paraId="6BD157D4"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1F2BBBD3"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formas básicas de caucho y otros productos de caucho n.c.p.</w:t>
                  </w:r>
                </w:p>
              </w:tc>
            </w:tr>
            <w:tr w:rsidR="008A4BA2" w:rsidRPr="00F64637" w14:paraId="3C2C61BB" w14:textId="77777777">
              <w:trPr>
                <w:trHeight w:val="580"/>
                <w:jc w:val="center"/>
              </w:trPr>
              <w:tc>
                <w:tcPr>
                  <w:tcW w:w="8540" w:type="dxa"/>
                  <w:tcBorders>
                    <w:top w:val="nil"/>
                    <w:left w:val="single" w:sz="4" w:space="0" w:color="auto"/>
                    <w:bottom w:val="single" w:sz="4" w:space="0" w:color="auto"/>
                    <w:right w:val="single" w:sz="4" w:space="0" w:color="auto"/>
                  </w:tcBorders>
                  <w:vAlign w:val="center"/>
                  <w:hideMark/>
                </w:tcPr>
                <w:p w14:paraId="59235979"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hojas de madera para enchapado; fabricación de tableros contrachapados, tableros laminados, tableros de partículas y otros tableros y paneles</w:t>
                  </w:r>
                </w:p>
              </w:tc>
            </w:tr>
            <w:tr w:rsidR="008A4BA2" w:rsidRPr="00F64637" w14:paraId="6AA41455"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DAE168F"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instrumentos musicales</w:t>
                  </w:r>
                </w:p>
              </w:tc>
            </w:tr>
            <w:tr w:rsidR="008A4BA2" w:rsidRPr="00F64637" w14:paraId="0E827AA4"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33ACFD69"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instrumentos ópticos y equipo fotográfico</w:t>
                  </w:r>
                </w:p>
              </w:tc>
            </w:tr>
            <w:tr w:rsidR="008A4BA2" w:rsidRPr="00F64637" w14:paraId="401A4F13" w14:textId="77777777">
              <w:trPr>
                <w:trHeight w:val="580"/>
                <w:jc w:val="center"/>
              </w:trPr>
              <w:tc>
                <w:tcPr>
                  <w:tcW w:w="8540" w:type="dxa"/>
                  <w:tcBorders>
                    <w:top w:val="nil"/>
                    <w:left w:val="single" w:sz="4" w:space="0" w:color="auto"/>
                    <w:bottom w:val="single" w:sz="4" w:space="0" w:color="auto"/>
                    <w:right w:val="single" w:sz="4" w:space="0" w:color="auto"/>
                  </w:tcBorders>
                  <w:vAlign w:val="center"/>
                  <w:hideMark/>
                </w:tcPr>
                <w:p w14:paraId="3EA7A2B8"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instrumentos, aparatos y materiales médicos y odontológicos (incluido mobiliario)</w:t>
                  </w:r>
                </w:p>
              </w:tc>
            </w:tr>
            <w:tr w:rsidR="008A4BA2" w:rsidRPr="00F64637" w14:paraId="77049307"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4C586AC3"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joyas, bisutería y artículos conexos</w:t>
                  </w:r>
                </w:p>
              </w:tc>
            </w:tr>
            <w:tr w:rsidR="008A4BA2" w:rsidRPr="00F64637" w14:paraId="03F6A5E7"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5896BBB"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juegos, juguetes y rompecabezas</w:t>
                  </w:r>
                </w:p>
              </w:tc>
            </w:tr>
            <w:tr w:rsidR="008A4BA2" w:rsidRPr="00F64637" w14:paraId="4DD130A2"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28472E8A"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locomotoras y de material rodante para ferrocarriles</w:t>
                  </w:r>
                </w:p>
              </w:tc>
            </w:tr>
            <w:tr w:rsidR="008A4BA2" w:rsidRPr="00F64637" w14:paraId="56B069D7"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6D43A225"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maquinaria agropecuaria y forestal</w:t>
                  </w:r>
                </w:p>
              </w:tc>
            </w:tr>
            <w:tr w:rsidR="008A4BA2" w:rsidRPr="00F64637" w14:paraId="4FE4362C"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48D93572"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máquinas formadoras de metal y de máquinas herramienta</w:t>
                  </w:r>
                </w:p>
              </w:tc>
            </w:tr>
            <w:tr w:rsidR="008A4BA2" w:rsidRPr="00F64637" w14:paraId="54D81A45"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0FF1513"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medios magnéticos y ópticos para almacenamiento de datos</w:t>
                  </w:r>
                </w:p>
              </w:tc>
            </w:tr>
            <w:tr w:rsidR="008A4BA2" w:rsidRPr="00F64637" w14:paraId="754C5C60"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174B4E5"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motocicletas</w:t>
                  </w:r>
                </w:p>
              </w:tc>
            </w:tr>
            <w:tr w:rsidR="008A4BA2" w:rsidRPr="00F64637" w14:paraId="21922F9C"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D80CF02"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motores, generadores y transformadores eléctricos</w:t>
                  </w:r>
                </w:p>
              </w:tc>
            </w:tr>
            <w:tr w:rsidR="008A4BA2" w:rsidRPr="00F64637" w14:paraId="2C0449F4"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03929C6"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otras bombas, compresores, grifos y válvulas</w:t>
                  </w:r>
                </w:p>
              </w:tc>
            </w:tr>
            <w:tr w:rsidR="008A4BA2" w:rsidRPr="00F64637" w14:paraId="7DA1B4D2"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3B95D1E3"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otros artículos textiles n.c.p.</w:t>
                  </w:r>
                </w:p>
              </w:tc>
            </w:tr>
            <w:tr w:rsidR="008A4BA2" w:rsidRPr="00F64637" w14:paraId="67A3AC11"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3FA2E7CE"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otros productos elaborados de metal n.c.p.</w:t>
                  </w:r>
                </w:p>
              </w:tc>
            </w:tr>
            <w:tr w:rsidR="008A4BA2" w:rsidRPr="00F64637" w14:paraId="43081C76"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D0CE70A"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otros productos minerales no metálicos n.c.p.</w:t>
                  </w:r>
                </w:p>
              </w:tc>
            </w:tr>
            <w:tr w:rsidR="008A4BA2" w:rsidRPr="00F64637" w14:paraId="7E45C343"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2938ACB1"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otros productos químicos n.c.p.</w:t>
                  </w:r>
                </w:p>
              </w:tc>
            </w:tr>
            <w:tr w:rsidR="008A4BA2" w:rsidRPr="00F64637" w14:paraId="7DBFA596"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5560CDAF"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otros tipos de equipo de transporte n.c.p.</w:t>
                  </w:r>
                </w:p>
              </w:tc>
            </w:tr>
            <w:tr w:rsidR="008A4BA2" w:rsidRPr="00F64637" w14:paraId="0D650984"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3C4064BA"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otros tipos de equipo eléctrico n.c.p.</w:t>
                  </w:r>
                </w:p>
              </w:tc>
            </w:tr>
            <w:tr w:rsidR="008A4BA2" w:rsidRPr="00F64637" w14:paraId="1D1C1701"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782ACD8A"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otros tipos de maquinaria y equipo de uso especial n.c.p.</w:t>
                  </w:r>
                </w:p>
              </w:tc>
            </w:tr>
            <w:tr w:rsidR="008A4BA2" w:rsidRPr="00F64637" w14:paraId="1930A11B"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59AB3C2E"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otros tipos de maquinaria y equipo de uso general n.c.p.</w:t>
                  </w:r>
                </w:p>
              </w:tc>
            </w:tr>
            <w:tr w:rsidR="008A4BA2" w:rsidRPr="00F64637" w14:paraId="3C38EFAC"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79A14DF7"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partes del calzado</w:t>
                  </w:r>
                </w:p>
              </w:tc>
            </w:tr>
            <w:tr w:rsidR="008A4BA2" w:rsidRPr="00F64637" w14:paraId="53F7209F"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6F4F6589"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partes, piezas (autopartes) y accesorios (lujos) para vehículos automotores</w:t>
                  </w:r>
                </w:p>
              </w:tc>
            </w:tr>
            <w:tr w:rsidR="008A4BA2" w:rsidRPr="00F64637" w14:paraId="27686EA8"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4AAB444F"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pilas, baterías y acumuladores eléctricos</w:t>
                  </w:r>
                </w:p>
              </w:tc>
            </w:tr>
            <w:tr w:rsidR="008A4BA2" w:rsidRPr="00F64637" w14:paraId="351D3677"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6C69E258"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plásticos en formas primarias</w:t>
                  </w:r>
                </w:p>
              </w:tc>
            </w:tr>
            <w:tr w:rsidR="008A4BA2" w:rsidRPr="00F64637" w14:paraId="12137C2E"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3CBF4DAB"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productos refractarios</w:t>
                  </w:r>
                </w:p>
              </w:tc>
            </w:tr>
            <w:tr w:rsidR="008A4BA2" w:rsidRPr="00F64637" w14:paraId="72584E92"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108FA923"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relojes</w:t>
                  </w:r>
                </w:p>
              </w:tc>
            </w:tr>
            <w:tr w:rsidR="008A4BA2" w:rsidRPr="00F64637" w14:paraId="4E7D9DFF"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40CB3358"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sustancias y productos químicos básicos</w:t>
                  </w:r>
                </w:p>
              </w:tc>
            </w:tr>
            <w:tr w:rsidR="008A4BA2" w:rsidRPr="00F64637" w14:paraId="102DDF29"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4423101C"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tapetes y alfombras para pisos</w:t>
                  </w:r>
                </w:p>
              </w:tc>
            </w:tr>
            <w:tr w:rsidR="008A4BA2" w:rsidRPr="00F64637" w14:paraId="320EE1A3"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4AD6EB54"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tejidos de punto y ganchillo</w:t>
                  </w:r>
                </w:p>
              </w:tc>
            </w:tr>
            <w:tr w:rsidR="008A4BA2" w:rsidRPr="00F64637" w14:paraId="298D77A6"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7FF3082C"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vehículos automotores y sus motores</w:t>
                  </w:r>
                </w:p>
              </w:tc>
            </w:tr>
            <w:tr w:rsidR="008A4BA2" w:rsidRPr="00F64637" w14:paraId="66095AE5"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3333D1EE"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vehículos militares de combate</w:t>
                  </w:r>
                </w:p>
              </w:tc>
            </w:tr>
            <w:tr w:rsidR="008A4BA2" w:rsidRPr="00F64637" w14:paraId="2919AE06"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FF0EF51"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Fabricación de vidrio y productos de vidrio</w:t>
                  </w:r>
                </w:p>
              </w:tc>
            </w:tr>
            <w:tr w:rsidR="008A4BA2" w:rsidRPr="00F64637" w14:paraId="04E43E3C"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5935ED7A"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Generación de energía eléctrica</w:t>
                  </w:r>
                </w:p>
              </w:tc>
            </w:tr>
            <w:tr w:rsidR="008A4BA2" w:rsidRPr="00F64637" w14:paraId="46923A95"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43344044"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Industrias básicas de metales preciosos</w:t>
                  </w:r>
                </w:p>
              </w:tc>
            </w:tr>
            <w:tr w:rsidR="008A4BA2" w:rsidRPr="00F64637" w14:paraId="53D8984C"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72DE43B6"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Industrias básicas de otros metales no ferrosos</w:t>
                  </w:r>
                </w:p>
              </w:tc>
            </w:tr>
            <w:tr w:rsidR="008A4BA2" w:rsidRPr="00F64637" w14:paraId="34CDE595"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37578D20"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Otras industrias manufactureras n.c.p.</w:t>
                  </w:r>
                </w:p>
              </w:tc>
            </w:tr>
            <w:tr w:rsidR="008A4BA2" w:rsidRPr="00F64637" w14:paraId="02A05EED"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59ED609D"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Preparación e hilatura de fibras textiles</w:t>
                  </w:r>
                </w:p>
              </w:tc>
            </w:tr>
            <w:tr w:rsidR="008A4BA2" w:rsidRPr="00F64637" w14:paraId="38F8BAE8"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5D664F30"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Tejeduría de productos textiles</w:t>
                  </w:r>
                </w:p>
              </w:tc>
            </w:tr>
            <w:tr w:rsidR="008A4BA2" w:rsidRPr="00F64637" w14:paraId="30A738D7"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3927384A"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Tratamiento y disposición de desechos no peligrosos</w:t>
                  </w:r>
                </w:p>
              </w:tc>
            </w:tr>
            <w:tr w:rsidR="008A4BA2" w:rsidRPr="00F64637" w14:paraId="16948A4F"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1A3C4E4C"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agencias de noticias</w:t>
                  </w:r>
                </w:p>
              </w:tc>
            </w:tr>
            <w:tr w:rsidR="008A4BA2" w:rsidRPr="00F64637" w14:paraId="7596C281"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5B8AC43A"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apoyo diagnóstico</w:t>
                  </w:r>
                </w:p>
              </w:tc>
            </w:tr>
            <w:tr w:rsidR="008A4BA2" w:rsidRPr="00F64637" w14:paraId="1E2D51B8"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33B0BC1C"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apoyo terapéutico</w:t>
                  </w:r>
                </w:p>
              </w:tc>
            </w:tr>
            <w:tr w:rsidR="008A4BA2" w:rsidRPr="00F64637" w14:paraId="0B8B1F6B"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4BA4C7A0"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arquitectura</w:t>
                  </w:r>
                </w:p>
              </w:tc>
            </w:tr>
            <w:tr w:rsidR="008A4BA2" w:rsidRPr="00F64637" w14:paraId="1EDBB327"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7340FAA0"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asistencia social sin alojamiento para personas mayores y discapacitadas</w:t>
                  </w:r>
                </w:p>
              </w:tc>
            </w:tr>
            <w:tr w:rsidR="008A4BA2" w:rsidRPr="00F64637" w14:paraId="3085E370" w14:textId="77777777">
              <w:trPr>
                <w:trHeight w:val="580"/>
                <w:jc w:val="center"/>
              </w:trPr>
              <w:tc>
                <w:tcPr>
                  <w:tcW w:w="8540" w:type="dxa"/>
                  <w:tcBorders>
                    <w:top w:val="nil"/>
                    <w:left w:val="single" w:sz="4" w:space="0" w:color="auto"/>
                    <w:bottom w:val="single" w:sz="4" w:space="0" w:color="auto"/>
                    <w:right w:val="single" w:sz="4" w:space="0" w:color="auto"/>
                  </w:tcBorders>
                  <w:vAlign w:val="center"/>
                  <w:hideMark/>
                </w:tcPr>
                <w:p w14:paraId="6D74AFB7"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atención en instituciones para el cuidado de personas mayores y/o discapacitadas</w:t>
                  </w:r>
                </w:p>
              </w:tc>
            </w:tr>
            <w:tr w:rsidR="008A4BA2" w:rsidRPr="00F64637" w14:paraId="25B34F3D"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1B72FF28"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atención residencial medicalizada de tipo general</w:t>
                  </w:r>
                </w:p>
              </w:tc>
            </w:tr>
            <w:tr w:rsidR="008A4BA2" w:rsidRPr="00F64637" w14:paraId="20B4EBDE" w14:textId="77777777">
              <w:trPr>
                <w:trHeight w:val="580"/>
                <w:jc w:val="center"/>
              </w:trPr>
              <w:tc>
                <w:tcPr>
                  <w:tcW w:w="8540" w:type="dxa"/>
                  <w:tcBorders>
                    <w:top w:val="nil"/>
                    <w:left w:val="single" w:sz="4" w:space="0" w:color="auto"/>
                    <w:bottom w:val="single" w:sz="4" w:space="0" w:color="auto"/>
                    <w:right w:val="single" w:sz="4" w:space="0" w:color="auto"/>
                  </w:tcBorders>
                  <w:vAlign w:val="center"/>
                  <w:hideMark/>
                </w:tcPr>
                <w:p w14:paraId="6AF3A95B"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atención residencial, para el cuidado de pacientes con retardo mental, enfermedad mental y consumo de sustancias psicoactivas</w:t>
                  </w:r>
                </w:p>
              </w:tc>
            </w:tr>
            <w:tr w:rsidR="008A4BA2" w:rsidRPr="00F64637" w14:paraId="61CFBBEB"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57C95506"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centros de llamadas (call center)</w:t>
                  </w:r>
                </w:p>
              </w:tc>
            </w:tr>
            <w:tr w:rsidR="008A4BA2" w:rsidRPr="00F64637" w14:paraId="4C34298C" w14:textId="77777777">
              <w:trPr>
                <w:trHeight w:val="580"/>
                <w:jc w:val="center"/>
              </w:trPr>
              <w:tc>
                <w:tcPr>
                  <w:tcW w:w="8540" w:type="dxa"/>
                  <w:tcBorders>
                    <w:top w:val="nil"/>
                    <w:left w:val="single" w:sz="4" w:space="0" w:color="auto"/>
                    <w:bottom w:val="single" w:sz="4" w:space="0" w:color="auto"/>
                    <w:right w:val="single" w:sz="4" w:space="0" w:color="auto"/>
                  </w:tcBorders>
                  <w:vAlign w:val="center"/>
                  <w:hideMark/>
                </w:tcPr>
                <w:p w14:paraId="7969000F"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distribución de películas cinematográficas, videos, programas, anuncios y comerciales de televisión</w:t>
                  </w:r>
                </w:p>
              </w:tc>
            </w:tr>
            <w:tr w:rsidR="008A4BA2" w:rsidRPr="00F64637" w14:paraId="6B4DCC3F"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82AC17F"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guarderías para niños y niñas</w:t>
                  </w:r>
                </w:p>
              </w:tc>
            </w:tr>
            <w:tr w:rsidR="008A4BA2" w:rsidRPr="00F64637" w14:paraId="29A04943"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22A1860C"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hospitales y clínicas, con internación</w:t>
                  </w:r>
                </w:p>
              </w:tc>
            </w:tr>
            <w:tr w:rsidR="008A4BA2" w:rsidRPr="00F64637" w14:paraId="4FC4EBE1"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5274D16"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ingeniería y otras actividades conexas de consultoría técnica</w:t>
                  </w:r>
                </w:p>
              </w:tc>
            </w:tr>
            <w:tr w:rsidR="008A4BA2" w:rsidRPr="00F64637" w14:paraId="3E3EBD76"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5099FAFE"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la práctica médica, sin internación</w:t>
                  </w:r>
                </w:p>
              </w:tc>
            </w:tr>
            <w:tr w:rsidR="008A4BA2" w:rsidRPr="00F64637" w14:paraId="318E1AAD"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7F733E2"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la práctica odontológica</w:t>
                  </w:r>
                </w:p>
              </w:tc>
            </w:tr>
            <w:tr w:rsidR="008A4BA2" w:rsidRPr="00F64637" w14:paraId="70AAB203"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33A233D1"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telecomunicación satelital</w:t>
                  </w:r>
                </w:p>
              </w:tc>
            </w:tr>
            <w:tr w:rsidR="008A4BA2" w:rsidRPr="00F64637" w14:paraId="375179DC"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5F7C1C2B"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transmisión de televisión</w:t>
                  </w:r>
                </w:p>
              </w:tc>
            </w:tr>
            <w:tr w:rsidR="008A4BA2" w:rsidRPr="00F64637" w14:paraId="21D4B307"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4BBCB766"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inmobiliarias realizadas a cambio de una retribución o por contrata</w:t>
                  </w:r>
                </w:p>
              </w:tc>
            </w:tr>
            <w:tr w:rsidR="008A4BA2" w:rsidRPr="00F64637" w14:paraId="1EC23BD8"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77E4C764"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inmobiliarias realizadas con bienes propios o arrendados</w:t>
                  </w:r>
                </w:p>
              </w:tc>
            </w:tr>
            <w:tr w:rsidR="008A4BA2" w:rsidRPr="00F64637" w14:paraId="3EC07795"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1C7E9255"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Alquiler y arrendamiento de otros tipos de maquinaria, equipo y bienes tangibles n.c.p.</w:t>
                  </w:r>
                </w:p>
              </w:tc>
            </w:tr>
            <w:tr w:rsidR="008A4BA2" w:rsidRPr="00F64637" w14:paraId="56017F5E"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78B86B83"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Construcción de carreteras y vías de ferrocarril</w:t>
                  </w:r>
                </w:p>
              </w:tc>
            </w:tr>
            <w:tr w:rsidR="008A4BA2" w:rsidRPr="00F64637" w14:paraId="5853AF56"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12801FE1"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Construcción de edificios no residenciales</w:t>
                  </w:r>
                </w:p>
              </w:tc>
            </w:tr>
            <w:tr w:rsidR="008A4BA2" w:rsidRPr="00F64637" w14:paraId="7B50256A"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1D7A63B7"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Construcción de edificios residenciales</w:t>
                  </w:r>
                </w:p>
              </w:tc>
            </w:tr>
            <w:tr w:rsidR="008A4BA2" w:rsidRPr="00F64637" w14:paraId="558A4936"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4CB84DB7"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Construcción de otras obras de ingeniería civil</w:t>
                  </w:r>
                </w:p>
              </w:tc>
            </w:tr>
            <w:tr w:rsidR="008A4BA2" w:rsidRPr="00F64637" w14:paraId="449C67D3"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35276D64"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Construcción de proyectos de servicio público</w:t>
                  </w:r>
                </w:p>
              </w:tc>
            </w:tr>
            <w:tr w:rsidR="008A4BA2" w:rsidRPr="00F64637" w14:paraId="43DB0B5A"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3F47E2F8"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Edición de periódicos, revistas y otras publicaciones periódicas</w:t>
                  </w:r>
                </w:p>
              </w:tc>
            </w:tr>
            <w:tr w:rsidR="008A4BA2" w:rsidRPr="00F64637" w14:paraId="0E12EBA5"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454F4B92"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Educación básica primaria</w:t>
                  </w:r>
                </w:p>
              </w:tc>
            </w:tr>
            <w:tr w:rsidR="008A4BA2" w:rsidRPr="00F64637" w14:paraId="60D2444E"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6E6D6FC"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Educación básica secundaria</w:t>
                  </w:r>
                </w:p>
              </w:tc>
            </w:tr>
            <w:tr w:rsidR="008A4BA2" w:rsidRPr="00F64637" w14:paraId="199BFE48"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7D935E77"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Educación de la primera infancia</w:t>
                  </w:r>
                </w:p>
              </w:tc>
            </w:tr>
            <w:tr w:rsidR="008A4BA2" w:rsidRPr="00F64637" w14:paraId="3B3581BE"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1076DE29"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Educación media académica</w:t>
                  </w:r>
                </w:p>
              </w:tc>
            </w:tr>
            <w:tr w:rsidR="008A4BA2" w:rsidRPr="00F64637" w14:paraId="5762858B"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EBF2E5E"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Educación media técnica</w:t>
                  </w:r>
                </w:p>
              </w:tc>
            </w:tr>
            <w:tr w:rsidR="008A4BA2" w:rsidRPr="00F64637" w14:paraId="0A7E8EDD"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79AA0494"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Educación preescolar</w:t>
                  </w:r>
                </w:p>
              </w:tc>
            </w:tr>
            <w:tr w:rsidR="008A4BA2" w:rsidRPr="00F64637" w14:paraId="68BA5679"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343B79BF"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Ensayos y análisis técnicos</w:t>
                  </w:r>
                </w:p>
              </w:tc>
            </w:tr>
            <w:tr w:rsidR="008A4BA2" w:rsidRPr="00F64637" w14:paraId="05AACB14"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4F9441BD"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Establecimientos que combinan diferentes niveles de educación</w:t>
                  </w:r>
                </w:p>
              </w:tc>
            </w:tr>
            <w:tr w:rsidR="008A4BA2" w:rsidRPr="00F64637" w14:paraId="41F6F214"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43D6276"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Investigaciones y desarrollo experimental en el campo de las ciencias naturales y la ingeniería</w:t>
                  </w:r>
                </w:p>
              </w:tc>
            </w:tr>
            <w:tr w:rsidR="008A4BA2" w:rsidRPr="00F64637" w14:paraId="7306FAF2" w14:textId="77777777">
              <w:trPr>
                <w:trHeight w:val="580"/>
                <w:jc w:val="center"/>
              </w:trPr>
              <w:tc>
                <w:tcPr>
                  <w:tcW w:w="8540" w:type="dxa"/>
                  <w:tcBorders>
                    <w:top w:val="nil"/>
                    <w:left w:val="single" w:sz="4" w:space="0" w:color="auto"/>
                    <w:bottom w:val="single" w:sz="4" w:space="0" w:color="auto"/>
                    <w:right w:val="single" w:sz="4" w:space="0" w:color="auto"/>
                  </w:tcBorders>
                  <w:vAlign w:val="center"/>
                  <w:hideMark/>
                </w:tcPr>
                <w:p w14:paraId="39B1BF5C"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Investigaciones y desarrollo experimental en el campo de las ciencias sociales y las humanidades</w:t>
                  </w:r>
                </w:p>
              </w:tc>
            </w:tr>
            <w:tr w:rsidR="008A4BA2" w:rsidRPr="00F64637" w14:paraId="456C7910"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6DD5FD8A"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Otras actividades de asistencia social sin alojamiento n.c.p.</w:t>
                  </w:r>
                </w:p>
              </w:tc>
            </w:tr>
            <w:tr w:rsidR="008A4BA2" w:rsidRPr="00F64637" w14:paraId="13DFA171"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6D6D443C"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Otras actividades de atención de la salud humana</w:t>
                  </w:r>
                </w:p>
              </w:tc>
            </w:tr>
            <w:tr w:rsidR="008A4BA2" w:rsidRPr="00F64637" w14:paraId="321DA4C8"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5413868"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Otras actividades de atención en instituciones con alojamiento</w:t>
                  </w:r>
                </w:p>
              </w:tc>
            </w:tr>
            <w:tr w:rsidR="008A4BA2" w:rsidRPr="00F64637" w14:paraId="6851548E"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36474C92"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Otras actividades de servicios de información n.c.p.</w:t>
                  </w:r>
                </w:p>
              </w:tc>
            </w:tr>
            <w:tr w:rsidR="008A4BA2" w:rsidRPr="00F64637" w14:paraId="272E0DED"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1325AB6C"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Otras actividades de tecnologías de información y actividades de servicios informáticos</w:t>
                  </w:r>
                </w:p>
              </w:tc>
            </w:tr>
            <w:tr w:rsidR="008A4BA2" w:rsidRPr="00F64637" w14:paraId="1BD6AEF4"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2CD8FFB6"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Otras actividades de telecomunicaciones</w:t>
                  </w:r>
                </w:p>
              </w:tc>
            </w:tr>
            <w:tr w:rsidR="008A4BA2" w:rsidRPr="00F64637" w14:paraId="79BD0F6D"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16028535"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Portales web</w:t>
                  </w:r>
                </w:p>
              </w:tc>
            </w:tr>
            <w:tr w:rsidR="008A4BA2" w:rsidRPr="00F64637" w14:paraId="2A796C46"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6505CC3F"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Procesamiento de datos, alojamiento (hosting) y actividades relacionadas</w:t>
                  </w:r>
                </w:p>
              </w:tc>
            </w:tr>
            <w:tr w:rsidR="008A4BA2" w:rsidRPr="00F64637" w14:paraId="771E22D2"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F3B75AD"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Servicio de edición de libros</w:t>
                  </w:r>
                </w:p>
              </w:tc>
            </w:tr>
            <w:tr w:rsidR="008A4BA2" w:rsidRPr="00F64637" w14:paraId="34844402"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5A2ABC3D"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Tratamiento de semillas para propagación</w:t>
                  </w:r>
                </w:p>
              </w:tc>
            </w:tr>
            <w:tr w:rsidR="008A4BA2" w:rsidRPr="00F64637" w14:paraId="7C538F9E"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5131BE04"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jurídicas</w:t>
                  </w:r>
                </w:p>
              </w:tc>
            </w:tr>
            <w:tr w:rsidR="008A4BA2" w:rsidRPr="00F64637" w14:paraId="67D76B2D"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2CB99D61"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contabilidad, teneduría de libros, auditoría financiera y asesoría tributaria</w:t>
                  </w:r>
                </w:p>
              </w:tc>
            </w:tr>
            <w:tr w:rsidR="008A4BA2" w:rsidRPr="00F64637" w14:paraId="446235E4"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4E378E7D"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administración empresarial</w:t>
                  </w:r>
                </w:p>
              </w:tc>
            </w:tr>
            <w:tr w:rsidR="008A4BA2" w:rsidRPr="00F64637" w14:paraId="30A57E99" w14:textId="77777777">
              <w:trPr>
                <w:trHeight w:val="290"/>
                <w:jc w:val="center"/>
              </w:trPr>
              <w:tc>
                <w:tcPr>
                  <w:tcW w:w="8540" w:type="dxa"/>
                  <w:tcBorders>
                    <w:top w:val="nil"/>
                    <w:left w:val="single" w:sz="4" w:space="0" w:color="auto"/>
                    <w:bottom w:val="single" w:sz="4" w:space="0" w:color="auto"/>
                    <w:right w:val="single" w:sz="4" w:space="0" w:color="auto"/>
                  </w:tcBorders>
                  <w:vAlign w:val="center"/>
                  <w:hideMark/>
                </w:tcPr>
                <w:p w14:paraId="06BA3590" w14:textId="77777777" w:rsidR="008A4BA2" w:rsidRPr="008A4BA2" w:rsidRDefault="008A4BA2" w:rsidP="008A4BA2">
                  <w:pPr>
                    <w:spacing w:after="0" w:line="240" w:lineRule="auto"/>
                    <w:jc w:val="center"/>
                    <w:rPr>
                      <w:rFonts w:ascii="Times New Roman" w:eastAsia="Times New Roman" w:hAnsi="Times New Roman" w:cs="Times New Roman"/>
                      <w:color w:val="000000"/>
                      <w:sz w:val="20"/>
                      <w:szCs w:val="20"/>
                      <w:lang w:eastAsia="es-CO"/>
                    </w:rPr>
                  </w:pPr>
                  <w:r w:rsidRPr="008A4BA2">
                    <w:rPr>
                      <w:rFonts w:ascii="Times New Roman" w:eastAsia="Times New Roman" w:hAnsi="Times New Roman" w:cs="Times New Roman"/>
                      <w:color w:val="000000"/>
                      <w:sz w:val="20"/>
                      <w:szCs w:val="20"/>
                      <w:lang w:eastAsia="es-CO"/>
                    </w:rPr>
                    <w:t>Actividades de consultoría de gestión</w:t>
                  </w:r>
                </w:p>
              </w:tc>
            </w:tr>
          </w:tbl>
          <w:p w14:paraId="1D19CC9C" w14:textId="77777777" w:rsidR="008A4BA2" w:rsidRPr="003E0CB4" w:rsidRDefault="008A4BA2" w:rsidP="008A4BA2">
            <w:pPr>
              <w:contextualSpacing/>
              <w:jc w:val="center"/>
              <w:rPr>
                <w:rFonts w:ascii="Times New Roman" w:hAnsi="Times New Roman" w:cs="Times New Roman"/>
                <w:b/>
                <w:bCs/>
              </w:rPr>
            </w:pPr>
          </w:p>
          <w:p w14:paraId="3CDE1AA4" w14:textId="5270AE2D" w:rsidR="00A94DF0" w:rsidRPr="009D74A3" w:rsidRDefault="00A94DF0" w:rsidP="008B29A2">
            <w:pPr>
              <w:contextualSpacing/>
              <w:rPr>
                <w:rFonts w:ascii="Times New Roman" w:hAnsi="Times New Roman" w:cs="Times New Roman"/>
                <w:sz w:val="18"/>
                <w:szCs w:val="18"/>
              </w:rPr>
            </w:pPr>
            <w:r w:rsidRPr="009D74A3">
              <w:rPr>
                <w:rFonts w:ascii="Times New Roman" w:hAnsi="Times New Roman" w:cs="Times New Roman"/>
                <w:sz w:val="18"/>
                <w:szCs w:val="18"/>
              </w:rPr>
              <w:t xml:space="preserve">  </w:t>
            </w:r>
            <w:r w:rsidRPr="009D74A3">
              <w:rPr>
                <w:rFonts w:ascii="Times New Roman" w:hAnsi="Times New Roman" w:cs="Times New Roman"/>
                <w:b/>
                <w:bCs/>
                <w:sz w:val="18"/>
                <w:szCs w:val="18"/>
              </w:rPr>
              <w:t>Fuente</w:t>
            </w:r>
            <w:r w:rsidRPr="009D74A3">
              <w:rPr>
                <w:rFonts w:ascii="Times New Roman" w:hAnsi="Times New Roman" w:cs="Times New Roman"/>
                <w:sz w:val="18"/>
                <w:szCs w:val="18"/>
              </w:rPr>
              <w:t>: Secretaría Distrital de Hacienda </w:t>
            </w:r>
          </w:p>
          <w:p w14:paraId="2FB0E244" w14:textId="77777777" w:rsidR="00A94DF0" w:rsidRPr="009D74A3" w:rsidRDefault="00A94DF0" w:rsidP="008B29A2">
            <w:pPr>
              <w:contextualSpacing/>
              <w:rPr>
                <w:rFonts w:ascii="Times New Roman" w:hAnsi="Times New Roman" w:cs="Times New Roman"/>
              </w:rPr>
            </w:pPr>
          </w:p>
          <w:p w14:paraId="2FE518A1" w14:textId="524AA62A" w:rsidR="00A94DF0" w:rsidRPr="009D74A3" w:rsidRDefault="00A94DF0" w:rsidP="008B29A2">
            <w:p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La implementación de esta propuesta implica una reorganización de los contribuyentes en función de cuatro tarifas en números enteros. Con el fin de ilustrar esta modificación, se presenta a continuación una matriz que compara la tarifa actual del ICA con la nueva tarifa propuesta para cada sector económico (industrial, comercial, servicios, servicios financieros) según los criterios definidos </w:t>
            </w:r>
            <w:r w:rsidR="00716567" w:rsidRPr="009D74A3">
              <w:rPr>
                <w:rFonts w:ascii="Times New Roman" w:hAnsi="Times New Roman" w:cs="Times New Roman"/>
                <w:sz w:val="24"/>
                <w:szCs w:val="24"/>
              </w:rPr>
              <w:t>para la priorización</w:t>
            </w:r>
            <w:r w:rsidR="00793F2C">
              <w:rPr>
                <w:rFonts w:ascii="Times New Roman" w:hAnsi="Times New Roman" w:cs="Times New Roman"/>
                <w:sz w:val="24"/>
                <w:szCs w:val="24"/>
              </w:rPr>
              <w:t xml:space="preserve"> a nivel de </w:t>
            </w:r>
            <w:r w:rsidR="006C138D">
              <w:rPr>
                <w:rFonts w:ascii="Times New Roman" w:hAnsi="Times New Roman" w:cs="Times New Roman"/>
                <w:sz w:val="24"/>
                <w:szCs w:val="24"/>
              </w:rPr>
              <w:t>obligaciones</w:t>
            </w:r>
            <w:r w:rsidRPr="009D74A3">
              <w:rPr>
                <w:rFonts w:ascii="Times New Roman" w:hAnsi="Times New Roman" w:cs="Times New Roman"/>
                <w:sz w:val="24"/>
                <w:szCs w:val="24"/>
              </w:rPr>
              <w:t xml:space="preserve">. Esta </w:t>
            </w:r>
            <w:r w:rsidR="006C138D">
              <w:rPr>
                <w:rFonts w:ascii="Times New Roman" w:hAnsi="Times New Roman" w:cs="Times New Roman"/>
                <w:sz w:val="24"/>
                <w:szCs w:val="24"/>
              </w:rPr>
              <w:t>tabla</w:t>
            </w:r>
            <w:r w:rsidRPr="009D74A3">
              <w:rPr>
                <w:rFonts w:ascii="Times New Roman" w:hAnsi="Times New Roman" w:cs="Times New Roman"/>
                <w:sz w:val="24"/>
                <w:szCs w:val="24"/>
              </w:rPr>
              <w:t xml:space="preserve"> permite visualizar el número de contribuyentes que mantendrán su nivel tarifario, así como aquellos que experimentarían un ajuste hacia tarifas más altas o bajas, en función de su situación actual y su clasificación -prioritario o no- dentro del nuevo esquema. </w:t>
            </w:r>
          </w:p>
          <w:p w14:paraId="02EEAEBC" w14:textId="77777777" w:rsidR="00A94DF0" w:rsidRPr="009D74A3" w:rsidRDefault="00A94DF0" w:rsidP="008B29A2">
            <w:pPr>
              <w:contextualSpacing/>
              <w:jc w:val="both"/>
              <w:rPr>
                <w:rFonts w:ascii="Times New Roman" w:hAnsi="Times New Roman" w:cs="Times New Roman"/>
              </w:rPr>
            </w:pPr>
          </w:p>
          <w:p w14:paraId="40B16D55" w14:textId="0B6778C6" w:rsidR="00DF74F3" w:rsidRPr="00DF74F3" w:rsidRDefault="00DF74F3" w:rsidP="00DF74F3">
            <w:pPr>
              <w:contextualSpacing/>
              <w:jc w:val="center"/>
              <w:rPr>
                <w:rFonts w:ascii="Times New Roman" w:hAnsi="Times New Roman" w:cs="Times New Roman"/>
                <w:b/>
              </w:rPr>
            </w:pPr>
            <w:r w:rsidRPr="00DF74F3">
              <w:rPr>
                <w:rFonts w:ascii="Times New Roman" w:hAnsi="Times New Roman" w:cs="Times New Roman"/>
                <w:b/>
              </w:rPr>
              <w:t>Tabla 17</w:t>
            </w:r>
          </w:p>
          <w:p w14:paraId="4CB11B65" w14:textId="5E44A57B" w:rsidR="00DF74F3" w:rsidRPr="00DF74F3" w:rsidRDefault="00DF74F3" w:rsidP="00DF74F3">
            <w:pPr>
              <w:contextualSpacing/>
              <w:jc w:val="center"/>
              <w:rPr>
                <w:rFonts w:ascii="Times New Roman" w:hAnsi="Times New Roman" w:cs="Times New Roman"/>
                <w:b/>
              </w:rPr>
            </w:pPr>
            <w:r w:rsidRPr="00DF74F3">
              <w:rPr>
                <w:rFonts w:ascii="Times New Roman" w:hAnsi="Times New Roman" w:cs="Times New Roman"/>
                <w:b/>
              </w:rPr>
              <w:t>Obligaciones con declaración y pago de ICA según la tarifa actual y la propuesta planteada</w:t>
            </w:r>
          </w:p>
          <w:tbl>
            <w:tblPr>
              <w:tblW w:w="7605" w:type="dxa"/>
              <w:jc w:val="center"/>
              <w:tblLayout w:type="fixed"/>
              <w:tblCellMar>
                <w:left w:w="70" w:type="dxa"/>
                <w:right w:w="70" w:type="dxa"/>
              </w:tblCellMar>
              <w:tblLook w:val="04A0" w:firstRow="1" w:lastRow="0" w:firstColumn="1" w:lastColumn="0" w:noHBand="0" w:noVBand="1"/>
            </w:tblPr>
            <w:tblGrid>
              <w:gridCol w:w="1134"/>
              <w:gridCol w:w="851"/>
              <w:gridCol w:w="1020"/>
              <w:gridCol w:w="847"/>
              <w:gridCol w:w="993"/>
              <w:gridCol w:w="993"/>
              <w:gridCol w:w="847"/>
              <w:gridCol w:w="920"/>
            </w:tblGrid>
            <w:tr w:rsidR="00DF74F3" w:rsidRPr="00DF74F3" w14:paraId="77C0FB41" w14:textId="77777777">
              <w:trPr>
                <w:trHeight w:val="290"/>
                <w:jc w:val="center"/>
              </w:trPr>
              <w:tc>
                <w:tcPr>
                  <w:tcW w:w="1134" w:type="dxa"/>
                  <w:vMerge w:val="restart"/>
                  <w:tcBorders>
                    <w:top w:val="single" w:sz="4" w:space="0" w:color="auto"/>
                    <w:left w:val="single" w:sz="4" w:space="0" w:color="auto"/>
                    <w:bottom w:val="single" w:sz="4" w:space="0" w:color="auto"/>
                    <w:right w:val="single" w:sz="4" w:space="0" w:color="auto"/>
                  </w:tcBorders>
                  <w:shd w:val="clear" w:color="000000" w:fill="153D64"/>
                  <w:vAlign w:val="center"/>
                  <w:hideMark/>
                </w:tcPr>
                <w:p w14:paraId="2404DDD9" w14:textId="77777777" w:rsidR="00DF74F3" w:rsidRPr="00DF74F3" w:rsidRDefault="00DF74F3" w:rsidP="00DF74F3">
                  <w:pPr>
                    <w:spacing w:after="0" w:line="240" w:lineRule="auto"/>
                    <w:jc w:val="center"/>
                    <w:rPr>
                      <w:rFonts w:ascii="Times New Roman" w:eastAsia="Times New Roman" w:hAnsi="Times New Roman" w:cs="Times New Roman"/>
                      <w:b/>
                      <w:bCs/>
                      <w:color w:val="FFFFFF"/>
                      <w:sz w:val="20"/>
                      <w:szCs w:val="20"/>
                      <w:lang w:eastAsia="es-CO"/>
                    </w:rPr>
                  </w:pPr>
                  <w:r w:rsidRPr="00DF74F3">
                    <w:rPr>
                      <w:rFonts w:ascii="Times New Roman" w:eastAsia="Times New Roman" w:hAnsi="Times New Roman" w:cs="Times New Roman"/>
                      <w:b/>
                      <w:bCs/>
                      <w:color w:val="FFFFFF"/>
                      <w:sz w:val="20"/>
                      <w:szCs w:val="20"/>
                      <w:lang w:eastAsia="es-CO"/>
                    </w:rPr>
                    <w:t>Actividad económica</w:t>
                  </w:r>
                </w:p>
              </w:tc>
              <w:tc>
                <w:tcPr>
                  <w:tcW w:w="851" w:type="dxa"/>
                  <w:vMerge w:val="restart"/>
                  <w:tcBorders>
                    <w:top w:val="single" w:sz="4" w:space="0" w:color="auto"/>
                    <w:left w:val="single" w:sz="4" w:space="0" w:color="auto"/>
                    <w:bottom w:val="single" w:sz="4" w:space="0" w:color="auto"/>
                    <w:right w:val="single" w:sz="4" w:space="0" w:color="auto"/>
                  </w:tcBorders>
                  <w:shd w:val="clear" w:color="000000" w:fill="153D64"/>
                  <w:noWrap/>
                  <w:vAlign w:val="center"/>
                  <w:hideMark/>
                </w:tcPr>
                <w:p w14:paraId="69BF81FB" w14:textId="77777777" w:rsidR="00DF74F3" w:rsidRPr="00DF74F3" w:rsidRDefault="00DF74F3" w:rsidP="00DF74F3">
                  <w:pPr>
                    <w:spacing w:after="0" w:line="240" w:lineRule="auto"/>
                    <w:jc w:val="center"/>
                    <w:rPr>
                      <w:rFonts w:ascii="Times New Roman" w:eastAsia="Times New Roman" w:hAnsi="Times New Roman" w:cs="Times New Roman"/>
                      <w:b/>
                      <w:bCs/>
                      <w:color w:val="FFFFFF"/>
                      <w:sz w:val="20"/>
                      <w:szCs w:val="20"/>
                      <w:lang w:eastAsia="es-CO"/>
                    </w:rPr>
                  </w:pPr>
                  <w:r w:rsidRPr="00DF74F3">
                    <w:rPr>
                      <w:rFonts w:ascii="Times New Roman" w:eastAsia="Times New Roman" w:hAnsi="Times New Roman" w:cs="Times New Roman"/>
                      <w:b/>
                      <w:bCs/>
                      <w:color w:val="FFFFFF"/>
                      <w:sz w:val="20"/>
                      <w:szCs w:val="20"/>
                      <w:lang w:eastAsia="es-CO"/>
                    </w:rPr>
                    <w:t>Grupos</w:t>
                  </w:r>
                </w:p>
              </w:tc>
              <w:tc>
                <w:tcPr>
                  <w:tcW w:w="1020" w:type="dxa"/>
                  <w:vMerge w:val="restart"/>
                  <w:tcBorders>
                    <w:top w:val="single" w:sz="4" w:space="0" w:color="auto"/>
                    <w:left w:val="single" w:sz="4" w:space="0" w:color="auto"/>
                    <w:bottom w:val="single" w:sz="4" w:space="0" w:color="auto"/>
                    <w:right w:val="single" w:sz="4" w:space="0" w:color="auto"/>
                  </w:tcBorders>
                  <w:shd w:val="clear" w:color="000000" w:fill="153D64"/>
                  <w:vAlign w:val="center"/>
                  <w:hideMark/>
                </w:tcPr>
                <w:p w14:paraId="72EA6434" w14:textId="77777777" w:rsidR="00DF74F3" w:rsidRPr="00DF74F3" w:rsidRDefault="00DF74F3" w:rsidP="00DF74F3">
                  <w:pPr>
                    <w:spacing w:after="0" w:line="240" w:lineRule="auto"/>
                    <w:jc w:val="center"/>
                    <w:rPr>
                      <w:rFonts w:ascii="Times New Roman" w:eastAsia="Times New Roman" w:hAnsi="Times New Roman" w:cs="Times New Roman"/>
                      <w:b/>
                      <w:bCs/>
                      <w:color w:val="FFFFFF"/>
                      <w:sz w:val="20"/>
                      <w:szCs w:val="20"/>
                      <w:lang w:eastAsia="es-CO"/>
                    </w:rPr>
                  </w:pPr>
                  <w:r w:rsidRPr="00DF74F3">
                    <w:rPr>
                      <w:rFonts w:ascii="Times New Roman" w:eastAsia="Times New Roman" w:hAnsi="Times New Roman" w:cs="Times New Roman"/>
                      <w:b/>
                      <w:bCs/>
                      <w:color w:val="FFFFFF"/>
                      <w:sz w:val="20"/>
                      <w:szCs w:val="20"/>
                      <w:lang w:eastAsia="es-CO"/>
                    </w:rPr>
                    <w:t xml:space="preserve">Tarifas actuales </w:t>
                  </w:r>
                </w:p>
              </w:tc>
              <w:tc>
                <w:tcPr>
                  <w:tcW w:w="3680" w:type="dxa"/>
                  <w:gridSpan w:val="4"/>
                  <w:tcBorders>
                    <w:top w:val="single" w:sz="4" w:space="0" w:color="auto"/>
                    <w:left w:val="nil"/>
                    <w:bottom w:val="single" w:sz="4" w:space="0" w:color="auto"/>
                    <w:right w:val="single" w:sz="4" w:space="0" w:color="auto"/>
                  </w:tcBorders>
                  <w:shd w:val="clear" w:color="000000" w:fill="153D64"/>
                  <w:noWrap/>
                  <w:vAlign w:val="center"/>
                  <w:hideMark/>
                </w:tcPr>
                <w:p w14:paraId="25131FEB" w14:textId="77777777" w:rsidR="00DF74F3" w:rsidRPr="00DF74F3" w:rsidRDefault="00DF74F3" w:rsidP="00DF74F3">
                  <w:pPr>
                    <w:spacing w:after="0" w:line="240" w:lineRule="auto"/>
                    <w:jc w:val="center"/>
                    <w:rPr>
                      <w:rFonts w:ascii="Times New Roman" w:eastAsia="Times New Roman" w:hAnsi="Times New Roman" w:cs="Times New Roman"/>
                      <w:b/>
                      <w:bCs/>
                      <w:color w:val="FFFFFF"/>
                      <w:sz w:val="20"/>
                      <w:szCs w:val="20"/>
                      <w:lang w:eastAsia="es-CO"/>
                    </w:rPr>
                  </w:pPr>
                  <w:r w:rsidRPr="00DF74F3">
                    <w:rPr>
                      <w:rFonts w:ascii="Times New Roman" w:eastAsia="Times New Roman" w:hAnsi="Times New Roman" w:cs="Times New Roman"/>
                      <w:b/>
                      <w:bCs/>
                      <w:color w:val="FFFFFF"/>
                      <w:sz w:val="20"/>
                      <w:szCs w:val="20"/>
                      <w:lang w:eastAsia="es-CO"/>
                    </w:rPr>
                    <w:t>Tarifa_propuesta</w:t>
                  </w:r>
                </w:p>
              </w:tc>
              <w:tc>
                <w:tcPr>
                  <w:tcW w:w="920" w:type="dxa"/>
                  <w:tcBorders>
                    <w:top w:val="single" w:sz="4" w:space="0" w:color="auto"/>
                    <w:left w:val="nil"/>
                    <w:bottom w:val="single" w:sz="4" w:space="0" w:color="auto"/>
                    <w:right w:val="single" w:sz="4" w:space="0" w:color="auto"/>
                  </w:tcBorders>
                  <w:shd w:val="clear" w:color="000000" w:fill="153D64"/>
                  <w:noWrap/>
                  <w:vAlign w:val="center"/>
                  <w:hideMark/>
                </w:tcPr>
                <w:p w14:paraId="69BC4C1E" w14:textId="77777777" w:rsidR="00DF74F3" w:rsidRPr="00DF74F3" w:rsidRDefault="00DF74F3" w:rsidP="00DF74F3">
                  <w:pPr>
                    <w:spacing w:after="0" w:line="240" w:lineRule="auto"/>
                    <w:jc w:val="center"/>
                    <w:rPr>
                      <w:rFonts w:ascii="Times New Roman" w:eastAsia="Times New Roman" w:hAnsi="Times New Roman" w:cs="Times New Roman"/>
                      <w:b/>
                      <w:bCs/>
                      <w:color w:val="FFFFFF"/>
                      <w:sz w:val="20"/>
                      <w:szCs w:val="20"/>
                      <w:lang w:eastAsia="es-CO"/>
                    </w:rPr>
                  </w:pPr>
                  <w:r w:rsidRPr="00DF74F3">
                    <w:rPr>
                      <w:rFonts w:ascii="Times New Roman" w:eastAsia="Times New Roman" w:hAnsi="Times New Roman" w:cs="Times New Roman"/>
                      <w:b/>
                      <w:bCs/>
                      <w:color w:val="FFFFFF"/>
                      <w:sz w:val="20"/>
                      <w:szCs w:val="20"/>
                      <w:lang w:eastAsia="es-CO"/>
                    </w:rPr>
                    <w:t> </w:t>
                  </w:r>
                </w:p>
              </w:tc>
            </w:tr>
            <w:tr w:rsidR="00DF74F3" w:rsidRPr="00DF74F3" w14:paraId="5A47373E" w14:textId="77777777">
              <w:trPr>
                <w:trHeight w:val="290"/>
                <w:jc w:val="center"/>
              </w:trPr>
              <w:tc>
                <w:tcPr>
                  <w:tcW w:w="1134" w:type="dxa"/>
                  <w:vMerge/>
                  <w:tcBorders>
                    <w:top w:val="single" w:sz="4" w:space="0" w:color="auto"/>
                    <w:left w:val="single" w:sz="4" w:space="0" w:color="auto"/>
                    <w:bottom w:val="single" w:sz="4" w:space="0" w:color="auto"/>
                    <w:right w:val="single" w:sz="4" w:space="0" w:color="auto"/>
                  </w:tcBorders>
                  <w:vAlign w:val="center"/>
                  <w:hideMark/>
                </w:tcPr>
                <w:p w14:paraId="4173DD15" w14:textId="77777777" w:rsidR="00DF74F3" w:rsidRPr="00DF74F3" w:rsidRDefault="00DF74F3" w:rsidP="00DF74F3">
                  <w:pPr>
                    <w:spacing w:after="0" w:line="240" w:lineRule="auto"/>
                    <w:rPr>
                      <w:rFonts w:ascii="Times New Roman" w:eastAsia="Times New Roman" w:hAnsi="Times New Roman" w:cs="Times New Roman"/>
                      <w:b/>
                      <w:bCs/>
                      <w:color w:val="FFFFFF"/>
                      <w:sz w:val="20"/>
                      <w:szCs w:val="20"/>
                      <w:lang w:eastAsia="es-CO"/>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14F53AD5" w14:textId="77777777" w:rsidR="00DF74F3" w:rsidRPr="00DF74F3" w:rsidRDefault="00DF74F3" w:rsidP="00DF74F3">
                  <w:pPr>
                    <w:spacing w:after="0" w:line="240" w:lineRule="auto"/>
                    <w:rPr>
                      <w:rFonts w:ascii="Times New Roman" w:eastAsia="Times New Roman" w:hAnsi="Times New Roman" w:cs="Times New Roman"/>
                      <w:b/>
                      <w:bCs/>
                      <w:color w:val="FFFFFF"/>
                      <w:sz w:val="20"/>
                      <w:szCs w:val="20"/>
                      <w:lang w:eastAsia="es-CO"/>
                    </w:rPr>
                  </w:pPr>
                </w:p>
              </w:tc>
              <w:tc>
                <w:tcPr>
                  <w:tcW w:w="1020" w:type="dxa"/>
                  <w:vMerge/>
                  <w:tcBorders>
                    <w:top w:val="single" w:sz="4" w:space="0" w:color="auto"/>
                    <w:left w:val="single" w:sz="4" w:space="0" w:color="auto"/>
                    <w:bottom w:val="single" w:sz="4" w:space="0" w:color="auto"/>
                    <w:right w:val="single" w:sz="4" w:space="0" w:color="auto"/>
                  </w:tcBorders>
                  <w:vAlign w:val="center"/>
                  <w:hideMark/>
                </w:tcPr>
                <w:p w14:paraId="1EDECCCE" w14:textId="77777777" w:rsidR="00DF74F3" w:rsidRPr="00DF74F3" w:rsidRDefault="00DF74F3" w:rsidP="00DF74F3">
                  <w:pPr>
                    <w:spacing w:after="0" w:line="240" w:lineRule="auto"/>
                    <w:rPr>
                      <w:rFonts w:ascii="Times New Roman" w:eastAsia="Times New Roman" w:hAnsi="Times New Roman" w:cs="Times New Roman"/>
                      <w:b/>
                      <w:bCs/>
                      <w:color w:val="FFFFFF"/>
                      <w:sz w:val="20"/>
                      <w:szCs w:val="20"/>
                      <w:lang w:eastAsia="es-CO"/>
                    </w:rPr>
                  </w:pPr>
                </w:p>
              </w:tc>
              <w:tc>
                <w:tcPr>
                  <w:tcW w:w="847" w:type="dxa"/>
                  <w:tcBorders>
                    <w:top w:val="nil"/>
                    <w:left w:val="nil"/>
                    <w:bottom w:val="single" w:sz="4" w:space="0" w:color="auto"/>
                    <w:right w:val="single" w:sz="4" w:space="0" w:color="auto"/>
                  </w:tcBorders>
                  <w:shd w:val="clear" w:color="000000" w:fill="153D64"/>
                  <w:noWrap/>
                  <w:vAlign w:val="center"/>
                  <w:hideMark/>
                </w:tcPr>
                <w:p w14:paraId="6463C2FD" w14:textId="77777777" w:rsidR="00DF74F3" w:rsidRPr="00DF74F3" w:rsidRDefault="00DF74F3" w:rsidP="00DF74F3">
                  <w:pPr>
                    <w:spacing w:after="0" w:line="240" w:lineRule="auto"/>
                    <w:jc w:val="center"/>
                    <w:rPr>
                      <w:rFonts w:ascii="Times New Roman" w:eastAsia="Times New Roman" w:hAnsi="Times New Roman" w:cs="Times New Roman"/>
                      <w:b/>
                      <w:bCs/>
                      <w:color w:val="FFFFFF"/>
                      <w:sz w:val="20"/>
                      <w:szCs w:val="20"/>
                      <w:lang w:eastAsia="es-CO"/>
                    </w:rPr>
                  </w:pPr>
                  <w:r w:rsidRPr="00DF74F3">
                    <w:rPr>
                      <w:rFonts w:ascii="Times New Roman" w:eastAsia="Times New Roman" w:hAnsi="Times New Roman" w:cs="Times New Roman"/>
                      <w:b/>
                      <w:bCs/>
                      <w:color w:val="FFFFFF"/>
                      <w:sz w:val="20"/>
                      <w:szCs w:val="20"/>
                      <w:lang w:eastAsia="es-CO"/>
                    </w:rPr>
                    <w:t>4</w:t>
                  </w:r>
                </w:p>
              </w:tc>
              <w:tc>
                <w:tcPr>
                  <w:tcW w:w="993" w:type="dxa"/>
                  <w:tcBorders>
                    <w:top w:val="nil"/>
                    <w:left w:val="nil"/>
                    <w:bottom w:val="single" w:sz="4" w:space="0" w:color="auto"/>
                    <w:right w:val="single" w:sz="4" w:space="0" w:color="auto"/>
                  </w:tcBorders>
                  <w:shd w:val="clear" w:color="000000" w:fill="153D64"/>
                  <w:noWrap/>
                  <w:vAlign w:val="center"/>
                  <w:hideMark/>
                </w:tcPr>
                <w:p w14:paraId="623C610A" w14:textId="77777777" w:rsidR="00DF74F3" w:rsidRPr="00DF74F3" w:rsidRDefault="00DF74F3" w:rsidP="00DF74F3">
                  <w:pPr>
                    <w:spacing w:after="0" w:line="240" w:lineRule="auto"/>
                    <w:jc w:val="center"/>
                    <w:rPr>
                      <w:rFonts w:ascii="Times New Roman" w:eastAsia="Times New Roman" w:hAnsi="Times New Roman" w:cs="Times New Roman"/>
                      <w:b/>
                      <w:bCs/>
                      <w:color w:val="FFFFFF"/>
                      <w:sz w:val="20"/>
                      <w:szCs w:val="20"/>
                      <w:lang w:eastAsia="es-CO"/>
                    </w:rPr>
                  </w:pPr>
                  <w:r w:rsidRPr="00DF74F3">
                    <w:rPr>
                      <w:rFonts w:ascii="Times New Roman" w:eastAsia="Times New Roman" w:hAnsi="Times New Roman" w:cs="Times New Roman"/>
                      <w:b/>
                      <w:bCs/>
                      <w:color w:val="FFFFFF"/>
                      <w:sz w:val="20"/>
                      <w:szCs w:val="20"/>
                      <w:lang w:eastAsia="es-CO"/>
                    </w:rPr>
                    <w:t>7</w:t>
                  </w:r>
                </w:p>
              </w:tc>
              <w:tc>
                <w:tcPr>
                  <w:tcW w:w="993" w:type="dxa"/>
                  <w:tcBorders>
                    <w:top w:val="nil"/>
                    <w:left w:val="nil"/>
                    <w:bottom w:val="single" w:sz="4" w:space="0" w:color="auto"/>
                    <w:right w:val="single" w:sz="4" w:space="0" w:color="auto"/>
                  </w:tcBorders>
                  <w:shd w:val="clear" w:color="000000" w:fill="153D64"/>
                  <w:noWrap/>
                  <w:vAlign w:val="center"/>
                  <w:hideMark/>
                </w:tcPr>
                <w:p w14:paraId="4163A382" w14:textId="77777777" w:rsidR="00DF74F3" w:rsidRPr="00DF74F3" w:rsidRDefault="00DF74F3" w:rsidP="00DF74F3">
                  <w:pPr>
                    <w:spacing w:after="0" w:line="240" w:lineRule="auto"/>
                    <w:jc w:val="center"/>
                    <w:rPr>
                      <w:rFonts w:ascii="Times New Roman" w:eastAsia="Times New Roman" w:hAnsi="Times New Roman" w:cs="Times New Roman"/>
                      <w:b/>
                      <w:bCs/>
                      <w:color w:val="FFFFFF"/>
                      <w:sz w:val="20"/>
                      <w:szCs w:val="20"/>
                      <w:lang w:eastAsia="es-CO"/>
                    </w:rPr>
                  </w:pPr>
                  <w:r w:rsidRPr="00DF74F3">
                    <w:rPr>
                      <w:rFonts w:ascii="Times New Roman" w:eastAsia="Times New Roman" w:hAnsi="Times New Roman" w:cs="Times New Roman"/>
                      <w:b/>
                      <w:bCs/>
                      <w:color w:val="FFFFFF"/>
                      <w:sz w:val="20"/>
                      <w:szCs w:val="20"/>
                      <w:lang w:eastAsia="es-CO"/>
                    </w:rPr>
                    <w:t>11</w:t>
                  </w:r>
                </w:p>
              </w:tc>
              <w:tc>
                <w:tcPr>
                  <w:tcW w:w="847" w:type="dxa"/>
                  <w:tcBorders>
                    <w:top w:val="nil"/>
                    <w:left w:val="nil"/>
                    <w:bottom w:val="single" w:sz="4" w:space="0" w:color="auto"/>
                    <w:right w:val="single" w:sz="4" w:space="0" w:color="auto"/>
                  </w:tcBorders>
                  <w:shd w:val="clear" w:color="000000" w:fill="153D64"/>
                  <w:noWrap/>
                  <w:vAlign w:val="center"/>
                  <w:hideMark/>
                </w:tcPr>
                <w:p w14:paraId="26849B21" w14:textId="77777777" w:rsidR="00DF74F3" w:rsidRPr="00DF74F3" w:rsidRDefault="00DF74F3" w:rsidP="00DF74F3">
                  <w:pPr>
                    <w:spacing w:after="0" w:line="240" w:lineRule="auto"/>
                    <w:jc w:val="center"/>
                    <w:rPr>
                      <w:rFonts w:ascii="Times New Roman" w:eastAsia="Times New Roman" w:hAnsi="Times New Roman" w:cs="Times New Roman"/>
                      <w:b/>
                      <w:bCs/>
                      <w:color w:val="FFFFFF"/>
                      <w:sz w:val="20"/>
                      <w:szCs w:val="20"/>
                      <w:lang w:eastAsia="es-CO"/>
                    </w:rPr>
                  </w:pPr>
                  <w:r w:rsidRPr="00DF74F3">
                    <w:rPr>
                      <w:rFonts w:ascii="Times New Roman" w:eastAsia="Times New Roman" w:hAnsi="Times New Roman" w:cs="Times New Roman"/>
                      <w:b/>
                      <w:bCs/>
                      <w:color w:val="FFFFFF"/>
                      <w:sz w:val="20"/>
                      <w:szCs w:val="20"/>
                      <w:lang w:eastAsia="es-CO"/>
                    </w:rPr>
                    <w:t>21</w:t>
                  </w:r>
                </w:p>
              </w:tc>
              <w:tc>
                <w:tcPr>
                  <w:tcW w:w="920" w:type="dxa"/>
                  <w:tcBorders>
                    <w:top w:val="nil"/>
                    <w:left w:val="nil"/>
                    <w:bottom w:val="single" w:sz="4" w:space="0" w:color="auto"/>
                    <w:right w:val="single" w:sz="4" w:space="0" w:color="auto"/>
                  </w:tcBorders>
                  <w:shd w:val="clear" w:color="000000" w:fill="153D64"/>
                  <w:noWrap/>
                  <w:vAlign w:val="center"/>
                  <w:hideMark/>
                </w:tcPr>
                <w:p w14:paraId="483FFFDA" w14:textId="77777777" w:rsidR="00DF74F3" w:rsidRPr="00DF74F3" w:rsidRDefault="00DF74F3" w:rsidP="00DF74F3">
                  <w:pPr>
                    <w:spacing w:after="0" w:line="240" w:lineRule="auto"/>
                    <w:jc w:val="center"/>
                    <w:rPr>
                      <w:rFonts w:ascii="Times New Roman" w:eastAsia="Times New Roman" w:hAnsi="Times New Roman" w:cs="Times New Roman"/>
                      <w:b/>
                      <w:bCs/>
                      <w:color w:val="FFFFFF"/>
                      <w:sz w:val="20"/>
                      <w:szCs w:val="20"/>
                      <w:lang w:eastAsia="es-CO"/>
                    </w:rPr>
                  </w:pPr>
                  <w:r w:rsidRPr="00DF74F3">
                    <w:rPr>
                      <w:rFonts w:ascii="Times New Roman" w:eastAsia="Times New Roman" w:hAnsi="Times New Roman" w:cs="Times New Roman"/>
                      <w:b/>
                      <w:bCs/>
                      <w:color w:val="FFFFFF"/>
                      <w:sz w:val="20"/>
                      <w:szCs w:val="20"/>
                      <w:lang w:eastAsia="es-CO"/>
                    </w:rPr>
                    <w:t xml:space="preserve">Total </w:t>
                  </w:r>
                </w:p>
              </w:tc>
            </w:tr>
            <w:tr w:rsidR="00DF74F3" w:rsidRPr="00DF74F3" w14:paraId="32105D94"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791F38AF"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Comercial</w:t>
                  </w:r>
                </w:p>
              </w:tc>
              <w:tc>
                <w:tcPr>
                  <w:tcW w:w="851" w:type="dxa"/>
                  <w:tcBorders>
                    <w:top w:val="nil"/>
                    <w:left w:val="nil"/>
                    <w:bottom w:val="single" w:sz="4" w:space="0" w:color="auto"/>
                    <w:right w:val="single" w:sz="4" w:space="0" w:color="auto"/>
                  </w:tcBorders>
                  <w:noWrap/>
                  <w:vAlign w:val="center"/>
                  <w:hideMark/>
                </w:tcPr>
                <w:p w14:paraId="3DCE98BF"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201</w:t>
                  </w:r>
                </w:p>
              </w:tc>
              <w:tc>
                <w:tcPr>
                  <w:tcW w:w="1020" w:type="dxa"/>
                  <w:tcBorders>
                    <w:top w:val="nil"/>
                    <w:left w:val="nil"/>
                    <w:bottom w:val="single" w:sz="4" w:space="0" w:color="auto"/>
                    <w:right w:val="single" w:sz="4" w:space="0" w:color="auto"/>
                  </w:tcBorders>
                  <w:noWrap/>
                  <w:vAlign w:val="center"/>
                  <w:hideMark/>
                </w:tcPr>
                <w:p w14:paraId="39C6A4F0" w14:textId="77777777" w:rsidR="00DF74F3" w:rsidRPr="00DF74F3" w:rsidRDefault="00DF74F3" w:rsidP="00DF74F3">
                  <w:pPr>
                    <w:spacing w:after="0" w:line="240" w:lineRule="auto"/>
                    <w:ind w:left="-111" w:firstLine="111"/>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4,14</w:t>
                  </w:r>
                </w:p>
              </w:tc>
              <w:tc>
                <w:tcPr>
                  <w:tcW w:w="847" w:type="dxa"/>
                  <w:tcBorders>
                    <w:top w:val="nil"/>
                    <w:left w:val="nil"/>
                    <w:bottom w:val="single" w:sz="4" w:space="0" w:color="auto"/>
                    <w:right w:val="single" w:sz="4" w:space="0" w:color="auto"/>
                  </w:tcBorders>
                  <w:noWrap/>
                  <w:vAlign w:val="center"/>
                  <w:hideMark/>
                </w:tcPr>
                <w:p w14:paraId="14B264F4"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22.261</w:t>
                  </w:r>
                </w:p>
              </w:tc>
              <w:tc>
                <w:tcPr>
                  <w:tcW w:w="993" w:type="dxa"/>
                  <w:tcBorders>
                    <w:top w:val="nil"/>
                    <w:left w:val="nil"/>
                    <w:bottom w:val="single" w:sz="4" w:space="0" w:color="auto"/>
                    <w:right w:val="single" w:sz="4" w:space="0" w:color="auto"/>
                  </w:tcBorders>
                  <w:noWrap/>
                  <w:vAlign w:val="center"/>
                  <w:hideMark/>
                </w:tcPr>
                <w:p w14:paraId="1AD7AF59"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5F6EA07A"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847" w:type="dxa"/>
                  <w:tcBorders>
                    <w:top w:val="nil"/>
                    <w:left w:val="nil"/>
                    <w:bottom w:val="single" w:sz="4" w:space="0" w:color="auto"/>
                    <w:right w:val="single" w:sz="4" w:space="0" w:color="auto"/>
                  </w:tcBorders>
                  <w:noWrap/>
                  <w:vAlign w:val="center"/>
                  <w:hideMark/>
                </w:tcPr>
                <w:p w14:paraId="320F5C89"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20" w:type="dxa"/>
                  <w:tcBorders>
                    <w:top w:val="nil"/>
                    <w:left w:val="nil"/>
                    <w:bottom w:val="single" w:sz="4" w:space="0" w:color="auto"/>
                    <w:right w:val="single" w:sz="4" w:space="0" w:color="auto"/>
                  </w:tcBorders>
                  <w:noWrap/>
                  <w:vAlign w:val="center"/>
                  <w:hideMark/>
                </w:tcPr>
                <w:p w14:paraId="125DC30C"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22.261</w:t>
                  </w:r>
                </w:p>
              </w:tc>
            </w:tr>
            <w:tr w:rsidR="00DF74F3" w:rsidRPr="00DF74F3" w14:paraId="016C33C6"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38E2D5C7"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Comercial</w:t>
                  </w:r>
                </w:p>
              </w:tc>
              <w:tc>
                <w:tcPr>
                  <w:tcW w:w="851" w:type="dxa"/>
                  <w:tcBorders>
                    <w:top w:val="nil"/>
                    <w:left w:val="nil"/>
                    <w:bottom w:val="single" w:sz="4" w:space="0" w:color="auto"/>
                    <w:right w:val="single" w:sz="4" w:space="0" w:color="auto"/>
                  </w:tcBorders>
                  <w:noWrap/>
                  <w:vAlign w:val="center"/>
                  <w:hideMark/>
                </w:tcPr>
                <w:p w14:paraId="712FF30E"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202</w:t>
                  </w:r>
                </w:p>
              </w:tc>
              <w:tc>
                <w:tcPr>
                  <w:tcW w:w="1020" w:type="dxa"/>
                  <w:tcBorders>
                    <w:top w:val="nil"/>
                    <w:left w:val="nil"/>
                    <w:bottom w:val="single" w:sz="4" w:space="0" w:color="auto"/>
                    <w:right w:val="single" w:sz="4" w:space="0" w:color="auto"/>
                  </w:tcBorders>
                  <w:noWrap/>
                  <w:vAlign w:val="center"/>
                  <w:hideMark/>
                </w:tcPr>
                <w:p w14:paraId="578C5007"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6,9</w:t>
                  </w:r>
                </w:p>
              </w:tc>
              <w:tc>
                <w:tcPr>
                  <w:tcW w:w="847" w:type="dxa"/>
                  <w:tcBorders>
                    <w:top w:val="nil"/>
                    <w:left w:val="nil"/>
                    <w:bottom w:val="single" w:sz="4" w:space="0" w:color="auto"/>
                    <w:right w:val="single" w:sz="4" w:space="0" w:color="auto"/>
                  </w:tcBorders>
                  <w:noWrap/>
                  <w:vAlign w:val="center"/>
                  <w:hideMark/>
                </w:tcPr>
                <w:p w14:paraId="3CE704C5"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05AEC672"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5.066</w:t>
                  </w:r>
                </w:p>
              </w:tc>
              <w:tc>
                <w:tcPr>
                  <w:tcW w:w="993" w:type="dxa"/>
                  <w:tcBorders>
                    <w:top w:val="nil"/>
                    <w:left w:val="nil"/>
                    <w:bottom w:val="single" w:sz="4" w:space="0" w:color="auto"/>
                    <w:right w:val="single" w:sz="4" w:space="0" w:color="auto"/>
                  </w:tcBorders>
                  <w:noWrap/>
                  <w:vAlign w:val="center"/>
                  <w:hideMark/>
                </w:tcPr>
                <w:p w14:paraId="1CFFC4D4"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1.820</w:t>
                  </w:r>
                </w:p>
              </w:tc>
              <w:tc>
                <w:tcPr>
                  <w:tcW w:w="847" w:type="dxa"/>
                  <w:tcBorders>
                    <w:top w:val="nil"/>
                    <w:left w:val="nil"/>
                    <w:bottom w:val="single" w:sz="4" w:space="0" w:color="auto"/>
                    <w:right w:val="single" w:sz="4" w:space="0" w:color="auto"/>
                  </w:tcBorders>
                  <w:noWrap/>
                  <w:vAlign w:val="center"/>
                  <w:hideMark/>
                </w:tcPr>
                <w:p w14:paraId="1B2EC273"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20" w:type="dxa"/>
                  <w:tcBorders>
                    <w:top w:val="nil"/>
                    <w:left w:val="nil"/>
                    <w:bottom w:val="single" w:sz="4" w:space="0" w:color="auto"/>
                    <w:right w:val="single" w:sz="4" w:space="0" w:color="auto"/>
                  </w:tcBorders>
                  <w:noWrap/>
                  <w:vAlign w:val="center"/>
                  <w:hideMark/>
                </w:tcPr>
                <w:p w14:paraId="6BE6698D"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6.886</w:t>
                  </w:r>
                </w:p>
              </w:tc>
            </w:tr>
            <w:tr w:rsidR="00DF74F3" w:rsidRPr="00DF74F3" w14:paraId="64DD860F"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2F0AD59F"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Comercial</w:t>
                  </w:r>
                </w:p>
              </w:tc>
              <w:tc>
                <w:tcPr>
                  <w:tcW w:w="851" w:type="dxa"/>
                  <w:tcBorders>
                    <w:top w:val="nil"/>
                    <w:left w:val="nil"/>
                    <w:bottom w:val="single" w:sz="4" w:space="0" w:color="auto"/>
                    <w:right w:val="single" w:sz="4" w:space="0" w:color="auto"/>
                  </w:tcBorders>
                  <w:noWrap/>
                  <w:vAlign w:val="center"/>
                  <w:hideMark/>
                </w:tcPr>
                <w:p w14:paraId="4DB2126C"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203</w:t>
                  </w:r>
                </w:p>
              </w:tc>
              <w:tc>
                <w:tcPr>
                  <w:tcW w:w="1020" w:type="dxa"/>
                  <w:tcBorders>
                    <w:top w:val="nil"/>
                    <w:left w:val="nil"/>
                    <w:bottom w:val="single" w:sz="4" w:space="0" w:color="auto"/>
                    <w:right w:val="single" w:sz="4" w:space="0" w:color="auto"/>
                  </w:tcBorders>
                  <w:noWrap/>
                  <w:vAlign w:val="center"/>
                  <w:hideMark/>
                </w:tcPr>
                <w:p w14:paraId="4379A086"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13,8</w:t>
                  </w:r>
                </w:p>
              </w:tc>
              <w:tc>
                <w:tcPr>
                  <w:tcW w:w="847" w:type="dxa"/>
                  <w:tcBorders>
                    <w:top w:val="nil"/>
                    <w:left w:val="nil"/>
                    <w:bottom w:val="single" w:sz="4" w:space="0" w:color="auto"/>
                    <w:right w:val="single" w:sz="4" w:space="0" w:color="auto"/>
                  </w:tcBorders>
                  <w:noWrap/>
                  <w:vAlign w:val="center"/>
                  <w:hideMark/>
                </w:tcPr>
                <w:p w14:paraId="2C100A66"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7E6BBD19"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06426451"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1.110</w:t>
                  </w:r>
                </w:p>
              </w:tc>
              <w:tc>
                <w:tcPr>
                  <w:tcW w:w="847" w:type="dxa"/>
                  <w:tcBorders>
                    <w:top w:val="nil"/>
                    <w:left w:val="nil"/>
                    <w:bottom w:val="single" w:sz="4" w:space="0" w:color="auto"/>
                    <w:right w:val="single" w:sz="4" w:space="0" w:color="auto"/>
                  </w:tcBorders>
                  <w:noWrap/>
                  <w:vAlign w:val="center"/>
                  <w:hideMark/>
                </w:tcPr>
                <w:p w14:paraId="3C0F3132"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474</w:t>
                  </w:r>
                </w:p>
              </w:tc>
              <w:tc>
                <w:tcPr>
                  <w:tcW w:w="920" w:type="dxa"/>
                  <w:tcBorders>
                    <w:top w:val="nil"/>
                    <w:left w:val="nil"/>
                    <w:bottom w:val="single" w:sz="4" w:space="0" w:color="auto"/>
                    <w:right w:val="single" w:sz="4" w:space="0" w:color="auto"/>
                  </w:tcBorders>
                  <w:noWrap/>
                  <w:vAlign w:val="center"/>
                  <w:hideMark/>
                </w:tcPr>
                <w:p w14:paraId="2DDF26BA"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1.584</w:t>
                  </w:r>
                </w:p>
              </w:tc>
            </w:tr>
            <w:tr w:rsidR="00DF74F3" w:rsidRPr="00DF74F3" w14:paraId="327E6A64"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216CDB25"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Comercial</w:t>
                  </w:r>
                </w:p>
              </w:tc>
              <w:tc>
                <w:tcPr>
                  <w:tcW w:w="851" w:type="dxa"/>
                  <w:tcBorders>
                    <w:top w:val="nil"/>
                    <w:left w:val="nil"/>
                    <w:bottom w:val="single" w:sz="4" w:space="0" w:color="auto"/>
                    <w:right w:val="single" w:sz="4" w:space="0" w:color="auto"/>
                  </w:tcBorders>
                  <w:noWrap/>
                  <w:vAlign w:val="center"/>
                  <w:hideMark/>
                </w:tcPr>
                <w:p w14:paraId="681FF148"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204</w:t>
                  </w:r>
                </w:p>
              </w:tc>
              <w:tc>
                <w:tcPr>
                  <w:tcW w:w="1020" w:type="dxa"/>
                  <w:tcBorders>
                    <w:top w:val="nil"/>
                    <w:left w:val="nil"/>
                    <w:bottom w:val="single" w:sz="4" w:space="0" w:color="auto"/>
                    <w:right w:val="single" w:sz="4" w:space="0" w:color="auto"/>
                  </w:tcBorders>
                  <w:noWrap/>
                  <w:vAlign w:val="center"/>
                  <w:hideMark/>
                </w:tcPr>
                <w:p w14:paraId="2C784501"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11,04</w:t>
                  </w:r>
                </w:p>
              </w:tc>
              <w:tc>
                <w:tcPr>
                  <w:tcW w:w="847" w:type="dxa"/>
                  <w:tcBorders>
                    <w:top w:val="nil"/>
                    <w:left w:val="nil"/>
                    <w:bottom w:val="single" w:sz="4" w:space="0" w:color="auto"/>
                    <w:right w:val="single" w:sz="4" w:space="0" w:color="auto"/>
                  </w:tcBorders>
                  <w:noWrap/>
                  <w:vAlign w:val="center"/>
                  <w:hideMark/>
                </w:tcPr>
                <w:p w14:paraId="1CFBF5C8"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0910B8E6"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12.233</w:t>
                  </w:r>
                </w:p>
              </w:tc>
              <w:tc>
                <w:tcPr>
                  <w:tcW w:w="993" w:type="dxa"/>
                  <w:tcBorders>
                    <w:top w:val="nil"/>
                    <w:left w:val="nil"/>
                    <w:bottom w:val="single" w:sz="4" w:space="0" w:color="auto"/>
                    <w:right w:val="single" w:sz="4" w:space="0" w:color="auto"/>
                  </w:tcBorders>
                  <w:noWrap/>
                  <w:vAlign w:val="center"/>
                  <w:hideMark/>
                </w:tcPr>
                <w:p w14:paraId="61920EB8"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46.115</w:t>
                  </w:r>
                </w:p>
              </w:tc>
              <w:tc>
                <w:tcPr>
                  <w:tcW w:w="847" w:type="dxa"/>
                  <w:tcBorders>
                    <w:top w:val="nil"/>
                    <w:left w:val="nil"/>
                    <w:bottom w:val="single" w:sz="4" w:space="0" w:color="auto"/>
                    <w:right w:val="single" w:sz="4" w:space="0" w:color="auto"/>
                  </w:tcBorders>
                  <w:noWrap/>
                  <w:vAlign w:val="center"/>
                  <w:hideMark/>
                </w:tcPr>
                <w:p w14:paraId="3B4B8767"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1.137</w:t>
                  </w:r>
                </w:p>
              </w:tc>
              <w:tc>
                <w:tcPr>
                  <w:tcW w:w="920" w:type="dxa"/>
                  <w:tcBorders>
                    <w:top w:val="nil"/>
                    <w:left w:val="nil"/>
                    <w:bottom w:val="single" w:sz="4" w:space="0" w:color="auto"/>
                    <w:right w:val="single" w:sz="4" w:space="0" w:color="auto"/>
                  </w:tcBorders>
                  <w:noWrap/>
                  <w:vAlign w:val="center"/>
                  <w:hideMark/>
                </w:tcPr>
                <w:p w14:paraId="5B965D19"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59.485</w:t>
                  </w:r>
                </w:p>
              </w:tc>
            </w:tr>
            <w:tr w:rsidR="00DF74F3" w:rsidRPr="00DF74F3" w14:paraId="696DD6D5"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36C43DCB"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Financiera</w:t>
                  </w:r>
                </w:p>
              </w:tc>
              <w:tc>
                <w:tcPr>
                  <w:tcW w:w="851" w:type="dxa"/>
                  <w:tcBorders>
                    <w:top w:val="nil"/>
                    <w:left w:val="nil"/>
                    <w:bottom w:val="single" w:sz="4" w:space="0" w:color="auto"/>
                    <w:right w:val="single" w:sz="4" w:space="0" w:color="auto"/>
                  </w:tcBorders>
                  <w:noWrap/>
                  <w:vAlign w:val="center"/>
                  <w:hideMark/>
                </w:tcPr>
                <w:p w14:paraId="218368D1"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401</w:t>
                  </w:r>
                </w:p>
              </w:tc>
              <w:tc>
                <w:tcPr>
                  <w:tcW w:w="1020" w:type="dxa"/>
                  <w:tcBorders>
                    <w:top w:val="nil"/>
                    <w:left w:val="nil"/>
                    <w:bottom w:val="single" w:sz="4" w:space="0" w:color="auto"/>
                    <w:right w:val="single" w:sz="4" w:space="0" w:color="auto"/>
                  </w:tcBorders>
                  <w:noWrap/>
                  <w:vAlign w:val="center"/>
                  <w:hideMark/>
                </w:tcPr>
                <w:p w14:paraId="4958EC1F"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14</w:t>
                  </w:r>
                </w:p>
              </w:tc>
              <w:tc>
                <w:tcPr>
                  <w:tcW w:w="847" w:type="dxa"/>
                  <w:tcBorders>
                    <w:top w:val="nil"/>
                    <w:left w:val="nil"/>
                    <w:bottom w:val="single" w:sz="4" w:space="0" w:color="auto"/>
                    <w:right w:val="single" w:sz="4" w:space="0" w:color="auto"/>
                  </w:tcBorders>
                  <w:noWrap/>
                  <w:vAlign w:val="center"/>
                  <w:hideMark/>
                </w:tcPr>
                <w:p w14:paraId="73674510"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5BD174EA"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1.844</w:t>
                  </w:r>
                </w:p>
              </w:tc>
              <w:tc>
                <w:tcPr>
                  <w:tcW w:w="993" w:type="dxa"/>
                  <w:tcBorders>
                    <w:top w:val="nil"/>
                    <w:left w:val="nil"/>
                    <w:bottom w:val="single" w:sz="4" w:space="0" w:color="auto"/>
                    <w:right w:val="single" w:sz="4" w:space="0" w:color="auto"/>
                  </w:tcBorders>
                  <w:noWrap/>
                  <w:vAlign w:val="center"/>
                  <w:hideMark/>
                </w:tcPr>
                <w:p w14:paraId="0D7F29D3"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847" w:type="dxa"/>
                  <w:tcBorders>
                    <w:top w:val="nil"/>
                    <w:left w:val="nil"/>
                    <w:bottom w:val="single" w:sz="4" w:space="0" w:color="auto"/>
                    <w:right w:val="single" w:sz="4" w:space="0" w:color="auto"/>
                  </w:tcBorders>
                  <w:noWrap/>
                  <w:vAlign w:val="center"/>
                  <w:hideMark/>
                </w:tcPr>
                <w:p w14:paraId="62743DF2"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11.544</w:t>
                  </w:r>
                </w:p>
              </w:tc>
              <w:tc>
                <w:tcPr>
                  <w:tcW w:w="920" w:type="dxa"/>
                  <w:tcBorders>
                    <w:top w:val="nil"/>
                    <w:left w:val="nil"/>
                    <w:bottom w:val="single" w:sz="4" w:space="0" w:color="auto"/>
                    <w:right w:val="single" w:sz="4" w:space="0" w:color="auto"/>
                  </w:tcBorders>
                  <w:noWrap/>
                  <w:vAlign w:val="center"/>
                  <w:hideMark/>
                </w:tcPr>
                <w:p w14:paraId="207952E5"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13.388</w:t>
                  </w:r>
                </w:p>
              </w:tc>
            </w:tr>
            <w:tr w:rsidR="00DF74F3" w:rsidRPr="00DF74F3" w14:paraId="14A0D5FF"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35D799B3"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Industrial</w:t>
                  </w:r>
                </w:p>
              </w:tc>
              <w:tc>
                <w:tcPr>
                  <w:tcW w:w="851" w:type="dxa"/>
                  <w:tcBorders>
                    <w:top w:val="nil"/>
                    <w:left w:val="nil"/>
                    <w:bottom w:val="single" w:sz="4" w:space="0" w:color="auto"/>
                    <w:right w:val="single" w:sz="4" w:space="0" w:color="auto"/>
                  </w:tcBorders>
                  <w:noWrap/>
                  <w:vAlign w:val="center"/>
                  <w:hideMark/>
                </w:tcPr>
                <w:p w14:paraId="2B302638"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101</w:t>
                  </w:r>
                </w:p>
              </w:tc>
              <w:tc>
                <w:tcPr>
                  <w:tcW w:w="1020" w:type="dxa"/>
                  <w:tcBorders>
                    <w:top w:val="nil"/>
                    <w:left w:val="nil"/>
                    <w:bottom w:val="single" w:sz="4" w:space="0" w:color="auto"/>
                    <w:right w:val="single" w:sz="4" w:space="0" w:color="auto"/>
                  </w:tcBorders>
                  <w:noWrap/>
                  <w:vAlign w:val="center"/>
                  <w:hideMark/>
                </w:tcPr>
                <w:p w14:paraId="7137030A"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4,14</w:t>
                  </w:r>
                </w:p>
              </w:tc>
              <w:tc>
                <w:tcPr>
                  <w:tcW w:w="847" w:type="dxa"/>
                  <w:tcBorders>
                    <w:top w:val="nil"/>
                    <w:left w:val="nil"/>
                    <w:bottom w:val="single" w:sz="4" w:space="0" w:color="auto"/>
                    <w:right w:val="single" w:sz="4" w:space="0" w:color="auto"/>
                  </w:tcBorders>
                  <w:noWrap/>
                  <w:vAlign w:val="center"/>
                  <w:hideMark/>
                </w:tcPr>
                <w:p w14:paraId="667C8886"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9.050</w:t>
                  </w:r>
                </w:p>
              </w:tc>
              <w:tc>
                <w:tcPr>
                  <w:tcW w:w="993" w:type="dxa"/>
                  <w:tcBorders>
                    <w:top w:val="nil"/>
                    <w:left w:val="nil"/>
                    <w:bottom w:val="single" w:sz="4" w:space="0" w:color="auto"/>
                    <w:right w:val="single" w:sz="4" w:space="0" w:color="auto"/>
                  </w:tcBorders>
                  <w:noWrap/>
                  <w:vAlign w:val="center"/>
                  <w:hideMark/>
                </w:tcPr>
                <w:p w14:paraId="528E5A1D"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87</w:t>
                  </w:r>
                </w:p>
              </w:tc>
              <w:tc>
                <w:tcPr>
                  <w:tcW w:w="993" w:type="dxa"/>
                  <w:tcBorders>
                    <w:top w:val="nil"/>
                    <w:left w:val="nil"/>
                    <w:bottom w:val="single" w:sz="4" w:space="0" w:color="auto"/>
                    <w:right w:val="single" w:sz="4" w:space="0" w:color="auto"/>
                  </w:tcBorders>
                  <w:noWrap/>
                  <w:vAlign w:val="center"/>
                  <w:hideMark/>
                </w:tcPr>
                <w:p w14:paraId="3A23F7C8"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170</w:t>
                  </w:r>
                </w:p>
              </w:tc>
              <w:tc>
                <w:tcPr>
                  <w:tcW w:w="847" w:type="dxa"/>
                  <w:tcBorders>
                    <w:top w:val="nil"/>
                    <w:left w:val="nil"/>
                    <w:bottom w:val="single" w:sz="4" w:space="0" w:color="auto"/>
                    <w:right w:val="single" w:sz="4" w:space="0" w:color="auto"/>
                  </w:tcBorders>
                  <w:noWrap/>
                  <w:vAlign w:val="center"/>
                  <w:hideMark/>
                </w:tcPr>
                <w:p w14:paraId="10E5870E"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20" w:type="dxa"/>
                  <w:tcBorders>
                    <w:top w:val="nil"/>
                    <w:left w:val="nil"/>
                    <w:bottom w:val="single" w:sz="4" w:space="0" w:color="auto"/>
                    <w:right w:val="single" w:sz="4" w:space="0" w:color="auto"/>
                  </w:tcBorders>
                  <w:noWrap/>
                  <w:vAlign w:val="center"/>
                  <w:hideMark/>
                </w:tcPr>
                <w:p w14:paraId="507ADDEE"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9.307</w:t>
                  </w:r>
                </w:p>
              </w:tc>
            </w:tr>
            <w:tr w:rsidR="00DF74F3" w:rsidRPr="00DF74F3" w14:paraId="6644B293"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793E45A4"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Industrial</w:t>
                  </w:r>
                </w:p>
              </w:tc>
              <w:tc>
                <w:tcPr>
                  <w:tcW w:w="851" w:type="dxa"/>
                  <w:tcBorders>
                    <w:top w:val="nil"/>
                    <w:left w:val="nil"/>
                    <w:bottom w:val="single" w:sz="4" w:space="0" w:color="auto"/>
                    <w:right w:val="single" w:sz="4" w:space="0" w:color="auto"/>
                  </w:tcBorders>
                  <w:noWrap/>
                  <w:vAlign w:val="center"/>
                  <w:hideMark/>
                </w:tcPr>
                <w:p w14:paraId="650292A5"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102</w:t>
                  </w:r>
                </w:p>
              </w:tc>
              <w:tc>
                <w:tcPr>
                  <w:tcW w:w="1020" w:type="dxa"/>
                  <w:tcBorders>
                    <w:top w:val="nil"/>
                    <w:left w:val="nil"/>
                    <w:bottom w:val="single" w:sz="4" w:space="0" w:color="auto"/>
                    <w:right w:val="single" w:sz="4" w:space="0" w:color="auto"/>
                  </w:tcBorders>
                  <w:noWrap/>
                  <w:vAlign w:val="center"/>
                  <w:hideMark/>
                </w:tcPr>
                <w:p w14:paraId="2EC0BDB4"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6,9</w:t>
                  </w:r>
                </w:p>
              </w:tc>
              <w:tc>
                <w:tcPr>
                  <w:tcW w:w="847" w:type="dxa"/>
                  <w:tcBorders>
                    <w:top w:val="nil"/>
                    <w:left w:val="nil"/>
                    <w:bottom w:val="single" w:sz="4" w:space="0" w:color="auto"/>
                    <w:right w:val="single" w:sz="4" w:space="0" w:color="auto"/>
                  </w:tcBorders>
                  <w:noWrap/>
                  <w:vAlign w:val="center"/>
                  <w:hideMark/>
                </w:tcPr>
                <w:p w14:paraId="333A5C3D"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43</w:t>
                  </w:r>
                </w:p>
              </w:tc>
              <w:tc>
                <w:tcPr>
                  <w:tcW w:w="993" w:type="dxa"/>
                  <w:tcBorders>
                    <w:top w:val="nil"/>
                    <w:left w:val="nil"/>
                    <w:bottom w:val="single" w:sz="4" w:space="0" w:color="auto"/>
                    <w:right w:val="single" w:sz="4" w:space="0" w:color="auto"/>
                  </w:tcBorders>
                  <w:noWrap/>
                  <w:vAlign w:val="center"/>
                  <w:hideMark/>
                </w:tcPr>
                <w:p w14:paraId="60F14C53"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856</w:t>
                  </w:r>
                </w:p>
              </w:tc>
              <w:tc>
                <w:tcPr>
                  <w:tcW w:w="993" w:type="dxa"/>
                  <w:tcBorders>
                    <w:top w:val="nil"/>
                    <w:left w:val="nil"/>
                    <w:bottom w:val="single" w:sz="4" w:space="0" w:color="auto"/>
                    <w:right w:val="single" w:sz="4" w:space="0" w:color="auto"/>
                  </w:tcBorders>
                  <w:noWrap/>
                  <w:vAlign w:val="center"/>
                  <w:hideMark/>
                </w:tcPr>
                <w:p w14:paraId="240A06E3"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395</w:t>
                  </w:r>
                </w:p>
              </w:tc>
              <w:tc>
                <w:tcPr>
                  <w:tcW w:w="847" w:type="dxa"/>
                  <w:tcBorders>
                    <w:top w:val="nil"/>
                    <w:left w:val="nil"/>
                    <w:bottom w:val="single" w:sz="4" w:space="0" w:color="auto"/>
                    <w:right w:val="single" w:sz="4" w:space="0" w:color="auto"/>
                  </w:tcBorders>
                  <w:noWrap/>
                  <w:vAlign w:val="center"/>
                  <w:hideMark/>
                </w:tcPr>
                <w:p w14:paraId="2FB6FA2C"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20" w:type="dxa"/>
                  <w:tcBorders>
                    <w:top w:val="nil"/>
                    <w:left w:val="nil"/>
                    <w:bottom w:val="single" w:sz="4" w:space="0" w:color="auto"/>
                    <w:right w:val="single" w:sz="4" w:space="0" w:color="auto"/>
                  </w:tcBorders>
                  <w:noWrap/>
                  <w:vAlign w:val="center"/>
                  <w:hideMark/>
                </w:tcPr>
                <w:p w14:paraId="19A83D4F"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1.294</w:t>
                  </w:r>
                </w:p>
              </w:tc>
            </w:tr>
            <w:tr w:rsidR="00DF74F3" w:rsidRPr="00DF74F3" w14:paraId="265828FC"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7483980D"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Industrial</w:t>
                  </w:r>
                </w:p>
              </w:tc>
              <w:tc>
                <w:tcPr>
                  <w:tcW w:w="851" w:type="dxa"/>
                  <w:tcBorders>
                    <w:top w:val="nil"/>
                    <w:left w:val="nil"/>
                    <w:bottom w:val="single" w:sz="4" w:space="0" w:color="auto"/>
                    <w:right w:val="single" w:sz="4" w:space="0" w:color="auto"/>
                  </w:tcBorders>
                  <w:noWrap/>
                  <w:vAlign w:val="center"/>
                  <w:hideMark/>
                </w:tcPr>
                <w:p w14:paraId="776D2514"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103</w:t>
                  </w:r>
                </w:p>
              </w:tc>
              <w:tc>
                <w:tcPr>
                  <w:tcW w:w="1020" w:type="dxa"/>
                  <w:tcBorders>
                    <w:top w:val="nil"/>
                    <w:left w:val="nil"/>
                    <w:bottom w:val="single" w:sz="4" w:space="0" w:color="auto"/>
                    <w:right w:val="single" w:sz="4" w:space="0" w:color="auto"/>
                  </w:tcBorders>
                  <w:noWrap/>
                  <w:vAlign w:val="center"/>
                  <w:hideMark/>
                </w:tcPr>
                <w:p w14:paraId="313461EF"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11,04</w:t>
                  </w:r>
                </w:p>
              </w:tc>
              <w:tc>
                <w:tcPr>
                  <w:tcW w:w="847" w:type="dxa"/>
                  <w:tcBorders>
                    <w:top w:val="nil"/>
                    <w:left w:val="nil"/>
                    <w:bottom w:val="single" w:sz="4" w:space="0" w:color="auto"/>
                    <w:right w:val="single" w:sz="4" w:space="0" w:color="auto"/>
                  </w:tcBorders>
                  <w:noWrap/>
                  <w:vAlign w:val="center"/>
                  <w:hideMark/>
                </w:tcPr>
                <w:p w14:paraId="419DD66E"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5F38142C"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10.353</w:t>
                  </w:r>
                </w:p>
              </w:tc>
              <w:tc>
                <w:tcPr>
                  <w:tcW w:w="993" w:type="dxa"/>
                  <w:tcBorders>
                    <w:top w:val="nil"/>
                    <w:left w:val="nil"/>
                    <w:bottom w:val="single" w:sz="4" w:space="0" w:color="auto"/>
                    <w:right w:val="single" w:sz="4" w:space="0" w:color="auto"/>
                  </w:tcBorders>
                  <w:noWrap/>
                  <w:vAlign w:val="center"/>
                  <w:hideMark/>
                </w:tcPr>
                <w:p w14:paraId="056AD080"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11.873</w:t>
                  </w:r>
                </w:p>
              </w:tc>
              <w:tc>
                <w:tcPr>
                  <w:tcW w:w="847" w:type="dxa"/>
                  <w:tcBorders>
                    <w:top w:val="nil"/>
                    <w:left w:val="nil"/>
                    <w:bottom w:val="single" w:sz="4" w:space="0" w:color="auto"/>
                    <w:right w:val="single" w:sz="4" w:space="0" w:color="auto"/>
                  </w:tcBorders>
                  <w:noWrap/>
                  <w:vAlign w:val="center"/>
                  <w:hideMark/>
                </w:tcPr>
                <w:p w14:paraId="6DCD8348"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20" w:type="dxa"/>
                  <w:tcBorders>
                    <w:top w:val="nil"/>
                    <w:left w:val="nil"/>
                    <w:bottom w:val="single" w:sz="4" w:space="0" w:color="auto"/>
                    <w:right w:val="single" w:sz="4" w:space="0" w:color="auto"/>
                  </w:tcBorders>
                  <w:noWrap/>
                  <w:vAlign w:val="center"/>
                  <w:hideMark/>
                </w:tcPr>
                <w:p w14:paraId="0032579F"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22.226</w:t>
                  </w:r>
                </w:p>
              </w:tc>
            </w:tr>
            <w:tr w:rsidR="00DF74F3" w:rsidRPr="00DF74F3" w14:paraId="5DE1D87B"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1F290432"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Industrial</w:t>
                  </w:r>
                </w:p>
              </w:tc>
              <w:tc>
                <w:tcPr>
                  <w:tcW w:w="851" w:type="dxa"/>
                  <w:tcBorders>
                    <w:top w:val="nil"/>
                    <w:left w:val="nil"/>
                    <w:bottom w:val="single" w:sz="4" w:space="0" w:color="auto"/>
                    <w:right w:val="single" w:sz="4" w:space="0" w:color="auto"/>
                  </w:tcBorders>
                  <w:noWrap/>
                  <w:vAlign w:val="center"/>
                  <w:hideMark/>
                </w:tcPr>
                <w:p w14:paraId="0392C051"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103</w:t>
                  </w:r>
                </w:p>
              </w:tc>
              <w:tc>
                <w:tcPr>
                  <w:tcW w:w="1020" w:type="dxa"/>
                  <w:tcBorders>
                    <w:top w:val="nil"/>
                    <w:left w:val="nil"/>
                    <w:bottom w:val="single" w:sz="4" w:space="0" w:color="auto"/>
                    <w:right w:val="single" w:sz="4" w:space="0" w:color="auto"/>
                  </w:tcBorders>
                  <w:noWrap/>
                  <w:vAlign w:val="center"/>
                  <w:hideMark/>
                </w:tcPr>
                <w:p w14:paraId="2FE8A836"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12,14</w:t>
                  </w:r>
                </w:p>
              </w:tc>
              <w:tc>
                <w:tcPr>
                  <w:tcW w:w="847" w:type="dxa"/>
                  <w:tcBorders>
                    <w:top w:val="nil"/>
                    <w:left w:val="nil"/>
                    <w:bottom w:val="single" w:sz="4" w:space="0" w:color="auto"/>
                    <w:right w:val="single" w:sz="4" w:space="0" w:color="auto"/>
                  </w:tcBorders>
                  <w:noWrap/>
                  <w:vAlign w:val="center"/>
                  <w:hideMark/>
                </w:tcPr>
                <w:p w14:paraId="0B89EFB8"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45BE1FFD"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29DE04F4"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925</w:t>
                  </w:r>
                </w:p>
              </w:tc>
              <w:tc>
                <w:tcPr>
                  <w:tcW w:w="847" w:type="dxa"/>
                  <w:tcBorders>
                    <w:top w:val="nil"/>
                    <w:left w:val="nil"/>
                    <w:bottom w:val="single" w:sz="4" w:space="0" w:color="auto"/>
                    <w:right w:val="single" w:sz="4" w:space="0" w:color="auto"/>
                  </w:tcBorders>
                  <w:noWrap/>
                  <w:vAlign w:val="center"/>
                  <w:hideMark/>
                </w:tcPr>
                <w:p w14:paraId="4570C887"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20" w:type="dxa"/>
                  <w:tcBorders>
                    <w:top w:val="nil"/>
                    <w:left w:val="nil"/>
                    <w:bottom w:val="single" w:sz="4" w:space="0" w:color="auto"/>
                    <w:right w:val="single" w:sz="4" w:space="0" w:color="auto"/>
                  </w:tcBorders>
                  <w:noWrap/>
                  <w:vAlign w:val="center"/>
                  <w:hideMark/>
                </w:tcPr>
                <w:p w14:paraId="12C9AC40"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925</w:t>
                  </w:r>
                </w:p>
              </w:tc>
            </w:tr>
            <w:tr w:rsidR="00DF74F3" w:rsidRPr="00DF74F3" w14:paraId="45551A2B"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3C3AE098"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Industrial</w:t>
                  </w:r>
                </w:p>
              </w:tc>
              <w:tc>
                <w:tcPr>
                  <w:tcW w:w="851" w:type="dxa"/>
                  <w:tcBorders>
                    <w:top w:val="nil"/>
                    <w:left w:val="nil"/>
                    <w:bottom w:val="single" w:sz="4" w:space="0" w:color="auto"/>
                    <w:right w:val="single" w:sz="4" w:space="0" w:color="auto"/>
                  </w:tcBorders>
                  <w:noWrap/>
                  <w:vAlign w:val="center"/>
                  <w:hideMark/>
                </w:tcPr>
                <w:p w14:paraId="39C6EF00"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104</w:t>
                  </w:r>
                </w:p>
              </w:tc>
              <w:tc>
                <w:tcPr>
                  <w:tcW w:w="1020" w:type="dxa"/>
                  <w:tcBorders>
                    <w:top w:val="nil"/>
                    <w:left w:val="nil"/>
                    <w:bottom w:val="single" w:sz="4" w:space="0" w:color="auto"/>
                    <w:right w:val="single" w:sz="4" w:space="0" w:color="auto"/>
                  </w:tcBorders>
                  <w:noWrap/>
                  <w:vAlign w:val="center"/>
                  <w:hideMark/>
                </w:tcPr>
                <w:p w14:paraId="1FCBAD4A"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8</w:t>
                  </w:r>
                </w:p>
              </w:tc>
              <w:tc>
                <w:tcPr>
                  <w:tcW w:w="847" w:type="dxa"/>
                  <w:tcBorders>
                    <w:top w:val="nil"/>
                    <w:left w:val="nil"/>
                    <w:bottom w:val="single" w:sz="4" w:space="0" w:color="auto"/>
                    <w:right w:val="single" w:sz="4" w:space="0" w:color="auto"/>
                  </w:tcBorders>
                  <w:noWrap/>
                  <w:vAlign w:val="center"/>
                  <w:hideMark/>
                </w:tcPr>
                <w:p w14:paraId="63C3C500"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68697806"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56</w:t>
                  </w:r>
                </w:p>
              </w:tc>
              <w:tc>
                <w:tcPr>
                  <w:tcW w:w="993" w:type="dxa"/>
                  <w:tcBorders>
                    <w:top w:val="nil"/>
                    <w:left w:val="nil"/>
                    <w:bottom w:val="single" w:sz="4" w:space="0" w:color="auto"/>
                    <w:right w:val="single" w:sz="4" w:space="0" w:color="auto"/>
                  </w:tcBorders>
                  <w:noWrap/>
                  <w:vAlign w:val="center"/>
                  <w:hideMark/>
                </w:tcPr>
                <w:p w14:paraId="312E7504"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847" w:type="dxa"/>
                  <w:tcBorders>
                    <w:top w:val="nil"/>
                    <w:left w:val="nil"/>
                    <w:bottom w:val="single" w:sz="4" w:space="0" w:color="auto"/>
                    <w:right w:val="single" w:sz="4" w:space="0" w:color="auto"/>
                  </w:tcBorders>
                  <w:noWrap/>
                  <w:vAlign w:val="center"/>
                  <w:hideMark/>
                </w:tcPr>
                <w:p w14:paraId="5E4BF770"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20" w:type="dxa"/>
                  <w:tcBorders>
                    <w:top w:val="nil"/>
                    <w:left w:val="nil"/>
                    <w:bottom w:val="single" w:sz="4" w:space="0" w:color="auto"/>
                    <w:right w:val="single" w:sz="4" w:space="0" w:color="auto"/>
                  </w:tcBorders>
                  <w:noWrap/>
                  <w:vAlign w:val="center"/>
                  <w:hideMark/>
                </w:tcPr>
                <w:p w14:paraId="23606D7D"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56</w:t>
                  </w:r>
                </w:p>
              </w:tc>
            </w:tr>
            <w:tr w:rsidR="00DF74F3" w:rsidRPr="00DF74F3" w14:paraId="30934778"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6CD9C194"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Servicios</w:t>
                  </w:r>
                </w:p>
              </w:tc>
              <w:tc>
                <w:tcPr>
                  <w:tcW w:w="851" w:type="dxa"/>
                  <w:tcBorders>
                    <w:top w:val="nil"/>
                    <w:left w:val="nil"/>
                    <w:bottom w:val="single" w:sz="4" w:space="0" w:color="auto"/>
                    <w:right w:val="single" w:sz="4" w:space="0" w:color="auto"/>
                  </w:tcBorders>
                  <w:noWrap/>
                  <w:vAlign w:val="center"/>
                  <w:hideMark/>
                </w:tcPr>
                <w:p w14:paraId="78E4426C"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301</w:t>
                  </w:r>
                </w:p>
              </w:tc>
              <w:tc>
                <w:tcPr>
                  <w:tcW w:w="1020" w:type="dxa"/>
                  <w:tcBorders>
                    <w:top w:val="nil"/>
                    <w:left w:val="nil"/>
                    <w:bottom w:val="single" w:sz="4" w:space="0" w:color="auto"/>
                    <w:right w:val="single" w:sz="4" w:space="0" w:color="auto"/>
                  </w:tcBorders>
                  <w:noWrap/>
                  <w:vAlign w:val="center"/>
                  <w:hideMark/>
                </w:tcPr>
                <w:p w14:paraId="67D52C95"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4,14</w:t>
                  </w:r>
                </w:p>
              </w:tc>
              <w:tc>
                <w:tcPr>
                  <w:tcW w:w="847" w:type="dxa"/>
                  <w:tcBorders>
                    <w:top w:val="nil"/>
                    <w:left w:val="nil"/>
                    <w:bottom w:val="single" w:sz="4" w:space="0" w:color="auto"/>
                    <w:right w:val="single" w:sz="4" w:space="0" w:color="auto"/>
                  </w:tcBorders>
                  <w:noWrap/>
                  <w:vAlign w:val="center"/>
                  <w:hideMark/>
                </w:tcPr>
                <w:p w14:paraId="781C3A00"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11.136</w:t>
                  </w:r>
                </w:p>
              </w:tc>
              <w:tc>
                <w:tcPr>
                  <w:tcW w:w="993" w:type="dxa"/>
                  <w:tcBorders>
                    <w:top w:val="nil"/>
                    <w:left w:val="nil"/>
                    <w:bottom w:val="single" w:sz="4" w:space="0" w:color="auto"/>
                    <w:right w:val="single" w:sz="4" w:space="0" w:color="auto"/>
                  </w:tcBorders>
                  <w:noWrap/>
                  <w:vAlign w:val="center"/>
                  <w:hideMark/>
                </w:tcPr>
                <w:p w14:paraId="6DEA0516"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384</w:t>
                  </w:r>
                </w:p>
              </w:tc>
              <w:tc>
                <w:tcPr>
                  <w:tcW w:w="993" w:type="dxa"/>
                  <w:tcBorders>
                    <w:top w:val="nil"/>
                    <w:left w:val="nil"/>
                    <w:bottom w:val="single" w:sz="4" w:space="0" w:color="auto"/>
                    <w:right w:val="single" w:sz="4" w:space="0" w:color="auto"/>
                  </w:tcBorders>
                  <w:noWrap/>
                  <w:vAlign w:val="center"/>
                  <w:hideMark/>
                </w:tcPr>
                <w:p w14:paraId="45D21D32"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847" w:type="dxa"/>
                  <w:tcBorders>
                    <w:top w:val="nil"/>
                    <w:left w:val="nil"/>
                    <w:bottom w:val="single" w:sz="4" w:space="0" w:color="auto"/>
                    <w:right w:val="single" w:sz="4" w:space="0" w:color="auto"/>
                  </w:tcBorders>
                  <w:noWrap/>
                  <w:vAlign w:val="center"/>
                  <w:hideMark/>
                </w:tcPr>
                <w:p w14:paraId="28B6D8EA"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20" w:type="dxa"/>
                  <w:tcBorders>
                    <w:top w:val="nil"/>
                    <w:left w:val="nil"/>
                    <w:bottom w:val="single" w:sz="4" w:space="0" w:color="auto"/>
                    <w:right w:val="single" w:sz="4" w:space="0" w:color="auto"/>
                  </w:tcBorders>
                  <w:noWrap/>
                  <w:vAlign w:val="center"/>
                  <w:hideMark/>
                </w:tcPr>
                <w:p w14:paraId="09AC4302"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11.520</w:t>
                  </w:r>
                </w:p>
              </w:tc>
            </w:tr>
            <w:tr w:rsidR="00DF74F3" w:rsidRPr="00DF74F3" w14:paraId="2D9797DC"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1D2992B9"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Servicios</w:t>
                  </w:r>
                </w:p>
              </w:tc>
              <w:tc>
                <w:tcPr>
                  <w:tcW w:w="851" w:type="dxa"/>
                  <w:tcBorders>
                    <w:top w:val="nil"/>
                    <w:left w:val="nil"/>
                    <w:bottom w:val="single" w:sz="4" w:space="0" w:color="auto"/>
                    <w:right w:val="single" w:sz="4" w:space="0" w:color="auto"/>
                  </w:tcBorders>
                  <w:noWrap/>
                  <w:vAlign w:val="center"/>
                  <w:hideMark/>
                </w:tcPr>
                <w:p w14:paraId="5EEE8BA9"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302</w:t>
                  </w:r>
                </w:p>
              </w:tc>
              <w:tc>
                <w:tcPr>
                  <w:tcW w:w="1020" w:type="dxa"/>
                  <w:tcBorders>
                    <w:top w:val="nil"/>
                    <w:left w:val="nil"/>
                    <w:bottom w:val="single" w:sz="4" w:space="0" w:color="auto"/>
                    <w:right w:val="single" w:sz="4" w:space="0" w:color="auto"/>
                  </w:tcBorders>
                  <w:noWrap/>
                  <w:vAlign w:val="center"/>
                  <w:hideMark/>
                </w:tcPr>
                <w:p w14:paraId="0070C50A"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6,9</w:t>
                  </w:r>
                </w:p>
              </w:tc>
              <w:tc>
                <w:tcPr>
                  <w:tcW w:w="847" w:type="dxa"/>
                  <w:tcBorders>
                    <w:top w:val="nil"/>
                    <w:left w:val="nil"/>
                    <w:bottom w:val="single" w:sz="4" w:space="0" w:color="auto"/>
                    <w:right w:val="single" w:sz="4" w:space="0" w:color="auto"/>
                  </w:tcBorders>
                  <w:noWrap/>
                  <w:vAlign w:val="center"/>
                  <w:hideMark/>
                </w:tcPr>
                <w:p w14:paraId="0143C0AA"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1F42FDCC"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3.820</w:t>
                  </w:r>
                </w:p>
              </w:tc>
              <w:tc>
                <w:tcPr>
                  <w:tcW w:w="993" w:type="dxa"/>
                  <w:tcBorders>
                    <w:top w:val="nil"/>
                    <w:left w:val="nil"/>
                    <w:bottom w:val="single" w:sz="4" w:space="0" w:color="auto"/>
                    <w:right w:val="single" w:sz="4" w:space="0" w:color="auto"/>
                  </w:tcBorders>
                  <w:noWrap/>
                  <w:vAlign w:val="center"/>
                  <w:hideMark/>
                </w:tcPr>
                <w:p w14:paraId="680F3762"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7.791</w:t>
                  </w:r>
                </w:p>
              </w:tc>
              <w:tc>
                <w:tcPr>
                  <w:tcW w:w="847" w:type="dxa"/>
                  <w:tcBorders>
                    <w:top w:val="nil"/>
                    <w:left w:val="nil"/>
                    <w:bottom w:val="single" w:sz="4" w:space="0" w:color="auto"/>
                    <w:right w:val="single" w:sz="4" w:space="0" w:color="auto"/>
                  </w:tcBorders>
                  <w:noWrap/>
                  <w:vAlign w:val="center"/>
                  <w:hideMark/>
                </w:tcPr>
                <w:p w14:paraId="2ACCABF8"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20" w:type="dxa"/>
                  <w:tcBorders>
                    <w:top w:val="nil"/>
                    <w:left w:val="nil"/>
                    <w:bottom w:val="single" w:sz="4" w:space="0" w:color="auto"/>
                    <w:right w:val="single" w:sz="4" w:space="0" w:color="auto"/>
                  </w:tcBorders>
                  <w:noWrap/>
                  <w:vAlign w:val="center"/>
                  <w:hideMark/>
                </w:tcPr>
                <w:p w14:paraId="08EE008B"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11.611</w:t>
                  </w:r>
                </w:p>
              </w:tc>
            </w:tr>
            <w:tr w:rsidR="00DF74F3" w:rsidRPr="00DF74F3" w14:paraId="4D964FEF"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2BA991B7"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Servicios</w:t>
                  </w:r>
                </w:p>
              </w:tc>
              <w:tc>
                <w:tcPr>
                  <w:tcW w:w="851" w:type="dxa"/>
                  <w:tcBorders>
                    <w:top w:val="nil"/>
                    <w:left w:val="nil"/>
                    <w:bottom w:val="single" w:sz="4" w:space="0" w:color="auto"/>
                    <w:right w:val="single" w:sz="4" w:space="0" w:color="auto"/>
                  </w:tcBorders>
                  <w:noWrap/>
                  <w:vAlign w:val="center"/>
                  <w:hideMark/>
                </w:tcPr>
                <w:p w14:paraId="2347D533"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302</w:t>
                  </w:r>
                </w:p>
              </w:tc>
              <w:tc>
                <w:tcPr>
                  <w:tcW w:w="1020" w:type="dxa"/>
                  <w:tcBorders>
                    <w:top w:val="nil"/>
                    <w:left w:val="nil"/>
                    <w:bottom w:val="single" w:sz="4" w:space="0" w:color="auto"/>
                    <w:right w:val="single" w:sz="4" w:space="0" w:color="auto"/>
                  </w:tcBorders>
                  <w:noWrap/>
                  <w:vAlign w:val="center"/>
                  <w:hideMark/>
                </w:tcPr>
                <w:p w14:paraId="15CAD674"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7,6</w:t>
                  </w:r>
                </w:p>
              </w:tc>
              <w:tc>
                <w:tcPr>
                  <w:tcW w:w="847" w:type="dxa"/>
                  <w:tcBorders>
                    <w:top w:val="nil"/>
                    <w:left w:val="nil"/>
                    <w:bottom w:val="single" w:sz="4" w:space="0" w:color="auto"/>
                    <w:right w:val="single" w:sz="4" w:space="0" w:color="auto"/>
                  </w:tcBorders>
                  <w:noWrap/>
                  <w:vAlign w:val="center"/>
                  <w:hideMark/>
                </w:tcPr>
                <w:p w14:paraId="2191DA36"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736D1AB0"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5.422</w:t>
                  </w:r>
                </w:p>
              </w:tc>
              <w:tc>
                <w:tcPr>
                  <w:tcW w:w="993" w:type="dxa"/>
                  <w:tcBorders>
                    <w:top w:val="nil"/>
                    <w:left w:val="nil"/>
                    <w:bottom w:val="single" w:sz="4" w:space="0" w:color="auto"/>
                    <w:right w:val="single" w:sz="4" w:space="0" w:color="auto"/>
                  </w:tcBorders>
                  <w:noWrap/>
                  <w:vAlign w:val="center"/>
                  <w:hideMark/>
                </w:tcPr>
                <w:p w14:paraId="3BA5C04F"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4.454</w:t>
                  </w:r>
                </w:p>
              </w:tc>
              <w:tc>
                <w:tcPr>
                  <w:tcW w:w="847" w:type="dxa"/>
                  <w:tcBorders>
                    <w:top w:val="nil"/>
                    <w:left w:val="nil"/>
                    <w:bottom w:val="single" w:sz="4" w:space="0" w:color="auto"/>
                    <w:right w:val="single" w:sz="4" w:space="0" w:color="auto"/>
                  </w:tcBorders>
                  <w:noWrap/>
                  <w:vAlign w:val="center"/>
                  <w:hideMark/>
                </w:tcPr>
                <w:p w14:paraId="60CF5F9A"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20" w:type="dxa"/>
                  <w:tcBorders>
                    <w:top w:val="nil"/>
                    <w:left w:val="nil"/>
                    <w:bottom w:val="single" w:sz="4" w:space="0" w:color="auto"/>
                    <w:right w:val="single" w:sz="4" w:space="0" w:color="auto"/>
                  </w:tcBorders>
                  <w:noWrap/>
                  <w:vAlign w:val="center"/>
                  <w:hideMark/>
                </w:tcPr>
                <w:p w14:paraId="0E938D09"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9.876</w:t>
                  </w:r>
                </w:p>
              </w:tc>
            </w:tr>
            <w:tr w:rsidR="00DF74F3" w:rsidRPr="00DF74F3" w14:paraId="360E932B"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1A857079"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Servicios</w:t>
                  </w:r>
                </w:p>
              </w:tc>
              <w:tc>
                <w:tcPr>
                  <w:tcW w:w="851" w:type="dxa"/>
                  <w:tcBorders>
                    <w:top w:val="nil"/>
                    <w:left w:val="nil"/>
                    <w:bottom w:val="single" w:sz="4" w:space="0" w:color="auto"/>
                    <w:right w:val="single" w:sz="4" w:space="0" w:color="auto"/>
                  </w:tcBorders>
                  <w:noWrap/>
                  <w:vAlign w:val="center"/>
                  <w:hideMark/>
                </w:tcPr>
                <w:p w14:paraId="0C3893F9"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302</w:t>
                  </w:r>
                </w:p>
              </w:tc>
              <w:tc>
                <w:tcPr>
                  <w:tcW w:w="1020" w:type="dxa"/>
                  <w:tcBorders>
                    <w:top w:val="nil"/>
                    <w:left w:val="nil"/>
                    <w:bottom w:val="single" w:sz="4" w:space="0" w:color="auto"/>
                    <w:right w:val="single" w:sz="4" w:space="0" w:color="auto"/>
                  </w:tcBorders>
                  <w:noWrap/>
                  <w:vAlign w:val="center"/>
                  <w:hideMark/>
                </w:tcPr>
                <w:p w14:paraId="71916BE7"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8,66</w:t>
                  </w:r>
                </w:p>
              </w:tc>
              <w:tc>
                <w:tcPr>
                  <w:tcW w:w="847" w:type="dxa"/>
                  <w:tcBorders>
                    <w:top w:val="nil"/>
                    <w:left w:val="nil"/>
                    <w:bottom w:val="single" w:sz="4" w:space="0" w:color="auto"/>
                    <w:right w:val="single" w:sz="4" w:space="0" w:color="auto"/>
                  </w:tcBorders>
                  <w:noWrap/>
                  <w:vAlign w:val="center"/>
                  <w:hideMark/>
                </w:tcPr>
                <w:p w14:paraId="72E582D0"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69D8562D"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23.419</w:t>
                  </w:r>
                </w:p>
              </w:tc>
              <w:tc>
                <w:tcPr>
                  <w:tcW w:w="993" w:type="dxa"/>
                  <w:tcBorders>
                    <w:top w:val="nil"/>
                    <w:left w:val="nil"/>
                    <w:bottom w:val="single" w:sz="4" w:space="0" w:color="auto"/>
                    <w:right w:val="single" w:sz="4" w:space="0" w:color="auto"/>
                  </w:tcBorders>
                  <w:noWrap/>
                  <w:vAlign w:val="center"/>
                  <w:hideMark/>
                </w:tcPr>
                <w:p w14:paraId="2B6EFCDA"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3.262</w:t>
                  </w:r>
                </w:p>
              </w:tc>
              <w:tc>
                <w:tcPr>
                  <w:tcW w:w="847" w:type="dxa"/>
                  <w:tcBorders>
                    <w:top w:val="nil"/>
                    <w:left w:val="nil"/>
                    <w:bottom w:val="single" w:sz="4" w:space="0" w:color="auto"/>
                    <w:right w:val="single" w:sz="4" w:space="0" w:color="auto"/>
                  </w:tcBorders>
                  <w:noWrap/>
                  <w:vAlign w:val="center"/>
                  <w:hideMark/>
                </w:tcPr>
                <w:p w14:paraId="5BE6FE60"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20" w:type="dxa"/>
                  <w:tcBorders>
                    <w:top w:val="nil"/>
                    <w:left w:val="nil"/>
                    <w:bottom w:val="single" w:sz="4" w:space="0" w:color="auto"/>
                    <w:right w:val="single" w:sz="4" w:space="0" w:color="auto"/>
                  </w:tcBorders>
                  <w:noWrap/>
                  <w:vAlign w:val="center"/>
                  <w:hideMark/>
                </w:tcPr>
                <w:p w14:paraId="47B99825"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26.681</w:t>
                  </w:r>
                </w:p>
              </w:tc>
            </w:tr>
            <w:tr w:rsidR="00DF74F3" w:rsidRPr="00DF74F3" w14:paraId="17D3181E"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68309649"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Servicios</w:t>
                  </w:r>
                </w:p>
              </w:tc>
              <w:tc>
                <w:tcPr>
                  <w:tcW w:w="851" w:type="dxa"/>
                  <w:tcBorders>
                    <w:top w:val="nil"/>
                    <w:left w:val="nil"/>
                    <w:bottom w:val="single" w:sz="4" w:space="0" w:color="auto"/>
                    <w:right w:val="single" w:sz="4" w:space="0" w:color="auto"/>
                  </w:tcBorders>
                  <w:noWrap/>
                  <w:vAlign w:val="center"/>
                  <w:hideMark/>
                </w:tcPr>
                <w:p w14:paraId="2B025B2B"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303</w:t>
                  </w:r>
                </w:p>
              </w:tc>
              <w:tc>
                <w:tcPr>
                  <w:tcW w:w="1020" w:type="dxa"/>
                  <w:tcBorders>
                    <w:top w:val="nil"/>
                    <w:left w:val="nil"/>
                    <w:bottom w:val="single" w:sz="4" w:space="0" w:color="auto"/>
                    <w:right w:val="single" w:sz="4" w:space="0" w:color="auto"/>
                  </w:tcBorders>
                  <w:noWrap/>
                  <w:vAlign w:val="center"/>
                  <w:hideMark/>
                </w:tcPr>
                <w:p w14:paraId="147042A3"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13,8</w:t>
                  </w:r>
                </w:p>
              </w:tc>
              <w:tc>
                <w:tcPr>
                  <w:tcW w:w="847" w:type="dxa"/>
                  <w:tcBorders>
                    <w:top w:val="nil"/>
                    <w:left w:val="nil"/>
                    <w:bottom w:val="single" w:sz="4" w:space="0" w:color="auto"/>
                    <w:right w:val="single" w:sz="4" w:space="0" w:color="auto"/>
                  </w:tcBorders>
                  <w:noWrap/>
                  <w:vAlign w:val="center"/>
                  <w:hideMark/>
                </w:tcPr>
                <w:p w14:paraId="31B91BAA"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2567284B"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01818F6E"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10.884</w:t>
                  </w:r>
                </w:p>
              </w:tc>
              <w:tc>
                <w:tcPr>
                  <w:tcW w:w="847" w:type="dxa"/>
                  <w:tcBorders>
                    <w:top w:val="nil"/>
                    <w:left w:val="nil"/>
                    <w:bottom w:val="single" w:sz="4" w:space="0" w:color="auto"/>
                    <w:right w:val="single" w:sz="4" w:space="0" w:color="auto"/>
                  </w:tcBorders>
                  <w:noWrap/>
                  <w:vAlign w:val="center"/>
                  <w:hideMark/>
                </w:tcPr>
                <w:p w14:paraId="62681BB1"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w:t>
                  </w:r>
                </w:p>
              </w:tc>
              <w:tc>
                <w:tcPr>
                  <w:tcW w:w="920" w:type="dxa"/>
                  <w:tcBorders>
                    <w:top w:val="nil"/>
                    <w:left w:val="nil"/>
                    <w:bottom w:val="single" w:sz="4" w:space="0" w:color="auto"/>
                    <w:right w:val="single" w:sz="4" w:space="0" w:color="auto"/>
                  </w:tcBorders>
                  <w:noWrap/>
                  <w:vAlign w:val="center"/>
                  <w:hideMark/>
                </w:tcPr>
                <w:p w14:paraId="4EFB4000"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10.885</w:t>
                  </w:r>
                </w:p>
              </w:tc>
            </w:tr>
            <w:tr w:rsidR="00DF74F3" w:rsidRPr="00DF74F3" w14:paraId="13AD7EA2"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185101C1"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Servicios</w:t>
                  </w:r>
                </w:p>
              </w:tc>
              <w:tc>
                <w:tcPr>
                  <w:tcW w:w="851" w:type="dxa"/>
                  <w:tcBorders>
                    <w:top w:val="nil"/>
                    <w:left w:val="nil"/>
                    <w:bottom w:val="single" w:sz="4" w:space="0" w:color="auto"/>
                    <w:right w:val="single" w:sz="4" w:space="0" w:color="auto"/>
                  </w:tcBorders>
                  <w:noWrap/>
                  <w:vAlign w:val="center"/>
                  <w:hideMark/>
                </w:tcPr>
                <w:p w14:paraId="76BD0E32"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304</w:t>
                  </w:r>
                </w:p>
              </w:tc>
              <w:tc>
                <w:tcPr>
                  <w:tcW w:w="1020" w:type="dxa"/>
                  <w:tcBorders>
                    <w:top w:val="nil"/>
                    <w:left w:val="nil"/>
                    <w:bottom w:val="single" w:sz="4" w:space="0" w:color="auto"/>
                    <w:right w:val="single" w:sz="4" w:space="0" w:color="auto"/>
                  </w:tcBorders>
                  <w:noWrap/>
                  <w:vAlign w:val="center"/>
                  <w:hideMark/>
                </w:tcPr>
                <w:p w14:paraId="4DD68023"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7,66</w:t>
                  </w:r>
                </w:p>
              </w:tc>
              <w:tc>
                <w:tcPr>
                  <w:tcW w:w="847" w:type="dxa"/>
                  <w:tcBorders>
                    <w:top w:val="nil"/>
                    <w:left w:val="nil"/>
                    <w:bottom w:val="single" w:sz="4" w:space="0" w:color="auto"/>
                    <w:right w:val="single" w:sz="4" w:space="0" w:color="auto"/>
                  </w:tcBorders>
                  <w:noWrap/>
                  <w:vAlign w:val="center"/>
                  <w:hideMark/>
                </w:tcPr>
                <w:p w14:paraId="38FE8ED0"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18B9A213"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8.663</w:t>
                  </w:r>
                </w:p>
              </w:tc>
              <w:tc>
                <w:tcPr>
                  <w:tcW w:w="993" w:type="dxa"/>
                  <w:tcBorders>
                    <w:top w:val="nil"/>
                    <w:left w:val="nil"/>
                    <w:bottom w:val="single" w:sz="4" w:space="0" w:color="auto"/>
                    <w:right w:val="single" w:sz="4" w:space="0" w:color="auto"/>
                  </w:tcBorders>
                  <w:noWrap/>
                  <w:vAlign w:val="center"/>
                  <w:hideMark/>
                </w:tcPr>
                <w:p w14:paraId="248B6495"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2.050</w:t>
                  </w:r>
                </w:p>
              </w:tc>
              <w:tc>
                <w:tcPr>
                  <w:tcW w:w="847" w:type="dxa"/>
                  <w:tcBorders>
                    <w:top w:val="nil"/>
                    <w:left w:val="nil"/>
                    <w:bottom w:val="single" w:sz="4" w:space="0" w:color="auto"/>
                    <w:right w:val="single" w:sz="4" w:space="0" w:color="auto"/>
                  </w:tcBorders>
                  <w:noWrap/>
                  <w:vAlign w:val="center"/>
                  <w:hideMark/>
                </w:tcPr>
                <w:p w14:paraId="129E6C04"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20" w:type="dxa"/>
                  <w:tcBorders>
                    <w:top w:val="nil"/>
                    <w:left w:val="nil"/>
                    <w:bottom w:val="single" w:sz="4" w:space="0" w:color="auto"/>
                    <w:right w:val="single" w:sz="4" w:space="0" w:color="auto"/>
                  </w:tcBorders>
                  <w:noWrap/>
                  <w:vAlign w:val="center"/>
                  <w:hideMark/>
                </w:tcPr>
                <w:p w14:paraId="62A29EA8"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10.713</w:t>
                  </w:r>
                </w:p>
              </w:tc>
            </w:tr>
            <w:tr w:rsidR="00DF74F3" w:rsidRPr="00DF74F3" w14:paraId="4A0825C1"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01DFBA0A"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Servicios</w:t>
                  </w:r>
                </w:p>
              </w:tc>
              <w:tc>
                <w:tcPr>
                  <w:tcW w:w="851" w:type="dxa"/>
                  <w:tcBorders>
                    <w:top w:val="nil"/>
                    <w:left w:val="nil"/>
                    <w:bottom w:val="single" w:sz="4" w:space="0" w:color="auto"/>
                    <w:right w:val="single" w:sz="4" w:space="0" w:color="auto"/>
                  </w:tcBorders>
                  <w:noWrap/>
                  <w:vAlign w:val="center"/>
                  <w:hideMark/>
                </w:tcPr>
                <w:p w14:paraId="7EF0B30C"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304</w:t>
                  </w:r>
                </w:p>
              </w:tc>
              <w:tc>
                <w:tcPr>
                  <w:tcW w:w="1020" w:type="dxa"/>
                  <w:tcBorders>
                    <w:top w:val="nil"/>
                    <w:left w:val="nil"/>
                    <w:bottom w:val="single" w:sz="4" w:space="0" w:color="auto"/>
                    <w:right w:val="single" w:sz="4" w:space="0" w:color="auto"/>
                  </w:tcBorders>
                  <w:noWrap/>
                  <w:vAlign w:val="center"/>
                  <w:hideMark/>
                </w:tcPr>
                <w:p w14:paraId="7311D403"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9,66</w:t>
                  </w:r>
                </w:p>
              </w:tc>
              <w:tc>
                <w:tcPr>
                  <w:tcW w:w="847" w:type="dxa"/>
                  <w:tcBorders>
                    <w:top w:val="nil"/>
                    <w:left w:val="nil"/>
                    <w:bottom w:val="single" w:sz="4" w:space="0" w:color="auto"/>
                    <w:right w:val="single" w:sz="4" w:space="0" w:color="auto"/>
                  </w:tcBorders>
                  <w:noWrap/>
                  <w:vAlign w:val="center"/>
                  <w:hideMark/>
                </w:tcPr>
                <w:p w14:paraId="0DFF6337"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198DECA8"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43.233</w:t>
                  </w:r>
                </w:p>
              </w:tc>
              <w:tc>
                <w:tcPr>
                  <w:tcW w:w="993" w:type="dxa"/>
                  <w:tcBorders>
                    <w:top w:val="nil"/>
                    <w:left w:val="nil"/>
                    <w:bottom w:val="single" w:sz="4" w:space="0" w:color="auto"/>
                    <w:right w:val="single" w:sz="4" w:space="0" w:color="auto"/>
                  </w:tcBorders>
                  <w:noWrap/>
                  <w:vAlign w:val="center"/>
                  <w:hideMark/>
                </w:tcPr>
                <w:p w14:paraId="74BC9AEE"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49.944</w:t>
                  </w:r>
                </w:p>
              </w:tc>
              <w:tc>
                <w:tcPr>
                  <w:tcW w:w="847" w:type="dxa"/>
                  <w:tcBorders>
                    <w:top w:val="nil"/>
                    <w:left w:val="nil"/>
                    <w:bottom w:val="single" w:sz="4" w:space="0" w:color="auto"/>
                    <w:right w:val="single" w:sz="4" w:space="0" w:color="auto"/>
                  </w:tcBorders>
                  <w:noWrap/>
                  <w:vAlign w:val="center"/>
                  <w:hideMark/>
                </w:tcPr>
                <w:p w14:paraId="02909B9E"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1.077</w:t>
                  </w:r>
                </w:p>
              </w:tc>
              <w:tc>
                <w:tcPr>
                  <w:tcW w:w="920" w:type="dxa"/>
                  <w:tcBorders>
                    <w:top w:val="nil"/>
                    <w:left w:val="nil"/>
                    <w:bottom w:val="single" w:sz="4" w:space="0" w:color="auto"/>
                    <w:right w:val="single" w:sz="4" w:space="0" w:color="auto"/>
                  </w:tcBorders>
                  <w:noWrap/>
                  <w:vAlign w:val="center"/>
                  <w:hideMark/>
                </w:tcPr>
                <w:p w14:paraId="00AEB952"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94.254</w:t>
                  </w:r>
                </w:p>
              </w:tc>
            </w:tr>
            <w:tr w:rsidR="00DF74F3" w:rsidRPr="00DF74F3" w14:paraId="695D5B0B"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359D38F8"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Servicios</w:t>
                  </w:r>
                </w:p>
              </w:tc>
              <w:tc>
                <w:tcPr>
                  <w:tcW w:w="851" w:type="dxa"/>
                  <w:tcBorders>
                    <w:top w:val="nil"/>
                    <w:left w:val="nil"/>
                    <w:bottom w:val="single" w:sz="4" w:space="0" w:color="auto"/>
                    <w:right w:val="single" w:sz="4" w:space="0" w:color="auto"/>
                  </w:tcBorders>
                  <w:noWrap/>
                  <w:vAlign w:val="center"/>
                  <w:hideMark/>
                </w:tcPr>
                <w:p w14:paraId="6B9F6359"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304</w:t>
                  </w:r>
                </w:p>
              </w:tc>
              <w:tc>
                <w:tcPr>
                  <w:tcW w:w="1020" w:type="dxa"/>
                  <w:tcBorders>
                    <w:top w:val="nil"/>
                    <w:left w:val="nil"/>
                    <w:bottom w:val="single" w:sz="4" w:space="0" w:color="auto"/>
                    <w:right w:val="single" w:sz="4" w:space="0" w:color="auto"/>
                  </w:tcBorders>
                  <w:noWrap/>
                  <w:vAlign w:val="center"/>
                  <w:hideMark/>
                </w:tcPr>
                <w:p w14:paraId="5CB344B1"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10,62</w:t>
                  </w:r>
                </w:p>
              </w:tc>
              <w:tc>
                <w:tcPr>
                  <w:tcW w:w="847" w:type="dxa"/>
                  <w:tcBorders>
                    <w:top w:val="nil"/>
                    <w:left w:val="nil"/>
                    <w:bottom w:val="single" w:sz="4" w:space="0" w:color="auto"/>
                    <w:right w:val="single" w:sz="4" w:space="0" w:color="auto"/>
                  </w:tcBorders>
                  <w:noWrap/>
                  <w:vAlign w:val="center"/>
                  <w:hideMark/>
                </w:tcPr>
                <w:p w14:paraId="645F21C6"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309FA337"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7745393D"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657</w:t>
                  </w:r>
                </w:p>
              </w:tc>
              <w:tc>
                <w:tcPr>
                  <w:tcW w:w="847" w:type="dxa"/>
                  <w:tcBorders>
                    <w:top w:val="nil"/>
                    <w:left w:val="nil"/>
                    <w:bottom w:val="single" w:sz="4" w:space="0" w:color="auto"/>
                    <w:right w:val="single" w:sz="4" w:space="0" w:color="auto"/>
                  </w:tcBorders>
                  <w:noWrap/>
                  <w:vAlign w:val="center"/>
                  <w:hideMark/>
                </w:tcPr>
                <w:p w14:paraId="35B1C535"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20" w:type="dxa"/>
                  <w:tcBorders>
                    <w:top w:val="nil"/>
                    <w:left w:val="nil"/>
                    <w:bottom w:val="single" w:sz="4" w:space="0" w:color="auto"/>
                    <w:right w:val="single" w:sz="4" w:space="0" w:color="auto"/>
                  </w:tcBorders>
                  <w:noWrap/>
                  <w:vAlign w:val="center"/>
                  <w:hideMark/>
                </w:tcPr>
                <w:p w14:paraId="7FE75964"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657</w:t>
                  </w:r>
                </w:p>
              </w:tc>
            </w:tr>
            <w:tr w:rsidR="00DF74F3" w:rsidRPr="00DF74F3" w14:paraId="72B4200D"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3D7AAFCE"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Servicios</w:t>
                  </w:r>
                </w:p>
              </w:tc>
              <w:tc>
                <w:tcPr>
                  <w:tcW w:w="851" w:type="dxa"/>
                  <w:tcBorders>
                    <w:top w:val="nil"/>
                    <w:left w:val="nil"/>
                    <w:bottom w:val="single" w:sz="4" w:space="0" w:color="auto"/>
                    <w:right w:val="single" w:sz="4" w:space="0" w:color="auto"/>
                  </w:tcBorders>
                  <w:noWrap/>
                  <w:vAlign w:val="center"/>
                  <w:hideMark/>
                </w:tcPr>
                <w:p w14:paraId="26B74083"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304</w:t>
                  </w:r>
                </w:p>
              </w:tc>
              <w:tc>
                <w:tcPr>
                  <w:tcW w:w="1020" w:type="dxa"/>
                  <w:tcBorders>
                    <w:top w:val="nil"/>
                    <w:left w:val="nil"/>
                    <w:bottom w:val="single" w:sz="4" w:space="0" w:color="auto"/>
                    <w:right w:val="single" w:sz="4" w:space="0" w:color="auto"/>
                  </w:tcBorders>
                  <w:noWrap/>
                  <w:vAlign w:val="center"/>
                  <w:hideMark/>
                </w:tcPr>
                <w:p w14:paraId="5F32B0CA"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11,04</w:t>
                  </w:r>
                </w:p>
              </w:tc>
              <w:tc>
                <w:tcPr>
                  <w:tcW w:w="847" w:type="dxa"/>
                  <w:tcBorders>
                    <w:top w:val="nil"/>
                    <w:left w:val="nil"/>
                    <w:bottom w:val="single" w:sz="4" w:space="0" w:color="auto"/>
                    <w:right w:val="single" w:sz="4" w:space="0" w:color="auto"/>
                  </w:tcBorders>
                  <w:noWrap/>
                  <w:vAlign w:val="center"/>
                  <w:hideMark/>
                </w:tcPr>
                <w:p w14:paraId="36B50EFF"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5B0D2FC4"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23EE57F5"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19</w:t>
                  </w:r>
                </w:p>
              </w:tc>
              <w:tc>
                <w:tcPr>
                  <w:tcW w:w="847" w:type="dxa"/>
                  <w:tcBorders>
                    <w:top w:val="nil"/>
                    <w:left w:val="nil"/>
                    <w:bottom w:val="single" w:sz="4" w:space="0" w:color="auto"/>
                    <w:right w:val="single" w:sz="4" w:space="0" w:color="auto"/>
                  </w:tcBorders>
                  <w:noWrap/>
                  <w:vAlign w:val="center"/>
                  <w:hideMark/>
                </w:tcPr>
                <w:p w14:paraId="09B11F1C"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20" w:type="dxa"/>
                  <w:tcBorders>
                    <w:top w:val="nil"/>
                    <w:left w:val="nil"/>
                    <w:bottom w:val="single" w:sz="4" w:space="0" w:color="auto"/>
                    <w:right w:val="single" w:sz="4" w:space="0" w:color="auto"/>
                  </w:tcBorders>
                  <w:noWrap/>
                  <w:vAlign w:val="center"/>
                  <w:hideMark/>
                </w:tcPr>
                <w:p w14:paraId="6B032520"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19</w:t>
                  </w:r>
                </w:p>
              </w:tc>
            </w:tr>
            <w:tr w:rsidR="00DF74F3" w:rsidRPr="00DF74F3" w14:paraId="10B600A3" w14:textId="77777777">
              <w:trPr>
                <w:trHeight w:val="290"/>
                <w:jc w:val="center"/>
              </w:trPr>
              <w:tc>
                <w:tcPr>
                  <w:tcW w:w="1134" w:type="dxa"/>
                  <w:tcBorders>
                    <w:top w:val="nil"/>
                    <w:left w:val="single" w:sz="4" w:space="0" w:color="auto"/>
                    <w:bottom w:val="single" w:sz="4" w:space="0" w:color="auto"/>
                    <w:right w:val="single" w:sz="4" w:space="0" w:color="auto"/>
                  </w:tcBorders>
                  <w:noWrap/>
                  <w:vAlign w:val="center"/>
                  <w:hideMark/>
                </w:tcPr>
                <w:p w14:paraId="033E946D"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Servicios</w:t>
                  </w:r>
                </w:p>
              </w:tc>
              <w:tc>
                <w:tcPr>
                  <w:tcW w:w="851" w:type="dxa"/>
                  <w:tcBorders>
                    <w:top w:val="nil"/>
                    <w:left w:val="nil"/>
                    <w:bottom w:val="single" w:sz="4" w:space="0" w:color="auto"/>
                    <w:right w:val="single" w:sz="4" w:space="0" w:color="auto"/>
                  </w:tcBorders>
                  <w:noWrap/>
                  <w:vAlign w:val="center"/>
                  <w:hideMark/>
                </w:tcPr>
                <w:p w14:paraId="12D0DD43"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305</w:t>
                  </w:r>
                </w:p>
              </w:tc>
              <w:tc>
                <w:tcPr>
                  <w:tcW w:w="1020" w:type="dxa"/>
                  <w:tcBorders>
                    <w:top w:val="nil"/>
                    <w:left w:val="nil"/>
                    <w:bottom w:val="single" w:sz="4" w:space="0" w:color="auto"/>
                    <w:right w:val="single" w:sz="4" w:space="0" w:color="auto"/>
                  </w:tcBorders>
                  <w:noWrap/>
                  <w:vAlign w:val="center"/>
                  <w:hideMark/>
                </w:tcPr>
                <w:p w14:paraId="71C507A4"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7</w:t>
                  </w:r>
                </w:p>
              </w:tc>
              <w:tc>
                <w:tcPr>
                  <w:tcW w:w="847" w:type="dxa"/>
                  <w:tcBorders>
                    <w:top w:val="nil"/>
                    <w:left w:val="nil"/>
                    <w:bottom w:val="single" w:sz="4" w:space="0" w:color="auto"/>
                    <w:right w:val="single" w:sz="4" w:space="0" w:color="auto"/>
                  </w:tcBorders>
                  <w:noWrap/>
                  <w:vAlign w:val="center"/>
                  <w:hideMark/>
                </w:tcPr>
                <w:p w14:paraId="2EC3072E"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93" w:type="dxa"/>
                  <w:tcBorders>
                    <w:top w:val="nil"/>
                    <w:left w:val="nil"/>
                    <w:bottom w:val="single" w:sz="4" w:space="0" w:color="auto"/>
                    <w:right w:val="single" w:sz="4" w:space="0" w:color="auto"/>
                  </w:tcBorders>
                  <w:noWrap/>
                  <w:vAlign w:val="center"/>
                  <w:hideMark/>
                </w:tcPr>
                <w:p w14:paraId="0AF73912"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2.602</w:t>
                  </w:r>
                </w:p>
              </w:tc>
              <w:tc>
                <w:tcPr>
                  <w:tcW w:w="993" w:type="dxa"/>
                  <w:tcBorders>
                    <w:top w:val="nil"/>
                    <w:left w:val="nil"/>
                    <w:bottom w:val="single" w:sz="4" w:space="0" w:color="auto"/>
                    <w:right w:val="single" w:sz="4" w:space="0" w:color="auto"/>
                  </w:tcBorders>
                  <w:noWrap/>
                  <w:vAlign w:val="center"/>
                  <w:hideMark/>
                </w:tcPr>
                <w:p w14:paraId="49551459"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847" w:type="dxa"/>
                  <w:tcBorders>
                    <w:top w:val="nil"/>
                    <w:left w:val="nil"/>
                    <w:bottom w:val="single" w:sz="4" w:space="0" w:color="auto"/>
                    <w:right w:val="single" w:sz="4" w:space="0" w:color="auto"/>
                  </w:tcBorders>
                  <w:noWrap/>
                  <w:vAlign w:val="center"/>
                  <w:hideMark/>
                </w:tcPr>
                <w:p w14:paraId="5FFA65A2"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 </w:t>
                  </w:r>
                </w:p>
              </w:tc>
              <w:tc>
                <w:tcPr>
                  <w:tcW w:w="920" w:type="dxa"/>
                  <w:tcBorders>
                    <w:top w:val="nil"/>
                    <w:left w:val="nil"/>
                    <w:bottom w:val="single" w:sz="4" w:space="0" w:color="auto"/>
                    <w:right w:val="single" w:sz="4" w:space="0" w:color="auto"/>
                  </w:tcBorders>
                  <w:noWrap/>
                  <w:vAlign w:val="center"/>
                  <w:hideMark/>
                </w:tcPr>
                <w:p w14:paraId="2419E6BF" w14:textId="77777777" w:rsidR="00DF74F3" w:rsidRPr="00DF74F3" w:rsidRDefault="00DF74F3" w:rsidP="00DF74F3">
                  <w:pPr>
                    <w:spacing w:after="0" w:line="240" w:lineRule="auto"/>
                    <w:jc w:val="center"/>
                    <w:rPr>
                      <w:rFonts w:ascii="Times New Roman" w:eastAsia="Times New Roman" w:hAnsi="Times New Roman" w:cs="Times New Roman"/>
                      <w:color w:val="000000"/>
                      <w:sz w:val="20"/>
                      <w:szCs w:val="20"/>
                      <w:lang w:eastAsia="es-CO"/>
                    </w:rPr>
                  </w:pPr>
                  <w:r w:rsidRPr="00DF74F3">
                    <w:rPr>
                      <w:rFonts w:ascii="Times New Roman" w:eastAsia="Times New Roman" w:hAnsi="Times New Roman" w:cs="Times New Roman"/>
                      <w:color w:val="000000"/>
                      <w:sz w:val="20"/>
                      <w:szCs w:val="20"/>
                      <w:lang w:eastAsia="es-CO"/>
                    </w:rPr>
                    <w:t>2.602</w:t>
                  </w:r>
                </w:p>
              </w:tc>
            </w:tr>
            <w:tr w:rsidR="00DF74F3" w:rsidRPr="00DF74F3" w14:paraId="3CBA023C" w14:textId="77777777">
              <w:trPr>
                <w:trHeight w:val="290"/>
                <w:jc w:val="center"/>
              </w:trPr>
              <w:tc>
                <w:tcPr>
                  <w:tcW w:w="1134" w:type="dxa"/>
                  <w:tcBorders>
                    <w:top w:val="nil"/>
                    <w:left w:val="single" w:sz="4" w:space="0" w:color="auto"/>
                    <w:bottom w:val="single" w:sz="4" w:space="0" w:color="auto"/>
                    <w:right w:val="single" w:sz="4" w:space="0" w:color="auto"/>
                  </w:tcBorders>
                  <w:shd w:val="clear" w:color="000000" w:fill="153D64"/>
                  <w:noWrap/>
                  <w:vAlign w:val="center"/>
                  <w:hideMark/>
                </w:tcPr>
                <w:p w14:paraId="31431920" w14:textId="77777777" w:rsidR="00DF74F3" w:rsidRPr="00DF74F3" w:rsidRDefault="00DF74F3" w:rsidP="00DF74F3">
                  <w:pPr>
                    <w:spacing w:after="0" w:line="240" w:lineRule="auto"/>
                    <w:jc w:val="center"/>
                    <w:rPr>
                      <w:rFonts w:ascii="Times New Roman" w:eastAsia="Times New Roman" w:hAnsi="Times New Roman" w:cs="Times New Roman"/>
                      <w:color w:val="FFFFFF"/>
                      <w:sz w:val="20"/>
                      <w:szCs w:val="20"/>
                      <w:lang w:eastAsia="es-CO"/>
                    </w:rPr>
                  </w:pPr>
                  <w:r w:rsidRPr="00DF74F3">
                    <w:rPr>
                      <w:rFonts w:ascii="Times New Roman" w:eastAsia="Times New Roman" w:hAnsi="Times New Roman" w:cs="Times New Roman"/>
                      <w:color w:val="FFFFFF"/>
                      <w:sz w:val="20"/>
                      <w:szCs w:val="20"/>
                      <w:lang w:eastAsia="es-CO"/>
                    </w:rPr>
                    <w:t xml:space="preserve">Total </w:t>
                  </w:r>
                </w:p>
              </w:tc>
              <w:tc>
                <w:tcPr>
                  <w:tcW w:w="851" w:type="dxa"/>
                  <w:tcBorders>
                    <w:top w:val="nil"/>
                    <w:left w:val="nil"/>
                    <w:bottom w:val="single" w:sz="4" w:space="0" w:color="auto"/>
                    <w:right w:val="single" w:sz="4" w:space="0" w:color="auto"/>
                  </w:tcBorders>
                  <w:shd w:val="clear" w:color="000000" w:fill="153D64"/>
                  <w:noWrap/>
                  <w:vAlign w:val="center"/>
                  <w:hideMark/>
                </w:tcPr>
                <w:p w14:paraId="7627A508" w14:textId="77777777" w:rsidR="00DF74F3" w:rsidRPr="00DF74F3" w:rsidRDefault="00DF74F3" w:rsidP="00DF74F3">
                  <w:pPr>
                    <w:spacing w:after="0" w:line="240" w:lineRule="auto"/>
                    <w:jc w:val="center"/>
                    <w:rPr>
                      <w:rFonts w:ascii="Times New Roman" w:eastAsia="Times New Roman" w:hAnsi="Times New Roman" w:cs="Times New Roman"/>
                      <w:color w:val="FFFFFF"/>
                      <w:sz w:val="20"/>
                      <w:szCs w:val="20"/>
                      <w:lang w:eastAsia="es-CO"/>
                    </w:rPr>
                  </w:pPr>
                  <w:r w:rsidRPr="00DF74F3">
                    <w:rPr>
                      <w:rFonts w:ascii="Times New Roman" w:eastAsia="Times New Roman" w:hAnsi="Times New Roman" w:cs="Times New Roman"/>
                      <w:color w:val="FFFFFF"/>
                      <w:sz w:val="20"/>
                      <w:szCs w:val="20"/>
                      <w:lang w:eastAsia="es-CO"/>
                    </w:rPr>
                    <w:t> </w:t>
                  </w:r>
                </w:p>
              </w:tc>
              <w:tc>
                <w:tcPr>
                  <w:tcW w:w="1020" w:type="dxa"/>
                  <w:tcBorders>
                    <w:top w:val="nil"/>
                    <w:left w:val="nil"/>
                    <w:bottom w:val="single" w:sz="4" w:space="0" w:color="auto"/>
                    <w:right w:val="single" w:sz="4" w:space="0" w:color="auto"/>
                  </w:tcBorders>
                  <w:shd w:val="clear" w:color="000000" w:fill="153D64"/>
                  <w:noWrap/>
                  <w:vAlign w:val="center"/>
                  <w:hideMark/>
                </w:tcPr>
                <w:p w14:paraId="69F31DE3" w14:textId="77777777" w:rsidR="00DF74F3" w:rsidRPr="00DF74F3" w:rsidRDefault="00DF74F3" w:rsidP="00DF74F3">
                  <w:pPr>
                    <w:spacing w:after="0" w:line="240" w:lineRule="auto"/>
                    <w:jc w:val="center"/>
                    <w:rPr>
                      <w:rFonts w:ascii="Times New Roman" w:eastAsia="Times New Roman" w:hAnsi="Times New Roman" w:cs="Times New Roman"/>
                      <w:color w:val="FFFFFF"/>
                      <w:sz w:val="20"/>
                      <w:szCs w:val="20"/>
                      <w:lang w:eastAsia="es-CO"/>
                    </w:rPr>
                  </w:pPr>
                  <w:r w:rsidRPr="00DF74F3">
                    <w:rPr>
                      <w:rFonts w:ascii="Times New Roman" w:eastAsia="Times New Roman" w:hAnsi="Times New Roman" w:cs="Times New Roman"/>
                      <w:color w:val="FFFFFF"/>
                      <w:sz w:val="20"/>
                      <w:szCs w:val="20"/>
                      <w:lang w:eastAsia="es-CO"/>
                    </w:rPr>
                    <w:t> </w:t>
                  </w:r>
                </w:p>
              </w:tc>
              <w:tc>
                <w:tcPr>
                  <w:tcW w:w="847" w:type="dxa"/>
                  <w:tcBorders>
                    <w:top w:val="nil"/>
                    <w:left w:val="nil"/>
                    <w:bottom w:val="single" w:sz="4" w:space="0" w:color="auto"/>
                    <w:right w:val="single" w:sz="4" w:space="0" w:color="auto"/>
                  </w:tcBorders>
                  <w:shd w:val="clear" w:color="000000" w:fill="153D64"/>
                  <w:noWrap/>
                  <w:vAlign w:val="center"/>
                  <w:hideMark/>
                </w:tcPr>
                <w:p w14:paraId="2ECE8294" w14:textId="77777777" w:rsidR="00DF74F3" w:rsidRPr="00DF74F3" w:rsidRDefault="00DF74F3" w:rsidP="00DF74F3">
                  <w:pPr>
                    <w:spacing w:after="0" w:line="240" w:lineRule="auto"/>
                    <w:jc w:val="center"/>
                    <w:rPr>
                      <w:rFonts w:ascii="Times New Roman" w:eastAsia="Times New Roman" w:hAnsi="Times New Roman" w:cs="Times New Roman"/>
                      <w:color w:val="FFFFFF"/>
                      <w:sz w:val="20"/>
                      <w:szCs w:val="20"/>
                      <w:lang w:eastAsia="es-CO"/>
                    </w:rPr>
                  </w:pPr>
                  <w:r w:rsidRPr="00DF74F3">
                    <w:rPr>
                      <w:rFonts w:ascii="Times New Roman" w:eastAsia="Times New Roman" w:hAnsi="Times New Roman" w:cs="Times New Roman"/>
                      <w:color w:val="FFFFFF"/>
                      <w:sz w:val="20"/>
                      <w:szCs w:val="20"/>
                      <w:lang w:eastAsia="es-CO"/>
                    </w:rPr>
                    <w:t>42.490</w:t>
                  </w:r>
                </w:p>
              </w:tc>
              <w:tc>
                <w:tcPr>
                  <w:tcW w:w="993" w:type="dxa"/>
                  <w:tcBorders>
                    <w:top w:val="nil"/>
                    <w:left w:val="nil"/>
                    <w:bottom w:val="single" w:sz="4" w:space="0" w:color="auto"/>
                    <w:right w:val="single" w:sz="4" w:space="0" w:color="auto"/>
                  </w:tcBorders>
                  <w:shd w:val="clear" w:color="000000" w:fill="153D64"/>
                  <w:noWrap/>
                  <w:vAlign w:val="center"/>
                  <w:hideMark/>
                </w:tcPr>
                <w:p w14:paraId="43743DEF" w14:textId="77777777" w:rsidR="00DF74F3" w:rsidRPr="00DF74F3" w:rsidRDefault="00DF74F3" w:rsidP="00DF74F3">
                  <w:pPr>
                    <w:spacing w:after="0" w:line="240" w:lineRule="auto"/>
                    <w:jc w:val="center"/>
                    <w:rPr>
                      <w:rFonts w:ascii="Times New Roman" w:eastAsia="Times New Roman" w:hAnsi="Times New Roman" w:cs="Times New Roman"/>
                      <w:color w:val="FFFFFF"/>
                      <w:sz w:val="20"/>
                      <w:szCs w:val="20"/>
                      <w:lang w:eastAsia="es-CO"/>
                    </w:rPr>
                  </w:pPr>
                  <w:r w:rsidRPr="00DF74F3">
                    <w:rPr>
                      <w:rFonts w:ascii="Times New Roman" w:eastAsia="Times New Roman" w:hAnsi="Times New Roman" w:cs="Times New Roman"/>
                      <w:color w:val="FFFFFF"/>
                      <w:sz w:val="20"/>
                      <w:szCs w:val="20"/>
                      <w:lang w:eastAsia="es-CO"/>
                    </w:rPr>
                    <w:t>118.038</w:t>
                  </w:r>
                </w:p>
              </w:tc>
              <w:tc>
                <w:tcPr>
                  <w:tcW w:w="993" w:type="dxa"/>
                  <w:tcBorders>
                    <w:top w:val="nil"/>
                    <w:left w:val="nil"/>
                    <w:bottom w:val="single" w:sz="4" w:space="0" w:color="auto"/>
                    <w:right w:val="single" w:sz="4" w:space="0" w:color="auto"/>
                  </w:tcBorders>
                  <w:shd w:val="clear" w:color="000000" w:fill="153D64"/>
                  <w:noWrap/>
                  <w:vAlign w:val="center"/>
                  <w:hideMark/>
                </w:tcPr>
                <w:p w14:paraId="5D78CF51" w14:textId="77777777" w:rsidR="00DF74F3" w:rsidRPr="00DF74F3" w:rsidRDefault="00DF74F3" w:rsidP="00DF74F3">
                  <w:pPr>
                    <w:spacing w:after="0" w:line="240" w:lineRule="auto"/>
                    <w:jc w:val="center"/>
                    <w:rPr>
                      <w:rFonts w:ascii="Times New Roman" w:eastAsia="Times New Roman" w:hAnsi="Times New Roman" w:cs="Times New Roman"/>
                      <w:color w:val="FFFFFF"/>
                      <w:sz w:val="20"/>
                      <w:szCs w:val="20"/>
                      <w:lang w:eastAsia="es-CO"/>
                    </w:rPr>
                  </w:pPr>
                  <w:r w:rsidRPr="00DF74F3">
                    <w:rPr>
                      <w:rFonts w:ascii="Times New Roman" w:eastAsia="Times New Roman" w:hAnsi="Times New Roman" w:cs="Times New Roman"/>
                      <w:color w:val="FFFFFF"/>
                      <w:sz w:val="20"/>
                      <w:szCs w:val="20"/>
                      <w:lang w:eastAsia="es-CO"/>
                    </w:rPr>
                    <w:t>141.469</w:t>
                  </w:r>
                </w:p>
              </w:tc>
              <w:tc>
                <w:tcPr>
                  <w:tcW w:w="847" w:type="dxa"/>
                  <w:tcBorders>
                    <w:top w:val="nil"/>
                    <w:left w:val="nil"/>
                    <w:bottom w:val="single" w:sz="4" w:space="0" w:color="auto"/>
                    <w:right w:val="single" w:sz="4" w:space="0" w:color="auto"/>
                  </w:tcBorders>
                  <w:shd w:val="clear" w:color="000000" w:fill="153D64"/>
                  <w:noWrap/>
                  <w:vAlign w:val="center"/>
                  <w:hideMark/>
                </w:tcPr>
                <w:p w14:paraId="7EB639ED" w14:textId="77777777" w:rsidR="00DF74F3" w:rsidRPr="00DF74F3" w:rsidRDefault="00DF74F3" w:rsidP="00DF74F3">
                  <w:pPr>
                    <w:spacing w:after="0" w:line="240" w:lineRule="auto"/>
                    <w:jc w:val="center"/>
                    <w:rPr>
                      <w:rFonts w:ascii="Times New Roman" w:eastAsia="Times New Roman" w:hAnsi="Times New Roman" w:cs="Times New Roman"/>
                      <w:color w:val="FFFFFF"/>
                      <w:sz w:val="20"/>
                      <w:szCs w:val="20"/>
                      <w:lang w:eastAsia="es-CO"/>
                    </w:rPr>
                  </w:pPr>
                  <w:r w:rsidRPr="00DF74F3">
                    <w:rPr>
                      <w:rFonts w:ascii="Times New Roman" w:eastAsia="Times New Roman" w:hAnsi="Times New Roman" w:cs="Times New Roman"/>
                      <w:color w:val="FFFFFF"/>
                      <w:sz w:val="20"/>
                      <w:szCs w:val="20"/>
                      <w:lang w:eastAsia="es-CO"/>
                    </w:rPr>
                    <w:t>14.233</w:t>
                  </w:r>
                </w:p>
              </w:tc>
              <w:tc>
                <w:tcPr>
                  <w:tcW w:w="920" w:type="dxa"/>
                  <w:tcBorders>
                    <w:top w:val="nil"/>
                    <w:left w:val="nil"/>
                    <w:bottom w:val="single" w:sz="4" w:space="0" w:color="auto"/>
                    <w:right w:val="single" w:sz="4" w:space="0" w:color="auto"/>
                  </w:tcBorders>
                  <w:shd w:val="clear" w:color="000000" w:fill="153D64"/>
                  <w:noWrap/>
                  <w:vAlign w:val="center"/>
                  <w:hideMark/>
                </w:tcPr>
                <w:p w14:paraId="2FD941B1" w14:textId="77777777" w:rsidR="00DF74F3" w:rsidRPr="00DF74F3" w:rsidRDefault="00DF74F3" w:rsidP="00DF74F3">
                  <w:pPr>
                    <w:spacing w:after="0" w:line="240" w:lineRule="auto"/>
                    <w:jc w:val="center"/>
                    <w:rPr>
                      <w:rFonts w:ascii="Times New Roman" w:eastAsia="Times New Roman" w:hAnsi="Times New Roman" w:cs="Times New Roman"/>
                      <w:color w:val="FFFFFF"/>
                      <w:sz w:val="20"/>
                      <w:szCs w:val="20"/>
                      <w:lang w:eastAsia="es-CO"/>
                    </w:rPr>
                  </w:pPr>
                  <w:r w:rsidRPr="00DF74F3">
                    <w:rPr>
                      <w:rFonts w:ascii="Times New Roman" w:eastAsia="Times New Roman" w:hAnsi="Times New Roman" w:cs="Times New Roman"/>
                      <w:color w:val="FFFFFF"/>
                      <w:sz w:val="20"/>
                      <w:szCs w:val="20"/>
                      <w:lang w:eastAsia="es-CO"/>
                    </w:rPr>
                    <w:t>316.230</w:t>
                  </w:r>
                </w:p>
              </w:tc>
            </w:tr>
          </w:tbl>
          <w:p w14:paraId="220434BD" w14:textId="78C9B50E" w:rsidR="00DF74F3" w:rsidRPr="00DF74F3" w:rsidRDefault="00DF74F3" w:rsidP="00DF74F3">
            <w:pPr>
              <w:ind w:firstLine="1059"/>
              <w:contextualSpacing/>
              <w:rPr>
                <w:rFonts w:ascii="Times New Roman" w:hAnsi="Times New Roman" w:cs="Times New Roman"/>
                <w:sz w:val="18"/>
                <w:szCs w:val="18"/>
              </w:rPr>
            </w:pPr>
            <w:r w:rsidRPr="00DF74F3">
              <w:rPr>
                <w:rFonts w:ascii="Times New Roman" w:hAnsi="Times New Roman" w:cs="Times New Roman"/>
                <w:b/>
                <w:bCs/>
                <w:sz w:val="18"/>
                <w:szCs w:val="18"/>
              </w:rPr>
              <w:t>Fuente</w:t>
            </w:r>
            <w:r w:rsidRPr="00DF74F3">
              <w:rPr>
                <w:rFonts w:ascii="Times New Roman" w:hAnsi="Times New Roman" w:cs="Times New Roman"/>
                <w:sz w:val="18"/>
                <w:szCs w:val="18"/>
              </w:rPr>
              <w:t xml:space="preserve">: Secretaría Distrital de Hacienda </w:t>
            </w:r>
          </w:p>
          <w:p w14:paraId="30265E98" w14:textId="77777777" w:rsidR="00DF74F3" w:rsidRPr="00DF74F3" w:rsidRDefault="00DF74F3" w:rsidP="00DF74F3">
            <w:pPr>
              <w:jc w:val="both"/>
              <w:rPr>
                <w:rFonts w:ascii="Times New Roman" w:hAnsi="Times New Roman" w:cs="Times New Roman"/>
                <w:sz w:val="24"/>
                <w:szCs w:val="24"/>
              </w:rPr>
            </w:pPr>
          </w:p>
          <w:p w14:paraId="40E29A0E" w14:textId="08849B18" w:rsidR="009D74A3" w:rsidRDefault="00DF74F3" w:rsidP="00DF74F3">
            <w:pPr>
              <w:contextualSpacing/>
              <w:jc w:val="both"/>
              <w:rPr>
                <w:rFonts w:ascii="Times New Roman" w:hAnsi="Times New Roman" w:cs="Times New Roman"/>
                <w:sz w:val="24"/>
                <w:szCs w:val="24"/>
              </w:rPr>
            </w:pPr>
            <w:r w:rsidRPr="00DF74F3">
              <w:rPr>
                <w:rFonts w:ascii="Times New Roman" w:hAnsi="Times New Roman" w:cs="Times New Roman"/>
                <w:sz w:val="24"/>
                <w:szCs w:val="24"/>
              </w:rPr>
              <w:t>En 2024 se registraron 316.230 obligaciones que declararon y pagaron el ICA. Con la modificación propuesta, 218.639 (69,1%) reducirían su tarifa, 2.602(0,8%) la mantendrían sin cambios y 94.989 (30%) experimentarían un aumento. De estas últimas, el 10,2 % corresponde a incrementos de apenas 0,1 por mil, es decir, 9.742 contribuyentes. Por su parte, el 14,9% presentan un aumento por estar en la tarifa especial, caracterizadas por el sector financiero y aquellos con impactos negativos a la salud humana.</w:t>
            </w:r>
          </w:p>
          <w:p w14:paraId="21827884" w14:textId="77777777" w:rsidR="00DF74F3" w:rsidRPr="009D74A3" w:rsidRDefault="00DF74F3" w:rsidP="00DF74F3">
            <w:pPr>
              <w:contextualSpacing/>
              <w:jc w:val="both"/>
              <w:rPr>
                <w:rFonts w:ascii="Times New Roman" w:hAnsi="Times New Roman" w:cs="Times New Roman"/>
                <w:color w:val="000000" w:themeColor="text1"/>
                <w:sz w:val="24"/>
                <w:szCs w:val="24"/>
              </w:rPr>
            </w:pPr>
          </w:p>
          <w:p w14:paraId="503CD590" w14:textId="7AC0637B" w:rsidR="000603B3" w:rsidRPr="009D74A3" w:rsidRDefault="000603B3" w:rsidP="000603B3">
            <w:pPr>
              <w:contextualSpacing/>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Si el análisis se hace a nivel de contribuyente</w:t>
            </w:r>
            <w:r w:rsidRPr="009D74A3">
              <w:rPr>
                <w:rFonts w:ascii="Times New Roman" w:hAnsi="Times New Roman" w:cs="Times New Roman"/>
                <w:color w:val="000000" w:themeColor="text1"/>
                <w:sz w:val="24"/>
                <w:szCs w:val="24"/>
              </w:rPr>
              <w:t xml:space="preserve">, dado el conjunto de obligaciones, el impuesto a cargo disminuye para </w:t>
            </w:r>
            <w:r>
              <w:rPr>
                <w:rFonts w:ascii="Times New Roman" w:hAnsi="Times New Roman" w:cs="Times New Roman"/>
                <w:color w:val="000000" w:themeColor="text1"/>
                <w:sz w:val="24"/>
                <w:szCs w:val="24"/>
              </w:rPr>
              <w:t>126.011</w:t>
            </w:r>
            <w:r w:rsidRPr="009D74A3">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68,1</w:t>
            </w:r>
            <w:r w:rsidRPr="009D74A3">
              <w:rPr>
                <w:rFonts w:ascii="Times New Roman" w:hAnsi="Times New Roman" w:cs="Times New Roman"/>
                <w:color w:val="000000" w:themeColor="text1"/>
                <w:sz w:val="24"/>
                <w:szCs w:val="24"/>
              </w:rPr>
              <w:t>%) de los 1</w:t>
            </w:r>
            <w:r>
              <w:rPr>
                <w:rFonts w:ascii="Times New Roman" w:hAnsi="Times New Roman" w:cs="Times New Roman"/>
                <w:color w:val="000000" w:themeColor="text1"/>
                <w:sz w:val="24"/>
                <w:szCs w:val="24"/>
              </w:rPr>
              <w:t>85</w:t>
            </w:r>
            <w:r w:rsidRPr="009D74A3">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149</w:t>
            </w:r>
            <w:r w:rsidRPr="009D74A3">
              <w:rPr>
                <w:rFonts w:ascii="Times New Roman" w:hAnsi="Times New Roman" w:cs="Times New Roman"/>
                <w:color w:val="000000" w:themeColor="text1"/>
                <w:sz w:val="24"/>
                <w:szCs w:val="24"/>
              </w:rPr>
              <w:t xml:space="preserve"> contribuyentes de este impuesto (</w:t>
            </w:r>
            <w:r w:rsidRPr="009D74A3">
              <w:rPr>
                <w:rFonts w:ascii="Times New Roman" w:hAnsi="Times New Roman" w:cs="Times New Roman"/>
                <w:b/>
                <w:bCs/>
                <w:color w:val="000000" w:themeColor="text1"/>
                <w:sz w:val="24"/>
                <w:szCs w:val="24"/>
              </w:rPr>
              <w:t>Tabla 1</w:t>
            </w:r>
            <w:r>
              <w:rPr>
                <w:rFonts w:ascii="Times New Roman" w:hAnsi="Times New Roman" w:cs="Times New Roman"/>
                <w:b/>
                <w:bCs/>
                <w:color w:val="000000" w:themeColor="text1"/>
                <w:sz w:val="24"/>
                <w:szCs w:val="24"/>
              </w:rPr>
              <w:t>8</w:t>
            </w:r>
            <w:r w:rsidRPr="009D74A3">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w:t>
            </w:r>
            <w:r w:rsidRPr="009D74A3">
              <w:rPr>
                <w:rFonts w:ascii="Times New Roman" w:hAnsi="Times New Roman" w:cs="Times New Roman"/>
                <w:color w:val="000000" w:themeColor="text1"/>
                <w:sz w:val="24"/>
                <w:szCs w:val="24"/>
              </w:rPr>
              <w:t xml:space="preserve"> se mantendría igual para </w:t>
            </w:r>
            <w:r>
              <w:rPr>
                <w:rFonts w:ascii="Times New Roman" w:hAnsi="Times New Roman" w:cs="Times New Roman"/>
                <w:color w:val="000000" w:themeColor="text1"/>
                <w:sz w:val="24"/>
                <w:szCs w:val="24"/>
              </w:rPr>
              <w:t>986</w:t>
            </w:r>
            <w:r w:rsidRPr="009D74A3">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0,5</w:t>
            </w:r>
            <w:r w:rsidRPr="009D74A3">
              <w:rPr>
                <w:rFonts w:ascii="Times New Roman" w:hAnsi="Times New Roman" w:cs="Times New Roman"/>
                <w:color w:val="000000" w:themeColor="text1"/>
                <w:sz w:val="24"/>
                <w:szCs w:val="24"/>
              </w:rPr>
              <w:t xml:space="preserve">%) y aumentaría para </w:t>
            </w:r>
            <w:r>
              <w:rPr>
                <w:rFonts w:ascii="Times New Roman" w:hAnsi="Times New Roman" w:cs="Times New Roman"/>
                <w:color w:val="000000" w:themeColor="text1"/>
                <w:sz w:val="24"/>
                <w:szCs w:val="24"/>
              </w:rPr>
              <w:t>58.152</w:t>
            </w:r>
            <w:r w:rsidRPr="009D74A3">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31,4</w:t>
            </w:r>
            <w:r w:rsidRPr="009D74A3">
              <w:rPr>
                <w:rFonts w:ascii="Times New Roman" w:hAnsi="Times New Roman" w:cs="Times New Roman"/>
                <w:color w:val="000000" w:themeColor="text1"/>
                <w:sz w:val="24"/>
                <w:szCs w:val="24"/>
              </w:rPr>
              <w:t xml:space="preserve">%). Del total para las que disminuye el impuesto, </w:t>
            </w:r>
            <w:r>
              <w:rPr>
                <w:rFonts w:ascii="Times New Roman" w:hAnsi="Times New Roman" w:cs="Times New Roman"/>
                <w:color w:val="000000" w:themeColor="text1"/>
                <w:sz w:val="24"/>
                <w:szCs w:val="24"/>
              </w:rPr>
              <w:t>117.540</w:t>
            </w:r>
            <w:r w:rsidRPr="009D74A3">
              <w:rPr>
                <w:rFonts w:ascii="Times New Roman" w:hAnsi="Times New Roman" w:cs="Times New Roman"/>
                <w:color w:val="000000" w:themeColor="text1"/>
                <w:sz w:val="24"/>
                <w:szCs w:val="24"/>
              </w:rPr>
              <w:t xml:space="preserve"> son micro y pequeñas empresas. De hecho, para el 94% y 8</w:t>
            </w:r>
            <w:r>
              <w:rPr>
                <w:rFonts w:ascii="Times New Roman" w:hAnsi="Times New Roman" w:cs="Times New Roman"/>
                <w:color w:val="000000" w:themeColor="text1"/>
                <w:sz w:val="24"/>
                <w:szCs w:val="24"/>
              </w:rPr>
              <w:t>6</w:t>
            </w:r>
            <w:r w:rsidRPr="009D74A3">
              <w:rPr>
                <w:rFonts w:ascii="Times New Roman" w:hAnsi="Times New Roman" w:cs="Times New Roman"/>
                <w:color w:val="000000" w:themeColor="text1"/>
                <w:sz w:val="24"/>
                <w:szCs w:val="24"/>
              </w:rPr>
              <w:t>% de las micro y pequeñas empresas industriales y comerciales (en ese orden) baja el impuesto a cargo (</w:t>
            </w:r>
            <w:r w:rsidRPr="009D74A3">
              <w:rPr>
                <w:rFonts w:ascii="Times New Roman" w:hAnsi="Times New Roman" w:cs="Times New Roman"/>
                <w:b/>
                <w:bCs/>
                <w:color w:val="000000" w:themeColor="text1"/>
                <w:sz w:val="24"/>
                <w:szCs w:val="24"/>
              </w:rPr>
              <w:t>Tabla 1</w:t>
            </w:r>
            <w:r>
              <w:rPr>
                <w:rFonts w:ascii="Times New Roman" w:hAnsi="Times New Roman" w:cs="Times New Roman"/>
                <w:b/>
                <w:bCs/>
                <w:color w:val="000000" w:themeColor="text1"/>
                <w:sz w:val="24"/>
                <w:szCs w:val="24"/>
              </w:rPr>
              <w:t>9</w:t>
            </w:r>
            <w:r w:rsidRPr="009D74A3">
              <w:rPr>
                <w:rFonts w:ascii="Times New Roman" w:hAnsi="Times New Roman" w:cs="Times New Roman"/>
                <w:color w:val="000000" w:themeColor="text1"/>
                <w:sz w:val="24"/>
                <w:szCs w:val="24"/>
              </w:rPr>
              <w:t xml:space="preserve">). </w:t>
            </w:r>
          </w:p>
          <w:p w14:paraId="146F7A21" w14:textId="77777777" w:rsidR="000603B3" w:rsidRDefault="000603B3" w:rsidP="000603B3">
            <w:pPr>
              <w:spacing w:line="256" w:lineRule="auto"/>
              <w:jc w:val="center"/>
              <w:rPr>
                <w:rFonts w:ascii="Times New Roman" w:eastAsia="Aptos" w:hAnsi="Times New Roman" w:cs="Times New Roman"/>
                <w:b/>
                <w:bCs/>
                <w:color w:val="000000" w:themeColor="text1"/>
                <w:kern w:val="2"/>
                <w:sz w:val="24"/>
                <w:szCs w:val="24"/>
                <w:lang w:val="es-419"/>
                <w14:ligatures w14:val="standardContextual"/>
              </w:rPr>
            </w:pPr>
          </w:p>
          <w:p w14:paraId="6A17785E" w14:textId="1A28F8CD" w:rsidR="000603B3" w:rsidRPr="009D74A3" w:rsidRDefault="000603B3" w:rsidP="000603B3">
            <w:pPr>
              <w:spacing w:line="256" w:lineRule="auto"/>
              <w:jc w:val="center"/>
              <w:rPr>
                <w:rFonts w:ascii="Times New Roman" w:eastAsia="Aptos" w:hAnsi="Times New Roman" w:cs="Times New Roman"/>
                <w:b/>
                <w:color w:val="000000" w:themeColor="text1"/>
                <w:kern w:val="2"/>
                <w:sz w:val="24"/>
                <w:szCs w:val="24"/>
                <w:lang w:val="es-419"/>
                <w14:ligatures w14:val="standardContextual"/>
              </w:rPr>
            </w:pPr>
            <w:r w:rsidRPr="00C80337">
              <w:rPr>
                <w:rFonts w:ascii="Times New Roman" w:eastAsia="Aptos" w:hAnsi="Times New Roman" w:cs="Times New Roman"/>
                <w:b/>
                <w:color w:val="000000" w:themeColor="text1"/>
                <w:kern w:val="2"/>
                <w:sz w:val="24"/>
                <w:szCs w:val="24"/>
                <w:lang w:val="es-419"/>
                <w14:ligatures w14:val="standardContextual"/>
              </w:rPr>
              <w:t>Tabla 18</w:t>
            </w:r>
            <w:r w:rsidRPr="00C80337">
              <w:rPr>
                <w:rFonts w:ascii="Times New Roman" w:eastAsia="Aptos" w:hAnsi="Times New Roman" w:cs="Times New Roman"/>
                <w:b/>
                <w:color w:val="000000" w:themeColor="text1"/>
                <w:kern w:val="2"/>
                <w:sz w:val="24"/>
                <w:szCs w:val="24"/>
                <w:lang w:val="es-419"/>
                <w14:ligatures w14:val="standardContextual"/>
              </w:rPr>
              <w:br/>
              <w:t>Distribución del cambio en el impuesto ICA a cargo - 2024</w:t>
            </w:r>
          </w:p>
          <w:p w14:paraId="2171A2AA" w14:textId="77777777" w:rsidR="000603B3" w:rsidRPr="009D74A3" w:rsidRDefault="000603B3" w:rsidP="000603B3">
            <w:pPr>
              <w:spacing w:line="256" w:lineRule="auto"/>
              <w:contextualSpacing/>
              <w:jc w:val="center"/>
              <w:rPr>
                <w:rFonts w:ascii="Times New Roman" w:eastAsia="Aptos" w:hAnsi="Times New Roman" w:cs="Times New Roman"/>
                <w:i/>
                <w:color w:val="000000" w:themeColor="text1"/>
                <w:kern w:val="2"/>
                <w:sz w:val="24"/>
                <w:szCs w:val="24"/>
                <w:lang w:val="es-419"/>
                <w14:ligatures w14:val="standardContextual"/>
              </w:rPr>
            </w:pPr>
            <w:r w:rsidRPr="009D74A3">
              <w:rPr>
                <w:rFonts w:ascii="Times New Roman" w:eastAsia="Aptos" w:hAnsi="Times New Roman" w:cs="Times New Roman"/>
                <w:bCs/>
                <w:i/>
                <w:iCs/>
                <w:color w:val="000000" w:themeColor="text1"/>
                <w:kern w:val="2"/>
                <w:sz w:val="24"/>
                <w:szCs w:val="24"/>
                <w:lang w:val="es-419"/>
                <w14:ligatures w14:val="standardContextual"/>
              </w:rPr>
              <w:t>No. de empresas</w:t>
            </w:r>
          </w:p>
          <w:p w14:paraId="1F7A188B" w14:textId="41B55A33" w:rsidR="000603B3" w:rsidRPr="009D74A3" w:rsidRDefault="000603B3" w:rsidP="000603B3">
            <w:pPr>
              <w:contextualSpacing/>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C80337">
              <w:rPr>
                <w:rFonts w:ascii="Times New Roman" w:hAnsi="Times New Roman" w:cs="Times New Roman"/>
                <w:noProof/>
                <w:color w:val="000000" w:themeColor="text1"/>
                <w:sz w:val="24"/>
                <w:szCs w:val="24"/>
                <w:lang w:eastAsia="es-CO"/>
              </w:rPr>
              <w:drawing>
                <wp:inline distT="0" distB="0" distL="0" distR="0" wp14:anchorId="240177BD" wp14:editId="675B5298">
                  <wp:extent cx="4292600" cy="927100"/>
                  <wp:effectExtent l="0" t="0" r="0" b="6350"/>
                  <wp:docPr id="33815599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292600" cy="927100"/>
                          </a:xfrm>
                          <a:prstGeom prst="rect">
                            <a:avLst/>
                          </a:prstGeom>
                          <a:noFill/>
                          <a:ln>
                            <a:noFill/>
                          </a:ln>
                        </pic:spPr>
                      </pic:pic>
                    </a:graphicData>
                  </a:graphic>
                </wp:inline>
              </w:drawing>
            </w:r>
          </w:p>
          <w:p w14:paraId="2A0C5C99" w14:textId="45E42B62" w:rsidR="000603B3" w:rsidRPr="009D74A3" w:rsidRDefault="000603B3" w:rsidP="000603B3">
            <w:pPr>
              <w:spacing w:line="276" w:lineRule="auto"/>
              <w:ind w:left="1351" w:right="1417"/>
              <w:contextualSpacing/>
              <w:jc w:val="both"/>
              <w:rPr>
                <w:rFonts w:ascii="Times New Roman" w:eastAsia="Aptos" w:hAnsi="Times New Roman" w:cs="Times New Roman"/>
                <w:color w:val="000000" w:themeColor="text1"/>
                <w:kern w:val="2"/>
                <w:sz w:val="16"/>
                <w:szCs w:val="16"/>
                <w:lang w:val="es-419"/>
                <w14:ligatures w14:val="standardContextual"/>
              </w:rPr>
            </w:pPr>
            <w:r w:rsidRPr="009D74A3">
              <w:rPr>
                <w:rFonts w:ascii="Times New Roman" w:eastAsia="Aptos" w:hAnsi="Times New Roman" w:cs="Times New Roman"/>
                <w:b/>
                <w:bCs/>
                <w:color w:val="000000" w:themeColor="text1"/>
                <w:kern w:val="2"/>
                <w:sz w:val="16"/>
                <w:szCs w:val="16"/>
                <w:lang w:val="es-419"/>
                <w14:ligatures w14:val="standardContextual"/>
              </w:rPr>
              <w:t>Fuente</w:t>
            </w:r>
            <w:r w:rsidRPr="009D74A3">
              <w:rPr>
                <w:rFonts w:ascii="Times New Roman" w:eastAsia="Aptos" w:hAnsi="Times New Roman" w:cs="Times New Roman"/>
                <w:color w:val="000000" w:themeColor="text1"/>
                <w:kern w:val="2"/>
                <w:sz w:val="16"/>
                <w:szCs w:val="16"/>
                <w:lang w:val="es-419"/>
                <w14:ligatures w14:val="standardContextual"/>
              </w:rPr>
              <w:t>: Cálculos</w:t>
            </w:r>
            <w:r w:rsidRPr="009D74A3">
              <w:rPr>
                <w:rFonts w:ascii="Times New Roman" w:eastAsia="Aptos" w:hAnsi="Times New Roman" w:cs="Times New Roman"/>
                <w:color w:val="000000" w:themeColor="text1"/>
                <w:kern w:val="2"/>
                <w:sz w:val="16"/>
                <w:szCs w:val="16"/>
                <w:lang w:val="es-MX"/>
                <w14:ligatures w14:val="standardContextual"/>
              </w:rPr>
              <w:t xml:space="preserve"> Secretaría Distrital de Hacienda </w:t>
            </w:r>
            <w:r w:rsidRPr="009D74A3">
              <w:rPr>
                <w:rFonts w:ascii="Times New Roman" w:eastAsia="Aptos" w:hAnsi="Times New Roman" w:cs="Times New Roman"/>
                <w:color w:val="000000" w:themeColor="text1"/>
                <w:kern w:val="2"/>
                <w:sz w:val="16"/>
                <w:szCs w:val="16"/>
                <w:lang w:val="es-419"/>
                <w14:ligatures w14:val="standardContextual"/>
              </w:rPr>
              <w:t>con base en la información de la CCB</w:t>
            </w:r>
          </w:p>
          <w:p w14:paraId="374913BA" w14:textId="77777777" w:rsidR="000603B3" w:rsidRPr="009D74A3" w:rsidRDefault="000603B3" w:rsidP="000603B3">
            <w:pPr>
              <w:spacing w:line="276" w:lineRule="auto"/>
              <w:ind w:left="1351" w:right="1417"/>
              <w:contextualSpacing/>
              <w:jc w:val="both"/>
              <w:rPr>
                <w:rFonts w:ascii="Times New Roman" w:eastAsia="Aptos" w:hAnsi="Times New Roman" w:cs="Times New Roman"/>
                <w:color w:val="000000" w:themeColor="text1"/>
                <w:kern w:val="2"/>
                <w:sz w:val="16"/>
                <w:szCs w:val="16"/>
                <w:lang w:val="es-419"/>
                <w14:ligatures w14:val="standardContextual"/>
              </w:rPr>
            </w:pPr>
            <w:r w:rsidRPr="009D74A3">
              <w:rPr>
                <w:rFonts w:ascii="Times New Roman" w:eastAsia="Aptos" w:hAnsi="Times New Roman" w:cs="Times New Roman"/>
                <w:b/>
                <w:bCs/>
                <w:color w:val="000000" w:themeColor="text1"/>
                <w:kern w:val="2"/>
                <w:sz w:val="16"/>
                <w:szCs w:val="16"/>
                <w:lang w:val="es-419"/>
                <w14:ligatures w14:val="standardContextual"/>
              </w:rPr>
              <w:t>Nota</w:t>
            </w:r>
            <w:r w:rsidRPr="009D74A3">
              <w:rPr>
                <w:rFonts w:ascii="Times New Roman" w:eastAsia="Aptos" w:hAnsi="Times New Roman" w:cs="Times New Roman"/>
                <w:color w:val="000000" w:themeColor="text1"/>
                <w:kern w:val="2"/>
                <w:sz w:val="16"/>
                <w:szCs w:val="16"/>
                <w:lang w:val="es-419"/>
                <w14:ligatures w14:val="standardContextual"/>
              </w:rPr>
              <w:t>: La clasificación sectorial corresponde a las actividades de la estructura tarifaria del ICA en Bogotá. El tamaño de la empresa se determina a partir de los criterios del decreto 957 de 2019</w:t>
            </w:r>
          </w:p>
          <w:p w14:paraId="09037DAB" w14:textId="77777777" w:rsidR="000603B3" w:rsidRDefault="000603B3" w:rsidP="000603B3">
            <w:pPr>
              <w:spacing w:line="256" w:lineRule="auto"/>
              <w:jc w:val="center"/>
              <w:rPr>
                <w:rFonts w:ascii="Times New Roman" w:eastAsia="Aptos" w:hAnsi="Times New Roman" w:cs="Times New Roman"/>
                <w:b/>
                <w:color w:val="000000" w:themeColor="text1"/>
                <w:kern w:val="2"/>
                <w:sz w:val="24"/>
                <w:szCs w:val="24"/>
                <w:lang w:val="es-419"/>
                <w14:ligatures w14:val="standardContextual"/>
              </w:rPr>
            </w:pPr>
          </w:p>
          <w:p w14:paraId="0C7FB0EC" w14:textId="6AD70DFA" w:rsidR="000603B3" w:rsidRPr="009D74A3" w:rsidRDefault="000603B3" w:rsidP="000603B3">
            <w:pPr>
              <w:spacing w:line="256" w:lineRule="auto"/>
              <w:jc w:val="center"/>
              <w:rPr>
                <w:rFonts w:ascii="Times New Roman" w:eastAsia="Aptos" w:hAnsi="Times New Roman" w:cs="Times New Roman"/>
                <w:b/>
                <w:color w:val="000000" w:themeColor="text1"/>
                <w:kern w:val="2"/>
                <w:sz w:val="24"/>
                <w:szCs w:val="24"/>
                <w:lang w:val="es-419"/>
                <w14:ligatures w14:val="standardContextual"/>
              </w:rPr>
            </w:pPr>
            <w:r w:rsidRPr="00C80337">
              <w:rPr>
                <w:rFonts w:ascii="Times New Roman" w:eastAsia="Aptos" w:hAnsi="Times New Roman" w:cs="Times New Roman"/>
                <w:b/>
                <w:color w:val="000000" w:themeColor="text1"/>
                <w:kern w:val="2"/>
                <w:sz w:val="24"/>
                <w:szCs w:val="24"/>
                <w:lang w:val="es-419"/>
                <w14:ligatures w14:val="standardContextual"/>
              </w:rPr>
              <w:t>Tabla 19</w:t>
            </w:r>
            <w:r w:rsidRPr="00C80337">
              <w:rPr>
                <w:rFonts w:ascii="Times New Roman" w:eastAsia="Aptos" w:hAnsi="Times New Roman" w:cs="Times New Roman"/>
                <w:b/>
                <w:color w:val="000000" w:themeColor="text1"/>
                <w:kern w:val="2"/>
                <w:sz w:val="24"/>
                <w:szCs w:val="24"/>
                <w:lang w:val="es-419"/>
                <w14:ligatures w14:val="standardContextual"/>
              </w:rPr>
              <w:br/>
              <w:t>Empresas que tienen una reducción en el impuesto ICA a cargo - 2024</w:t>
            </w:r>
          </w:p>
          <w:p w14:paraId="19B316F1" w14:textId="77777777" w:rsidR="000603B3" w:rsidRPr="009D74A3" w:rsidRDefault="000603B3" w:rsidP="000603B3">
            <w:pPr>
              <w:spacing w:line="256" w:lineRule="auto"/>
              <w:contextualSpacing/>
              <w:jc w:val="center"/>
              <w:rPr>
                <w:rFonts w:ascii="Times New Roman" w:eastAsia="Aptos" w:hAnsi="Times New Roman" w:cs="Times New Roman"/>
                <w:i/>
                <w:color w:val="000000" w:themeColor="text1"/>
                <w:kern w:val="2"/>
                <w:sz w:val="24"/>
                <w:szCs w:val="24"/>
                <w:lang w:val="es-419"/>
                <w14:ligatures w14:val="standardContextual"/>
              </w:rPr>
            </w:pPr>
            <w:r w:rsidRPr="009D74A3">
              <w:rPr>
                <w:rFonts w:ascii="Times New Roman" w:eastAsia="Aptos" w:hAnsi="Times New Roman" w:cs="Times New Roman"/>
                <w:bCs/>
                <w:i/>
                <w:iCs/>
                <w:color w:val="000000" w:themeColor="text1"/>
                <w:kern w:val="2"/>
                <w:sz w:val="24"/>
                <w:szCs w:val="24"/>
                <w:lang w:val="es-419"/>
                <w14:ligatures w14:val="standardContextual"/>
              </w:rPr>
              <w:t>Porcentaje</w:t>
            </w:r>
          </w:p>
          <w:p w14:paraId="0683E0CA" w14:textId="65521B62" w:rsidR="000603B3" w:rsidRPr="009D74A3" w:rsidRDefault="000603B3" w:rsidP="000603B3">
            <w:pPr>
              <w:contextualSpacing/>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3539B6">
              <w:rPr>
                <w:rFonts w:ascii="Times New Roman" w:hAnsi="Times New Roman" w:cs="Times New Roman"/>
                <w:noProof/>
                <w:color w:val="000000" w:themeColor="text1"/>
                <w:sz w:val="24"/>
                <w:szCs w:val="24"/>
                <w:lang w:eastAsia="es-CO"/>
              </w:rPr>
              <w:drawing>
                <wp:inline distT="0" distB="0" distL="0" distR="0" wp14:anchorId="357C6F41" wp14:editId="01C4E8E2">
                  <wp:extent cx="4337050" cy="927100"/>
                  <wp:effectExtent l="0" t="0" r="6350" b="6350"/>
                  <wp:docPr id="4696685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337050" cy="927100"/>
                          </a:xfrm>
                          <a:prstGeom prst="rect">
                            <a:avLst/>
                          </a:prstGeom>
                          <a:noFill/>
                          <a:ln>
                            <a:noFill/>
                          </a:ln>
                        </pic:spPr>
                      </pic:pic>
                    </a:graphicData>
                  </a:graphic>
                </wp:inline>
              </w:drawing>
            </w:r>
          </w:p>
          <w:p w14:paraId="0C535291" w14:textId="77777777" w:rsidR="000603B3" w:rsidRPr="009D74A3" w:rsidRDefault="000603B3" w:rsidP="000603B3">
            <w:pPr>
              <w:spacing w:line="276" w:lineRule="auto"/>
              <w:ind w:left="1351" w:right="1417"/>
              <w:contextualSpacing/>
              <w:jc w:val="both"/>
              <w:rPr>
                <w:rFonts w:ascii="Times New Roman" w:eastAsia="Aptos" w:hAnsi="Times New Roman" w:cs="Times New Roman"/>
                <w:color w:val="000000" w:themeColor="text1"/>
                <w:kern w:val="2"/>
                <w:sz w:val="16"/>
                <w:szCs w:val="16"/>
                <w:lang w:val="es-419"/>
                <w14:ligatures w14:val="standardContextual"/>
              </w:rPr>
            </w:pPr>
            <w:r w:rsidRPr="009D74A3">
              <w:rPr>
                <w:rFonts w:ascii="Times New Roman" w:eastAsia="Aptos" w:hAnsi="Times New Roman" w:cs="Times New Roman"/>
                <w:b/>
                <w:bCs/>
                <w:color w:val="000000" w:themeColor="text1"/>
                <w:kern w:val="2"/>
                <w:sz w:val="16"/>
                <w:szCs w:val="16"/>
                <w:lang w:val="es-419"/>
                <w14:ligatures w14:val="standardContextual"/>
              </w:rPr>
              <w:t>Fuente</w:t>
            </w:r>
            <w:r w:rsidRPr="009D74A3">
              <w:rPr>
                <w:rFonts w:ascii="Times New Roman" w:eastAsia="Aptos" w:hAnsi="Times New Roman" w:cs="Times New Roman"/>
                <w:color w:val="000000" w:themeColor="text1"/>
                <w:kern w:val="2"/>
                <w:sz w:val="16"/>
                <w:szCs w:val="16"/>
                <w:lang w:val="es-419"/>
                <w14:ligatures w14:val="standardContextual"/>
              </w:rPr>
              <w:t>: Cálculos</w:t>
            </w:r>
            <w:r w:rsidRPr="009D74A3">
              <w:rPr>
                <w:rFonts w:ascii="Times New Roman" w:eastAsia="Aptos" w:hAnsi="Times New Roman" w:cs="Times New Roman"/>
                <w:color w:val="000000" w:themeColor="text1"/>
                <w:kern w:val="2"/>
                <w:sz w:val="16"/>
                <w:szCs w:val="16"/>
                <w:lang w:val="es-MX"/>
                <w14:ligatures w14:val="standardContextual"/>
              </w:rPr>
              <w:t xml:space="preserve"> Secretaría Distrital de Hacienda </w:t>
            </w:r>
            <w:r w:rsidRPr="009D74A3">
              <w:rPr>
                <w:rFonts w:ascii="Times New Roman" w:eastAsia="Aptos" w:hAnsi="Times New Roman" w:cs="Times New Roman"/>
                <w:color w:val="000000" w:themeColor="text1"/>
                <w:kern w:val="2"/>
                <w:sz w:val="16"/>
                <w:szCs w:val="16"/>
                <w:lang w:val="es-419"/>
                <w14:ligatures w14:val="standardContextual"/>
              </w:rPr>
              <w:t>con base en la información de la CCB</w:t>
            </w:r>
          </w:p>
          <w:p w14:paraId="73934C74" w14:textId="77777777" w:rsidR="000603B3" w:rsidRPr="009D74A3" w:rsidRDefault="000603B3" w:rsidP="000603B3">
            <w:pPr>
              <w:spacing w:line="276" w:lineRule="auto"/>
              <w:ind w:left="1351" w:right="1417"/>
              <w:contextualSpacing/>
              <w:jc w:val="both"/>
              <w:rPr>
                <w:rFonts w:ascii="Times New Roman" w:eastAsia="Aptos" w:hAnsi="Times New Roman" w:cs="Times New Roman"/>
                <w:color w:val="000000" w:themeColor="text1"/>
                <w:kern w:val="2"/>
                <w:sz w:val="16"/>
                <w:szCs w:val="16"/>
                <w:lang w:val="es-419"/>
                <w14:ligatures w14:val="standardContextual"/>
              </w:rPr>
            </w:pPr>
            <w:r w:rsidRPr="009D74A3">
              <w:rPr>
                <w:rFonts w:ascii="Times New Roman" w:eastAsia="Aptos" w:hAnsi="Times New Roman" w:cs="Times New Roman"/>
                <w:b/>
                <w:bCs/>
                <w:color w:val="000000" w:themeColor="text1"/>
                <w:kern w:val="2"/>
                <w:sz w:val="16"/>
                <w:szCs w:val="16"/>
                <w:lang w:val="es-419"/>
                <w14:ligatures w14:val="standardContextual"/>
              </w:rPr>
              <w:t>Nota</w:t>
            </w:r>
            <w:r w:rsidRPr="009D74A3">
              <w:rPr>
                <w:rFonts w:ascii="Times New Roman" w:eastAsia="Aptos" w:hAnsi="Times New Roman" w:cs="Times New Roman"/>
                <w:color w:val="000000" w:themeColor="text1"/>
                <w:kern w:val="2"/>
                <w:sz w:val="16"/>
                <w:szCs w:val="16"/>
                <w:lang w:val="es-419"/>
                <w14:ligatures w14:val="standardContextual"/>
              </w:rPr>
              <w:t>: La clasificación sectorial corresponde a las actividades de la estructura tarifaria del ICA en Bogotá. El tamaño de la empresa se determina a partir de los criterios del decreto 957 de 2019</w:t>
            </w:r>
          </w:p>
          <w:p w14:paraId="298386F1" w14:textId="77777777" w:rsidR="000603B3" w:rsidRPr="009D74A3" w:rsidRDefault="000603B3" w:rsidP="000603B3">
            <w:pPr>
              <w:contextualSpacing/>
              <w:jc w:val="both"/>
              <w:rPr>
                <w:rFonts w:ascii="Times New Roman" w:hAnsi="Times New Roman" w:cs="Times New Roman"/>
                <w:color w:val="000000" w:themeColor="text1"/>
                <w:sz w:val="24"/>
                <w:szCs w:val="24"/>
                <w:lang w:val="es-419"/>
              </w:rPr>
            </w:pPr>
          </w:p>
          <w:p w14:paraId="35DC9342" w14:textId="19F17C09" w:rsidR="000603B3" w:rsidRPr="009D74A3" w:rsidRDefault="000603B3" w:rsidP="000603B3">
            <w:pPr>
              <w:contextualSpacing/>
              <w:jc w:val="both"/>
              <w:rPr>
                <w:rFonts w:ascii="Times New Roman" w:hAnsi="Times New Roman" w:cs="Times New Roman"/>
                <w:color w:val="000000" w:themeColor="text1"/>
                <w:sz w:val="24"/>
                <w:szCs w:val="24"/>
              </w:rPr>
            </w:pPr>
            <w:r w:rsidRPr="009D74A3">
              <w:rPr>
                <w:rFonts w:ascii="Times New Roman" w:hAnsi="Times New Roman" w:cs="Times New Roman"/>
                <w:color w:val="000000" w:themeColor="text1"/>
                <w:sz w:val="24"/>
                <w:szCs w:val="24"/>
              </w:rPr>
              <w:t>La reducción en la carga tributaria del ICA para los contribuyentes bogotanos, particularmente para las MiPymes, no afecta el recaudo esperado. Con la modificación propuesta, el Distrito Capital pasaría de un impuesto a cargo de $ 5,</w:t>
            </w:r>
            <w:r>
              <w:rPr>
                <w:rFonts w:ascii="Times New Roman" w:hAnsi="Times New Roman" w:cs="Times New Roman"/>
                <w:color w:val="000000" w:themeColor="text1"/>
                <w:sz w:val="24"/>
                <w:szCs w:val="24"/>
              </w:rPr>
              <w:t>78</w:t>
            </w:r>
            <w:r w:rsidRPr="009D74A3">
              <w:rPr>
                <w:rFonts w:ascii="Times New Roman" w:hAnsi="Times New Roman" w:cs="Times New Roman"/>
                <w:color w:val="000000" w:themeColor="text1"/>
                <w:sz w:val="24"/>
                <w:szCs w:val="24"/>
              </w:rPr>
              <w:t xml:space="preserve"> billones en el año 2024 a $ 6,</w:t>
            </w:r>
            <w:r>
              <w:rPr>
                <w:rFonts w:ascii="Times New Roman" w:hAnsi="Times New Roman" w:cs="Times New Roman"/>
                <w:color w:val="000000" w:themeColor="text1"/>
                <w:sz w:val="24"/>
                <w:szCs w:val="24"/>
              </w:rPr>
              <w:t>49</w:t>
            </w:r>
            <w:r w:rsidRPr="009D74A3">
              <w:rPr>
                <w:rFonts w:ascii="Times New Roman" w:hAnsi="Times New Roman" w:cs="Times New Roman"/>
                <w:color w:val="000000" w:themeColor="text1"/>
                <w:sz w:val="24"/>
                <w:szCs w:val="24"/>
              </w:rPr>
              <w:t xml:space="preserve"> billones en el primer año de implementación de la modificación, lo que representa un ingreso adicional de $</w:t>
            </w:r>
            <w:r>
              <w:rPr>
                <w:rFonts w:ascii="Times New Roman" w:hAnsi="Times New Roman" w:cs="Times New Roman"/>
                <w:color w:val="000000" w:themeColor="text1"/>
                <w:sz w:val="24"/>
                <w:szCs w:val="24"/>
              </w:rPr>
              <w:t>705.972</w:t>
            </w:r>
            <w:r w:rsidRPr="009D74A3">
              <w:rPr>
                <w:rFonts w:ascii="Times New Roman" w:hAnsi="Times New Roman" w:cs="Times New Roman"/>
                <w:color w:val="000000" w:themeColor="text1"/>
                <w:sz w:val="24"/>
                <w:szCs w:val="24"/>
              </w:rPr>
              <w:t xml:space="preserve"> millones por año (precios de 2024).</w:t>
            </w:r>
          </w:p>
          <w:p w14:paraId="6A0A1E4B" w14:textId="77777777" w:rsidR="000603B3" w:rsidRPr="009D74A3" w:rsidRDefault="000603B3" w:rsidP="000603B3">
            <w:pPr>
              <w:contextualSpacing/>
              <w:jc w:val="both"/>
              <w:rPr>
                <w:rFonts w:ascii="Times New Roman" w:hAnsi="Times New Roman" w:cs="Times New Roman"/>
                <w:color w:val="000000" w:themeColor="text1"/>
                <w:sz w:val="24"/>
                <w:szCs w:val="24"/>
              </w:rPr>
            </w:pPr>
          </w:p>
          <w:p w14:paraId="7C0D988D" w14:textId="77777777" w:rsidR="000603B3" w:rsidRPr="009D74A3" w:rsidRDefault="000603B3" w:rsidP="000603B3">
            <w:pPr>
              <w:contextualSpacing/>
              <w:jc w:val="both"/>
              <w:rPr>
                <w:rFonts w:ascii="Times New Roman" w:hAnsi="Times New Roman" w:cs="Times New Roman"/>
                <w:color w:val="000000" w:themeColor="text1"/>
                <w:sz w:val="24"/>
                <w:szCs w:val="24"/>
              </w:rPr>
            </w:pPr>
            <w:r w:rsidRPr="009D74A3">
              <w:rPr>
                <w:rFonts w:ascii="Times New Roman" w:hAnsi="Times New Roman" w:cs="Times New Roman"/>
                <w:color w:val="000000" w:themeColor="text1"/>
                <w:sz w:val="24"/>
                <w:szCs w:val="24"/>
              </w:rPr>
              <w:t>De acuerdo con las estimaciones a partir de los registros administrativos de las declaraciones del ICA y de los microdatos del registro mercantil de la Cámara de Comercio de Bogotá para 2024, las utilidades anuales de las empresas declarantes del ICA en Bogotá son cercanas a los 1</w:t>
            </w:r>
            <w:r>
              <w:rPr>
                <w:rFonts w:ascii="Times New Roman" w:hAnsi="Times New Roman" w:cs="Times New Roman"/>
                <w:color w:val="000000" w:themeColor="text1"/>
                <w:sz w:val="24"/>
                <w:szCs w:val="24"/>
              </w:rPr>
              <w:t>68</w:t>
            </w:r>
            <w:r w:rsidRPr="009D74A3">
              <w:rPr>
                <w:rFonts w:ascii="Times New Roman" w:hAnsi="Times New Roman" w:cs="Times New Roman"/>
                <w:color w:val="000000" w:themeColor="text1"/>
                <w:sz w:val="24"/>
                <w:szCs w:val="24"/>
              </w:rPr>
              <w:t xml:space="preserve"> billones de pesos. En este sentido, los incrementos en el recaudo pueden cuantificarse frente a lo que representan y lo que podrían afectar las utilidades. Un incremento de 1,</w:t>
            </w:r>
            <w:r>
              <w:rPr>
                <w:rFonts w:ascii="Times New Roman" w:hAnsi="Times New Roman" w:cs="Times New Roman"/>
                <w:color w:val="000000" w:themeColor="text1"/>
                <w:sz w:val="24"/>
                <w:szCs w:val="24"/>
              </w:rPr>
              <w:t>68</w:t>
            </w:r>
            <w:r w:rsidRPr="009D74A3">
              <w:rPr>
                <w:rFonts w:ascii="Times New Roman" w:hAnsi="Times New Roman" w:cs="Times New Roman"/>
                <w:color w:val="000000" w:themeColor="text1"/>
                <w:sz w:val="24"/>
                <w:szCs w:val="24"/>
              </w:rPr>
              <w:t xml:space="preserve"> billones representa </w:t>
            </w:r>
            <w:r>
              <w:rPr>
                <w:rFonts w:ascii="Times New Roman" w:hAnsi="Times New Roman" w:cs="Times New Roman"/>
                <w:color w:val="000000" w:themeColor="text1"/>
                <w:sz w:val="24"/>
                <w:szCs w:val="24"/>
              </w:rPr>
              <w:t xml:space="preserve">aproximadamente </w:t>
            </w:r>
            <w:r w:rsidRPr="009D74A3">
              <w:rPr>
                <w:rFonts w:ascii="Times New Roman" w:hAnsi="Times New Roman" w:cs="Times New Roman"/>
                <w:color w:val="000000" w:themeColor="text1"/>
                <w:sz w:val="24"/>
                <w:szCs w:val="24"/>
              </w:rPr>
              <w:t>1 punto porcentual de las utilidades, y 1</w:t>
            </w:r>
            <w:r>
              <w:rPr>
                <w:rFonts w:ascii="Times New Roman" w:hAnsi="Times New Roman" w:cs="Times New Roman"/>
                <w:color w:val="000000" w:themeColor="text1"/>
                <w:sz w:val="24"/>
                <w:szCs w:val="24"/>
              </w:rPr>
              <w:t>68</w:t>
            </w:r>
            <w:r w:rsidRPr="009D74A3">
              <w:rPr>
                <w:rFonts w:ascii="Times New Roman" w:hAnsi="Times New Roman" w:cs="Times New Roman"/>
                <w:color w:val="000000" w:themeColor="text1"/>
                <w:sz w:val="24"/>
                <w:szCs w:val="24"/>
              </w:rPr>
              <w:t>.000 millones, 0,1 puntos porcentuales. </w:t>
            </w:r>
          </w:p>
          <w:p w14:paraId="30A263EB" w14:textId="77777777" w:rsidR="000603B3" w:rsidRPr="009D74A3" w:rsidRDefault="000603B3" w:rsidP="000603B3">
            <w:pPr>
              <w:contextualSpacing/>
              <w:jc w:val="both"/>
              <w:rPr>
                <w:rFonts w:ascii="Times New Roman" w:hAnsi="Times New Roman" w:cs="Times New Roman"/>
                <w:color w:val="000000" w:themeColor="text1"/>
                <w:sz w:val="24"/>
                <w:szCs w:val="24"/>
              </w:rPr>
            </w:pPr>
          </w:p>
          <w:p w14:paraId="5A76FA0A" w14:textId="60301B4B" w:rsidR="000603B3" w:rsidRPr="009D74A3" w:rsidRDefault="000603B3" w:rsidP="000603B3">
            <w:pPr>
              <w:spacing w:after="160" w:line="259" w:lineRule="auto"/>
              <w:jc w:val="both"/>
              <w:rPr>
                <w:rFonts w:ascii="Times New Roman" w:hAnsi="Times New Roman" w:cs="Times New Roman"/>
                <w:color w:val="000000" w:themeColor="text1"/>
                <w:sz w:val="24"/>
                <w:szCs w:val="24"/>
              </w:rPr>
            </w:pPr>
            <w:r w:rsidRPr="009D74A3">
              <w:rPr>
                <w:rFonts w:ascii="Times New Roman" w:hAnsi="Times New Roman" w:cs="Times New Roman"/>
                <w:color w:val="000000" w:themeColor="text1"/>
                <w:sz w:val="24"/>
                <w:szCs w:val="24"/>
              </w:rPr>
              <w:t>Si se toma como punto de partida la estimación de que el impuesto de industria y comercio representó, en promedio, el 3,</w:t>
            </w:r>
            <w:r>
              <w:rPr>
                <w:rFonts w:ascii="Times New Roman" w:hAnsi="Times New Roman" w:cs="Times New Roman"/>
                <w:color w:val="000000" w:themeColor="text1"/>
                <w:sz w:val="24"/>
                <w:szCs w:val="24"/>
              </w:rPr>
              <w:t>45</w:t>
            </w:r>
            <w:r w:rsidRPr="009D74A3">
              <w:rPr>
                <w:rFonts w:ascii="Times New Roman" w:hAnsi="Times New Roman" w:cs="Times New Roman"/>
                <w:color w:val="000000" w:themeColor="text1"/>
                <w:sz w:val="24"/>
                <w:szCs w:val="24"/>
              </w:rPr>
              <w:t>% de las utilidades de las empresas en Bogotá durante el año 2024, de llegarse a implementar la propuesta tarifaria descrita conllevaría un incremento en la carga tributaria equivalente a 0,4</w:t>
            </w:r>
            <w:r>
              <w:rPr>
                <w:rFonts w:ascii="Times New Roman" w:hAnsi="Times New Roman" w:cs="Times New Roman"/>
                <w:color w:val="000000" w:themeColor="text1"/>
                <w:sz w:val="24"/>
                <w:szCs w:val="24"/>
              </w:rPr>
              <w:t>2</w:t>
            </w:r>
            <w:r w:rsidRPr="009D74A3">
              <w:rPr>
                <w:rFonts w:ascii="Times New Roman" w:hAnsi="Times New Roman" w:cs="Times New Roman"/>
                <w:color w:val="000000" w:themeColor="text1"/>
                <w:sz w:val="24"/>
                <w:szCs w:val="24"/>
              </w:rPr>
              <w:t xml:space="preserve"> p.p. (</w:t>
            </w:r>
            <w:r w:rsidRPr="009D74A3">
              <w:rPr>
                <w:rFonts w:ascii="Times New Roman" w:hAnsi="Times New Roman" w:cs="Times New Roman"/>
                <w:b/>
                <w:bCs/>
                <w:color w:val="000000" w:themeColor="text1"/>
                <w:sz w:val="24"/>
                <w:szCs w:val="24"/>
              </w:rPr>
              <w:t xml:space="preserve">Tabla </w:t>
            </w:r>
            <w:r>
              <w:rPr>
                <w:rFonts w:ascii="Times New Roman" w:hAnsi="Times New Roman" w:cs="Times New Roman"/>
                <w:b/>
                <w:bCs/>
                <w:color w:val="000000" w:themeColor="text1"/>
                <w:sz w:val="24"/>
                <w:szCs w:val="24"/>
              </w:rPr>
              <w:t>20</w:t>
            </w:r>
            <w:r w:rsidRPr="009D74A3">
              <w:rPr>
                <w:rFonts w:ascii="Times New Roman" w:hAnsi="Times New Roman" w:cs="Times New Roman"/>
                <w:color w:val="000000" w:themeColor="text1"/>
                <w:sz w:val="24"/>
                <w:szCs w:val="24"/>
              </w:rPr>
              <w:t>), y la carga tributaria del ICA alcanzaría un total estimado de 3,</w:t>
            </w:r>
            <w:r>
              <w:rPr>
                <w:rFonts w:ascii="Times New Roman" w:hAnsi="Times New Roman" w:cs="Times New Roman"/>
                <w:color w:val="000000" w:themeColor="text1"/>
                <w:sz w:val="24"/>
                <w:szCs w:val="24"/>
              </w:rPr>
              <w:t>87</w:t>
            </w:r>
            <w:r w:rsidRPr="009D74A3">
              <w:rPr>
                <w:rFonts w:ascii="Times New Roman" w:hAnsi="Times New Roman" w:cs="Times New Roman"/>
                <w:color w:val="000000" w:themeColor="text1"/>
                <w:sz w:val="24"/>
                <w:szCs w:val="24"/>
              </w:rPr>
              <w:t>% sobre las utilidades de las unidades productivas</w:t>
            </w:r>
            <w:r>
              <w:rPr>
                <w:rFonts w:ascii="Times New Roman" w:hAnsi="Times New Roman" w:cs="Times New Roman"/>
                <w:color w:val="000000" w:themeColor="text1"/>
                <w:sz w:val="24"/>
                <w:szCs w:val="24"/>
              </w:rPr>
              <w:t>, suponiendo que dichas utilidades no aumentan</w:t>
            </w:r>
            <w:r w:rsidRPr="009D74A3">
              <w:rPr>
                <w:rFonts w:ascii="Times New Roman" w:hAnsi="Times New Roman" w:cs="Times New Roman"/>
                <w:color w:val="000000" w:themeColor="text1"/>
                <w:sz w:val="24"/>
                <w:szCs w:val="24"/>
              </w:rPr>
              <w:t>. Los resultados indican que, en el agregado, la estructura tarifaria propuesta reduce la carga del ICA sobre las utilidades para las MiPymes, particularmente de las actividades industriales y de comercio, que son dos sectores que han tenido un crecimiento débil en los dos años anteriores.</w:t>
            </w:r>
          </w:p>
          <w:p w14:paraId="2163433A" w14:textId="3DD874F1" w:rsidR="000603B3" w:rsidRPr="009D74A3" w:rsidRDefault="000603B3" w:rsidP="000603B3">
            <w:pPr>
              <w:spacing w:line="256" w:lineRule="auto"/>
              <w:jc w:val="center"/>
              <w:rPr>
                <w:rFonts w:ascii="Times New Roman" w:eastAsia="Aptos" w:hAnsi="Times New Roman" w:cs="Times New Roman"/>
                <w:b/>
                <w:color w:val="000000" w:themeColor="text1"/>
                <w:kern w:val="2"/>
                <w:sz w:val="24"/>
                <w:szCs w:val="24"/>
                <w:lang w:val="es-419"/>
                <w14:ligatures w14:val="standardContextual"/>
              </w:rPr>
            </w:pPr>
            <w:r w:rsidRPr="004E4ED5">
              <w:rPr>
                <w:rFonts w:ascii="Times New Roman" w:eastAsia="Aptos" w:hAnsi="Times New Roman" w:cs="Times New Roman"/>
                <w:b/>
                <w:color w:val="000000" w:themeColor="text1"/>
                <w:kern w:val="2"/>
                <w:sz w:val="24"/>
                <w:szCs w:val="24"/>
                <w:highlight w:val="yellow"/>
                <w:lang w:val="es-419"/>
                <w14:ligatures w14:val="standardContextual"/>
              </w:rPr>
              <w:t>Tabla 20</w:t>
            </w:r>
            <w:r w:rsidRPr="004E4ED5">
              <w:rPr>
                <w:rFonts w:ascii="Times New Roman" w:eastAsia="Aptos" w:hAnsi="Times New Roman" w:cs="Times New Roman"/>
                <w:b/>
                <w:color w:val="000000" w:themeColor="text1"/>
                <w:kern w:val="2"/>
                <w:sz w:val="24"/>
                <w:szCs w:val="24"/>
                <w:highlight w:val="yellow"/>
                <w:lang w:val="es-419"/>
                <w14:ligatures w14:val="standardContextual"/>
              </w:rPr>
              <w:br/>
              <w:t>Variación en la carga tributaria del ICA (impuesto/utilidades) por sectores económicos - 2024</w:t>
            </w:r>
          </w:p>
          <w:p w14:paraId="7816C9A1" w14:textId="77777777" w:rsidR="000603B3" w:rsidRPr="009D74A3" w:rsidRDefault="000603B3" w:rsidP="000603B3">
            <w:pPr>
              <w:spacing w:line="256" w:lineRule="auto"/>
              <w:contextualSpacing/>
              <w:jc w:val="center"/>
              <w:rPr>
                <w:rFonts w:ascii="Times New Roman" w:eastAsia="Aptos" w:hAnsi="Times New Roman" w:cs="Times New Roman"/>
                <w:i/>
                <w:color w:val="000000" w:themeColor="text1"/>
                <w:kern w:val="2"/>
                <w:sz w:val="24"/>
                <w:szCs w:val="24"/>
                <w:lang w:val="es-419"/>
                <w14:ligatures w14:val="standardContextual"/>
              </w:rPr>
            </w:pPr>
            <w:r w:rsidRPr="009D74A3">
              <w:rPr>
                <w:rFonts w:ascii="Times New Roman" w:eastAsia="Aptos" w:hAnsi="Times New Roman" w:cs="Times New Roman"/>
                <w:bCs/>
                <w:i/>
                <w:iCs/>
                <w:color w:val="000000" w:themeColor="text1"/>
                <w:kern w:val="2"/>
                <w:sz w:val="24"/>
                <w:szCs w:val="24"/>
                <w:lang w:val="es-419"/>
                <w14:ligatures w14:val="standardContextual"/>
              </w:rPr>
              <w:t>Puntos porcentuales</w:t>
            </w:r>
          </w:p>
          <w:p w14:paraId="1D422338" w14:textId="3093E4AA" w:rsidR="000603B3" w:rsidRPr="009D74A3" w:rsidRDefault="000603B3" w:rsidP="000603B3">
            <w:pPr>
              <w:contextualSpacing/>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Pr="00851326">
              <w:rPr>
                <w:rFonts w:ascii="Times New Roman" w:hAnsi="Times New Roman" w:cs="Times New Roman"/>
                <w:noProof/>
                <w:color w:val="000000" w:themeColor="text1"/>
                <w:sz w:val="24"/>
                <w:szCs w:val="24"/>
                <w:lang w:eastAsia="es-CO"/>
              </w:rPr>
              <w:drawing>
                <wp:inline distT="0" distB="0" distL="0" distR="0" wp14:anchorId="7A26D886" wp14:editId="3F4D9640">
                  <wp:extent cx="4241800" cy="1111250"/>
                  <wp:effectExtent l="0" t="0" r="6350" b="0"/>
                  <wp:docPr id="10200975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241800" cy="1111250"/>
                          </a:xfrm>
                          <a:prstGeom prst="rect">
                            <a:avLst/>
                          </a:prstGeom>
                          <a:noFill/>
                          <a:ln>
                            <a:noFill/>
                          </a:ln>
                        </pic:spPr>
                      </pic:pic>
                    </a:graphicData>
                  </a:graphic>
                </wp:inline>
              </w:drawing>
            </w:r>
          </w:p>
          <w:p w14:paraId="0D4DED65" w14:textId="77777777" w:rsidR="000603B3" w:rsidRPr="009D74A3" w:rsidRDefault="000603B3" w:rsidP="000603B3">
            <w:pPr>
              <w:spacing w:line="276" w:lineRule="auto"/>
              <w:ind w:left="1351" w:right="1417"/>
              <w:contextualSpacing/>
              <w:jc w:val="both"/>
              <w:rPr>
                <w:rFonts w:ascii="Times New Roman" w:eastAsia="Aptos" w:hAnsi="Times New Roman" w:cs="Times New Roman"/>
                <w:color w:val="000000" w:themeColor="text1"/>
                <w:kern w:val="2"/>
                <w:sz w:val="16"/>
                <w:szCs w:val="16"/>
                <w:lang w:val="es-419"/>
                <w14:ligatures w14:val="standardContextual"/>
              </w:rPr>
            </w:pPr>
            <w:r w:rsidRPr="009D74A3">
              <w:rPr>
                <w:rFonts w:ascii="Times New Roman" w:eastAsia="Aptos" w:hAnsi="Times New Roman" w:cs="Times New Roman"/>
                <w:b/>
                <w:bCs/>
                <w:color w:val="000000" w:themeColor="text1"/>
                <w:kern w:val="2"/>
                <w:sz w:val="16"/>
                <w:szCs w:val="16"/>
                <w:lang w:val="es-419"/>
                <w14:ligatures w14:val="standardContextual"/>
              </w:rPr>
              <w:t>Fuente</w:t>
            </w:r>
            <w:r w:rsidRPr="009D74A3">
              <w:rPr>
                <w:rFonts w:ascii="Times New Roman" w:eastAsia="Aptos" w:hAnsi="Times New Roman" w:cs="Times New Roman"/>
                <w:color w:val="000000" w:themeColor="text1"/>
                <w:kern w:val="2"/>
                <w:sz w:val="16"/>
                <w:szCs w:val="16"/>
                <w:lang w:val="es-419"/>
                <w14:ligatures w14:val="standardContextual"/>
              </w:rPr>
              <w:t>: Cálculos</w:t>
            </w:r>
            <w:r w:rsidRPr="009D74A3">
              <w:rPr>
                <w:rFonts w:ascii="Times New Roman" w:eastAsia="Aptos" w:hAnsi="Times New Roman" w:cs="Times New Roman"/>
                <w:color w:val="000000" w:themeColor="text1"/>
                <w:kern w:val="2"/>
                <w:sz w:val="16"/>
                <w:szCs w:val="16"/>
                <w:lang w:val="es-MX"/>
                <w14:ligatures w14:val="standardContextual"/>
              </w:rPr>
              <w:t xml:space="preserve"> Secretaría Distrital de Hacienda </w:t>
            </w:r>
            <w:r w:rsidRPr="009D74A3">
              <w:rPr>
                <w:rFonts w:ascii="Times New Roman" w:eastAsia="Aptos" w:hAnsi="Times New Roman" w:cs="Times New Roman"/>
                <w:color w:val="000000" w:themeColor="text1"/>
                <w:kern w:val="2"/>
                <w:sz w:val="16"/>
                <w:szCs w:val="16"/>
                <w:lang w:val="es-419"/>
                <w14:ligatures w14:val="standardContextual"/>
              </w:rPr>
              <w:t>con base en la información de la CCB</w:t>
            </w:r>
          </w:p>
          <w:p w14:paraId="0198EB33" w14:textId="77777777" w:rsidR="000603B3" w:rsidRPr="009D74A3" w:rsidRDefault="000603B3" w:rsidP="000603B3">
            <w:pPr>
              <w:spacing w:line="276" w:lineRule="auto"/>
              <w:ind w:left="1351" w:right="1417"/>
              <w:contextualSpacing/>
              <w:jc w:val="both"/>
              <w:rPr>
                <w:rFonts w:ascii="Times New Roman" w:eastAsia="Aptos" w:hAnsi="Times New Roman" w:cs="Times New Roman"/>
                <w:color w:val="000000" w:themeColor="text1"/>
                <w:kern w:val="2"/>
                <w:sz w:val="16"/>
                <w:szCs w:val="16"/>
                <w:lang w:val="es-419"/>
                <w14:ligatures w14:val="standardContextual"/>
              </w:rPr>
            </w:pPr>
            <w:r w:rsidRPr="009D74A3">
              <w:rPr>
                <w:rFonts w:ascii="Times New Roman" w:eastAsia="Aptos" w:hAnsi="Times New Roman" w:cs="Times New Roman"/>
                <w:b/>
                <w:bCs/>
                <w:color w:val="000000" w:themeColor="text1"/>
                <w:kern w:val="2"/>
                <w:sz w:val="16"/>
                <w:szCs w:val="16"/>
                <w:lang w:val="es-419"/>
                <w14:ligatures w14:val="standardContextual"/>
              </w:rPr>
              <w:t>Nota</w:t>
            </w:r>
            <w:r w:rsidRPr="009D74A3">
              <w:rPr>
                <w:rFonts w:ascii="Times New Roman" w:eastAsia="Aptos" w:hAnsi="Times New Roman" w:cs="Times New Roman"/>
                <w:color w:val="000000" w:themeColor="text1"/>
                <w:kern w:val="2"/>
                <w:sz w:val="16"/>
                <w:szCs w:val="16"/>
                <w:lang w:val="es-419"/>
                <w14:ligatures w14:val="standardContextual"/>
              </w:rPr>
              <w:t>: La clasificación sectorial corresponde a las actividades de la estructura tarifaria del ICA en Bogotá. El tamaño de la empresa se determina a partir de los criterios del decreto 957 de 2019</w:t>
            </w:r>
          </w:p>
          <w:p w14:paraId="1C48975D" w14:textId="77777777" w:rsidR="00A94DF0" w:rsidRPr="009D74A3" w:rsidRDefault="00A94DF0" w:rsidP="008B29A2">
            <w:pPr>
              <w:contextualSpacing/>
              <w:jc w:val="both"/>
              <w:rPr>
                <w:rFonts w:ascii="Times New Roman" w:hAnsi="Times New Roman" w:cs="Times New Roman"/>
                <w:lang w:val="es-419"/>
              </w:rPr>
            </w:pPr>
          </w:p>
          <w:p w14:paraId="27E39D6F" w14:textId="2C8A3761" w:rsidR="00A94DF0" w:rsidRPr="009D74A3" w:rsidRDefault="00A94DF0">
            <w:pPr>
              <w:pStyle w:val="Ttulo3"/>
              <w:numPr>
                <w:ilvl w:val="1"/>
                <w:numId w:val="8"/>
              </w:numPr>
              <w:spacing w:before="0" w:after="0"/>
              <w:contextualSpacing/>
              <w:outlineLvl w:val="2"/>
              <w:rPr>
                <w:rFonts w:ascii="Times New Roman" w:hAnsi="Times New Roman" w:cs="Times New Roman"/>
                <w:b/>
                <w:bCs/>
                <w:sz w:val="24"/>
                <w:szCs w:val="24"/>
              </w:rPr>
            </w:pPr>
            <w:r w:rsidRPr="009D74A3">
              <w:rPr>
                <w:rFonts w:ascii="Times New Roman" w:hAnsi="Times New Roman" w:cs="Times New Roman"/>
                <w:b/>
                <w:bCs/>
                <w:color w:val="auto"/>
                <w:sz w:val="24"/>
                <w:szCs w:val="24"/>
              </w:rPr>
              <w:t xml:space="preserve">Gravar las actividades digitales </w:t>
            </w:r>
          </w:p>
          <w:p w14:paraId="621B6C36" w14:textId="77777777" w:rsidR="00A94DF0" w:rsidRPr="009D74A3" w:rsidRDefault="00A94DF0" w:rsidP="008B29A2">
            <w:pPr>
              <w:contextualSpacing/>
              <w:jc w:val="both"/>
              <w:rPr>
                <w:rFonts w:ascii="Times New Roman" w:hAnsi="Times New Roman" w:cs="Times New Roman"/>
                <w:sz w:val="24"/>
                <w:szCs w:val="24"/>
              </w:rPr>
            </w:pPr>
          </w:p>
          <w:p w14:paraId="39356355" w14:textId="35BC2B02" w:rsidR="00716567" w:rsidRPr="009D74A3" w:rsidRDefault="00716567" w:rsidP="00716567">
            <w:pPr>
              <w:jc w:val="both"/>
              <w:rPr>
                <w:rFonts w:ascii="Times New Roman" w:hAnsi="Times New Roman" w:cs="Times New Roman"/>
                <w:sz w:val="24"/>
                <w:szCs w:val="24"/>
              </w:rPr>
            </w:pPr>
            <w:r w:rsidRPr="009D74A3">
              <w:rPr>
                <w:rFonts w:ascii="Times New Roman" w:hAnsi="Times New Roman" w:cs="Times New Roman"/>
                <w:sz w:val="24"/>
                <w:szCs w:val="24"/>
              </w:rPr>
              <w:t>Dada la creciente relevancia de las actividades digitales en la economía global, se vuelve cada vez más urgente abordar los desafíos asociados a su tributación. La naturaleza transfronteriza y dinámica de estas actividades dificulta su fiscalización efectiva, lo que genera vacíos importantes en los sistemas tributarios tradicionales. Poder encontrar soluciones viables a este problema no solo es clave para garantizar una competencia equitativa entre actores digitales y tradicionales, sino también para asegurar la sostenibilidad de las finanzas distritales en el mediano y largo plazo.</w:t>
            </w:r>
          </w:p>
          <w:p w14:paraId="0ECAA9FF" w14:textId="77777777" w:rsidR="00716567" w:rsidRPr="009D74A3" w:rsidRDefault="00716567" w:rsidP="00716567">
            <w:pPr>
              <w:jc w:val="both"/>
              <w:rPr>
                <w:rFonts w:ascii="Times New Roman" w:hAnsi="Times New Roman" w:cs="Times New Roman"/>
                <w:sz w:val="24"/>
                <w:szCs w:val="24"/>
              </w:rPr>
            </w:pPr>
          </w:p>
          <w:p w14:paraId="511338FF" w14:textId="23DBE48F" w:rsidR="00A94DF0" w:rsidRPr="009D74A3" w:rsidRDefault="00716567" w:rsidP="008B29A2">
            <w:p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Por lo anterior, aunado a la necesidad </w:t>
            </w:r>
            <w:r w:rsidR="00A94DF0" w:rsidRPr="009D74A3">
              <w:rPr>
                <w:rFonts w:ascii="Times New Roman" w:hAnsi="Times New Roman" w:cs="Times New Roman"/>
                <w:sz w:val="24"/>
                <w:szCs w:val="24"/>
              </w:rPr>
              <w:t xml:space="preserve">de facilitar a los contribuyentes del Distrito Capital el cumplimiento de sus obligaciones tributarias, el artículo 4º incorpora de forma expresa las reglas de territorialidad del artículo 343 de la Ley 1819 de 2016 y se precisa qué se entiende por actividades de servicios digitales. </w:t>
            </w:r>
          </w:p>
          <w:p w14:paraId="2F55799F" w14:textId="77777777" w:rsidR="00F928D6" w:rsidRPr="009D74A3" w:rsidRDefault="00F928D6" w:rsidP="008B29A2">
            <w:pPr>
              <w:contextualSpacing/>
              <w:jc w:val="both"/>
              <w:rPr>
                <w:rFonts w:ascii="Times New Roman" w:hAnsi="Times New Roman" w:cs="Times New Roman"/>
              </w:rPr>
            </w:pPr>
          </w:p>
          <w:p w14:paraId="697E5F42" w14:textId="40674082" w:rsidR="00A94DF0" w:rsidRPr="009D74A3" w:rsidRDefault="00A94DF0">
            <w:pPr>
              <w:pStyle w:val="Ttulo3"/>
              <w:numPr>
                <w:ilvl w:val="2"/>
                <w:numId w:val="6"/>
              </w:numPr>
              <w:spacing w:before="0" w:after="0"/>
              <w:contextualSpacing/>
              <w:outlineLvl w:val="2"/>
              <w:rPr>
                <w:rFonts w:ascii="Times New Roman" w:hAnsi="Times New Roman" w:cs="Times New Roman"/>
                <w:b/>
                <w:color w:val="auto"/>
                <w:sz w:val="24"/>
                <w:szCs w:val="24"/>
              </w:rPr>
            </w:pPr>
            <w:r w:rsidRPr="009D74A3">
              <w:rPr>
                <w:rFonts w:ascii="Times New Roman" w:hAnsi="Times New Roman" w:cs="Times New Roman"/>
                <w:b/>
                <w:bCs/>
                <w:color w:val="auto"/>
                <w:sz w:val="24"/>
                <w:szCs w:val="24"/>
              </w:rPr>
              <w:t>Modificación tarifa régimen simple de t</w:t>
            </w:r>
            <w:r w:rsidRPr="009D74A3">
              <w:rPr>
                <w:rFonts w:ascii="Times New Roman" w:hAnsi="Times New Roman" w:cs="Times New Roman"/>
                <w:b/>
                <w:color w:val="auto"/>
                <w:sz w:val="24"/>
                <w:szCs w:val="24"/>
              </w:rPr>
              <w:t>ributación</w:t>
            </w:r>
          </w:p>
          <w:p w14:paraId="301951E7" w14:textId="77777777" w:rsidR="00A94DF0" w:rsidRPr="009D74A3" w:rsidRDefault="00A94DF0" w:rsidP="008B29A2">
            <w:pPr>
              <w:contextualSpacing/>
              <w:rPr>
                <w:rFonts w:ascii="Times New Roman" w:hAnsi="Times New Roman" w:cs="Times New Roman"/>
                <w:highlight w:val="yellow"/>
              </w:rPr>
            </w:pPr>
          </w:p>
          <w:p w14:paraId="39E0BA1B" w14:textId="6FBF799E" w:rsidR="00FD535F" w:rsidRPr="009D74A3" w:rsidRDefault="00716567" w:rsidP="008B29A2">
            <w:pPr>
              <w:contextualSpacing/>
              <w:jc w:val="both"/>
              <w:rPr>
                <w:rFonts w:ascii="Times New Roman" w:hAnsi="Times New Roman" w:cs="Times New Roman"/>
                <w:sz w:val="24"/>
                <w:szCs w:val="24"/>
              </w:rPr>
            </w:pPr>
            <w:r w:rsidRPr="009D74A3">
              <w:rPr>
                <w:rFonts w:ascii="Times New Roman" w:hAnsi="Times New Roman" w:cs="Times New Roman"/>
                <w:sz w:val="24"/>
                <w:szCs w:val="24"/>
              </w:rPr>
              <w:t>De acuerdo con el</w:t>
            </w:r>
            <w:r w:rsidR="00A94DF0" w:rsidRPr="009D74A3">
              <w:rPr>
                <w:rFonts w:ascii="Times New Roman" w:hAnsi="Times New Roman" w:cs="Times New Roman"/>
                <w:sz w:val="24"/>
                <w:szCs w:val="24"/>
              </w:rPr>
              <w:t xml:space="preserve"> </w:t>
            </w:r>
            <w:r w:rsidR="007074E7" w:rsidRPr="009D74A3">
              <w:rPr>
                <w:rFonts w:ascii="Times New Roman" w:hAnsi="Times New Roman" w:cs="Times New Roman"/>
                <w:sz w:val="24"/>
                <w:szCs w:val="24"/>
              </w:rPr>
              <w:t>artículo</w:t>
            </w:r>
            <w:r w:rsidR="00A94DF0" w:rsidRPr="009D74A3">
              <w:rPr>
                <w:rFonts w:ascii="Times New Roman" w:hAnsi="Times New Roman" w:cs="Times New Roman"/>
                <w:sz w:val="24"/>
                <w:szCs w:val="24"/>
              </w:rPr>
              <w:t xml:space="preserve"> 9 del acuerdo 780 de 202</w:t>
            </w:r>
            <w:r w:rsidR="00E50C77" w:rsidRPr="009D74A3">
              <w:rPr>
                <w:rFonts w:ascii="Times New Roman" w:hAnsi="Times New Roman" w:cs="Times New Roman"/>
                <w:sz w:val="24"/>
                <w:szCs w:val="24"/>
              </w:rPr>
              <w:t>0</w:t>
            </w:r>
            <w:r w:rsidR="00A94DF0" w:rsidRPr="009D74A3">
              <w:rPr>
                <w:rFonts w:ascii="Times New Roman" w:hAnsi="Times New Roman" w:cs="Times New Roman"/>
                <w:sz w:val="24"/>
                <w:szCs w:val="24"/>
              </w:rPr>
              <w:t>,</w:t>
            </w:r>
            <w:r w:rsidRPr="009D74A3">
              <w:rPr>
                <w:rFonts w:ascii="Times New Roman" w:hAnsi="Times New Roman" w:cs="Times New Roman"/>
                <w:sz w:val="24"/>
                <w:szCs w:val="24"/>
              </w:rPr>
              <w:t xml:space="preserve"> que adoptó el </w:t>
            </w:r>
            <w:r w:rsidR="00A94DF0" w:rsidRPr="009D74A3">
              <w:rPr>
                <w:rFonts w:ascii="Times New Roman" w:hAnsi="Times New Roman" w:cs="Times New Roman"/>
                <w:sz w:val="24"/>
                <w:szCs w:val="24"/>
              </w:rPr>
              <w:t xml:space="preserve">Régimen Simple de Tributación - Simple, </w:t>
            </w:r>
            <w:r w:rsidRPr="009D74A3">
              <w:rPr>
                <w:rFonts w:ascii="Times New Roman" w:hAnsi="Times New Roman" w:cs="Times New Roman"/>
                <w:sz w:val="24"/>
                <w:szCs w:val="24"/>
              </w:rPr>
              <w:t>como</w:t>
            </w:r>
            <w:r w:rsidR="00A94DF0" w:rsidRPr="009D74A3">
              <w:rPr>
                <w:rFonts w:ascii="Times New Roman" w:hAnsi="Times New Roman" w:cs="Times New Roman"/>
                <w:sz w:val="24"/>
                <w:szCs w:val="24"/>
              </w:rPr>
              <w:t xml:space="preserve"> modelo de tributación opcional de determinación integral, de declaración anual y anticipo bimestral, que sustituye el impuesto sobre la renta, e integra el Impuesto Nacional al Consumo y el Impuesto de Industria y Comercio consolidado, a cargo de los contribuyentes que opten voluntariamente por acogerse al mismo</w:t>
            </w:r>
            <w:r w:rsidRPr="009D74A3">
              <w:rPr>
                <w:rFonts w:ascii="Times New Roman" w:hAnsi="Times New Roman" w:cs="Times New Roman"/>
                <w:sz w:val="24"/>
                <w:szCs w:val="24"/>
              </w:rPr>
              <w:t>, se propone una modificación en las tarifas con el fin de obtener un recaudo más equitativo.</w:t>
            </w:r>
          </w:p>
          <w:p w14:paraId="2A264BCD" w14:textId="31DDBAAB" w:rsidR="00D91376" w:rsidRPr="009D74A3" w:rsidRDefault="00A94DF0" w:rsidP="00473F76">
            <w:pPr>
              <w:contextualSpacing/>
              <w:jc w:val="center"/>
              <w:rPr>
                <w:rFonts w:ascii="Times New Roman" w:hAnsi="Times New Roman" w:cs="Times New Roman"/>
                <w:b/>
              </w:rPr>
            </w:pPr>
            <w:r w:rsidRPr="009D74A3">
              <w:rPr>
                <w:rFonts w:ascii="Times New Roman" w:hAnsi="Times New Roman" w:cs="Times New Roman"/>
                <w:b/>
              </w:rPr>
              <w:t xml:space="preserve">Tabla </w:t>
            </w:r>
            <w:r w:rsidR="000E73A5">
              <w:rPr>
                <w:rFonts w:ascii="Times New Roman" w:hAnsi="Times New Roman" w:cs="Times New Roman"/>
                <w:b/>
              </w:rPr>
              <w:t>21</w:t>
            </w:r>
          </w:p>
          <w:p w14:paraId="144B9131" w14:textId="07FC1DD6" w:rsidR="00473F76" w:rsidRPr="00C85C4D" w:rsidRDefault="00473F76" w:rsidP="00C85C4D">
            <w:pPr>
              <w:pStyle w:val="Descripcin"/>
              <w:keepNext/>
              <w:spacing w:after="0"/>
              <w:contextualSpacing/>
              <w:jc w:val="center"/>
              <w:rPr>
                <w:rFonts w:ascii="Times New Roman" w:hAnsi="Times New Roman" w:cs="Times New Roman"/>
                <w:b/>
                <w:i w:val="0"/>
                <w:color w:val="auto"/>
                <w:sz w:val="22"/>
                <w:szCs w:val="22"/>
              </w:rPr>
            </w:pPr>
            <w:r w:rsidRPr="009D74A3">
              <w:rPr>
                <w:rFonts w:ascii="Times New Roman" w:hAnsi="Times New Roman" w:cs="Times New Roman"/>
                <w:b/>
                <w:i w:val="0"/>
                <w:iCs w:val="0"/>
                <w:color w:val="auto"/>
                <w:sz w:val="22"/>
                <w:szCs w:val="22"/>
              </w:rPr>
              <w:t>T</w:t>
            </w:r>
            <w:r w:rsidR="00A94DF0" w:rsidRPr="009D74A3">
              <w:rPr>
                <w:rFonts w:ascii="Times New Roman" w:hAnsi="Times New Roman" w:cs="Times New Roman"/>
                <w:b/>
                <w:i w:val="0"/>
                <w:iCs w:val="0"/>
                <w:color w:val="auto"/>
                <w:sz w:val="22"/>
                <w:szCs w:val="22"/>
              </w:rPr>
              <w:t>arifas</w:t>
            </w:r>
            <w:r w:rsidR="00A94DF0" w:rsidRPr="009D74A3">
              <w:rPr>
                <w:rFonts w:ascii="Times New Roman" w:hAnsi="Times New Roman" w:cs="Times New Roman"/>
                <w:b/>
                <w:i w:val="0"/>
                <w:color w:val="auto"/>
                <w:sz w:val="22"/>
                <w:szCs w:val="22"/>
              </w:rPr>
              <w:t xml:space="preserve"> asociadas a las personas jurídicas o naturales que cumplen las obligaciones tributarias con el </w:t>
            </w:r>
            <w:r w:rsidR="00485F6D" w:rsidRPr="009D74A3">
              <w:rPr>
                <w:rFonts w:ascii="Times New Roman" w:hAnsi="Times New Roman" w:cs="Times New Roman"/>
                <w:b/>
                <w:i w:val="0"/>
                <w:color w:val="auto"/>
                <w:sz w:val="22"/>
                <w:szCs w:val="22"/>
              </w:rPr>
              <w:t>R</w:t>
            </w:r>
            <w:r w:rsidR="00A94DF0" w:rsidRPr="009D74A3">
              <w:rPr>
                <w:rFonts w:ascii="Times New Roman" w:hAnsi="Times New Roman" w:cs="Times New Roman"/>
                <w:b/>
                <w:i w:val="0"/>
                <w:color w:val="auto"/>
                <w:sz w:val="22"/>
                <w:szCs w:val="22"/>
              </w:rPr>
              <w:t xml:space="preserve">égimen </w:t>
            </w:r>
            <w:r w:rsidR="00485F6D" w:rsidRPr="009D74A3">
              <w:rPr>
                <w:rFonts w:ascii="Times New Roman" w:hAnsi="Times New Roman" w:cs="Times New Roman"/>
                <w:b/>
                <w:i w:val="0"/>
                <w:color w:val="auto"/>
                <w:sz w:val="22"/>
                <w:szCs w:val="22"/>
              </w:rPr>
              <w:t>S</w:t>
            </w:r>
            <w:r w:rsidR="00A94DF0" w:rsidRPr="009D74A3">
              <w:rPr>
                <w:rFonts w:ascii="Times New Roman" w:hAnsi="Times New Roman" w:cs="Times New Roman"/>
                <w:b/>
                <w:i w:val="0"/>
                <w:color w:val="auto"/>
                <w:sz w:val="22"/>
                <w:szCs w:val="22"/>
              </w:rPr>
              <w:t xml:space="preserve">imple de </w:t>
            </w:r>
            <w:r w:rsidR="00485F6D" w:rsidRPr="009D74A3">
              <w:rPr>
                <w:rFonts w:ascii="Times New Roman" w:hAnsi="Times New Roman" w:cs="Times New Roman"/>
                <w:b/>
                <w:i w:val="0"/>
                <w:color w:val="auto"/>
                <w:sz w:val="22"/>
                <w:szCs w:val="22"/>
              </w:rPr>
              <w:t>T</w:t>
            </w:r>
            <w:r w:rsidR="00A94DF0" w:rsidRPr="009D74A3">
              <w:rPr>
                <w:rFonts w:ascii="Times New Roman" w:hAnsi="Times New Roman" w:cs="Times New Roman"/>
                <w:b/>
                <w:i w:val="0"/>
                <w:color w:val="auto"/>
                <w:sz w:val="22"/>
                <w:szCs w:val="22"/>
              </w:rPr>
              <w:t>ributación</w:t>
            </w:r>
            <w:r w:rsidR="00485F6D" w:rsidRPr="009D74A3">
              <w:rPr>
                <w:rFonts w:ascii="Times New Roman" w:hAnsi="Times New Roman" w:cs="Times New Roman"/>
                <w:b/>
                <w:i w:val="0"/>
                <w:color w:val="auto"/>
                <w:sz w:val="22"/>
                <w:szCs w:val="22"/>
              </w:rPr>
              <w:t xml:space="preserve"> - SIMPLE</w:t>
            </w:r>
            <w:r w:rsidR="00A94DF0" w:rsidRPr="009D74A3">
              <w:rPr>
                <w:rFonts w:ascii="Times New Roman" w:hAnsi="Times New Roman" w:cs="Times New Roman"/>
                <w:b/>
                <w:i w:val="0"/>
                <w:color w:val="auto"/>
                <w:sz w:val="22"/>
                <w:szCs w:val="22"/>
              </w:rPr>
              <w:t>.</w:t>
            </w:r>
          </w:p>
          <w:tbl>
            <w:tblPr>
              <w:tblW w:w="4020" w:type="dxa"/>
              <w:jc w:val="center"/>
              <w:tblLayout w:type="fixed"/>
              <w:tblCellMar>
                <w:left w:w="70" w:type="dxa"/>
                <w:right w:w="70" w:type="dxa"/>
              </w:tblCellMar>
              <w:tblLook w:val="04A0" w:firstRow="1" w:lastRow="0" w:firstColumn="1" w:lastColumn="0" w:noHBand="0" w:noVBand="1"/>
            </w:tblPr>
            <w:tblGrid>
              <w:gridCol w:w="1125"/>
              <w:gridCol w:w="1247"/>
              <w:gridCol w:w="1488"/>
              <w:gridCol w:w="160"/>
            </w:tblGrid>
            <w:tr w:rsidR="00A94DF0" w:rsidRPr="009D74A3" w14:paraId="52790004" w14:textId="77777777" w:rsidTr="00740130">
              <w:trPr>
                <w:gridAfter w:val="1"/>
                <w:wAfter w:w="146" w:type="dxa"/>
                <w:trHeight w:val="450"/>
                <w:tblHeader/>
                <w:jc w:val="center"/>
              </w:trPr>
              <w:tc>
                <w:tcPr>
                  <w:tcW w:w="1128" w:type="dxa"/>
                  <w:vMerge w:val="restart"/>
                  <w:tcBorders>
                    <w:top w:val="single" w:sz="4" w:space="0" w:color="auto"/>
                    <w:left w:val="single" w:sz="4" w:space="0" w:color="auto"/>
                    <w:bottom w:val="single" w:sz="4" w:space="0" w:color="auto"/>
                    <w:right w:val="single" w:sz="4" w:space="0" w:color="auto"/>
                  </w:tcBorders>
                  <w:shd w:val="clear" w:color="auto" w:fill="002060"/>
                  <w:vAlign w:val="center"/>
                  <w:hideMark/>
                </w:tcPr>
                <w:p w14:paraId="0FE62076" w14:textId="77777777" w:rsidR="00A94DF0" w:rsidRPr="009D74A3" w:rsidRDefault="00A94DF0" w:rsidP="008B29A2">
                  <w:pPr>
                    <w:spacing w:after="0" w:line="240" w:lineRule="auto"/>
                    <w:contextualSpacing/>
                    <w:jc w:val="center"/>
                    <w:rPr>
                      <w:rFonts w:ascii="Times New Roman" w:eastAsia="Times New Roman" w:hAnsi="Times New Roman" w:cs="Times New Roman"/>
                      <w:b/>
                      <w:color w:val="FFFFFF" w:themeColor="background1"/>
                      <w:sz w:val="20"/>
                      <w:szCs w:val="20"/>
                      <w:lang w:eastAsia="es-CO"/>
                    </w:rPr>
                  </w:pPr>
                  <w:r w:rsidRPr="009D74A3">
                    <w:rPr>
                      <w:rFonts w:ascii="Times New Roman" w:eastAsia="Times New Roman" w:hAnsi="Times New Roman" w:cs="Times New Roman"/>
                      <w:b/>
                      <w:color w:val="FFFFFF" w:themeColor="background1"/>
                      <w:sz w:val="20"/>
                      <w:szCs w:val="20"/>
                      <w:lang w:val="es-ES" w:eastAsia="es-CO"/>
                    </w:rPr>
                    <w:t>Actividad</w:t>
                  </w:r>
                </w:p>
              </w:tc>
              <w:tc>
                <w:tcPr>
                  <w:tcW w:w="1252" w:type="dxa"/>
                  <w:vMerge w:val="restart"/>
                  <w:tcBorders>
                    <w:top w:val="single" w:sz="4" w:space="0" w:color="auto"/>
                    <w:left w:val="single" w:sz="4" w:space="0" w:color="auto"/>
                    <w:bottom w:val="single" w:sz="4" w:space="0" w:color="auto"/>
                    <w:right w:val="single" w:sz="4" w:space="0" w:color="auto"/>
                  </w:tcBorders>
                  <w:shd w:val="clear" w:color="auto" w:fill="002060"/>
                  <w:vAlign w:val="center"/>
                  <w:hideMark/>
                </w:tcPr>
                <w:p w14:paraId="0A78092A" w14:textId="77777777" w:rsidR="00A94DF0" w:rsidRPr="009D74A3" w:rsidRDefault="00A94DF0" w:rsidP="008B29A2">
                  <w:pPr>
                    <w:spacing w:after="0" w:line="240" w:lineRule="auto"/>
                    <w:contextualSpacing/>
                    <w:jc w:val="center"/>
                    <w:rPr>
                      <w:rFonts w:ascii="Times New Roman" w:eastAsia="Times New Roman" w:hAnsi="Times New Roman" w:cs="Times New Roman"/>
                      <w:b/>
                      <w:color w:val="FFFFFF" w:themeColor="background1"/>
                      <w:sz w:val="20"/>
                      <w:szCs w:val="20"/>
                      <w:lang w:eastAsia="es-CO"/>
                    </w:rPr>
                  </w:pPr>
                  <w:r w:rsidRPr="009D74A3">
                    <w:rPr>
                      <w:rFonts w:ascii="Times New Roman" w:eastAsia="Times New Roman" w:hAnsi="Times New Roman" w:cs="Times New Roman"/>
                      <w:b/>
                      <w:color w:val="FFFFFF" w:themeColor="background1"/>
                      <w:sz w:val="20"/>
                      <w:szCs w:val="20"/>
                      <w:lang w:val="es-ES" w:eastAsia="es-CO"/>
                    </w:rPr>
                    <w:t>Agrupación</w:t>
                  </w:r>
                </w:p>
              </w:tc>
              <w:tc>
                <w:tcPr>
                  <w:tcW w:w="1494" w:type="dxa"/>
                  <w:vMerge w:val="restart"/>
                  <w:tcBorders>
                    <w:top w:val="single" w:sz="4" w:space="0" w:color="auto"/>
                    <w:left w:val="single" w:sz="4" w:space="0" w:color="auto"/>
                    <w:bottom w:val="single" w:sz="4" w:space="0" w:color="auto"/>
                    <w:right w:val="single" w:sz="4" w:space="0" w:color="auto"/>
                  </w:tcBorders>
                  <w:shd w:val="clear" w:color="auto" w:fill="002060"/>
                  <w:vAlign w:val="center"/>
                  <w:hideMark/>
                </w:tcPr>
                <w:p w14:paraId="3A044FDF" w14:textId="77777777" w:rsidR="00A94DF0" w:rsidRPr="009D74A3" w:rsidRDefault="00A94DF0" w:rsidP="008B29A2">
                  <w:pPr>
                    <w:spacing w:after="0" w:line="240" w:lineRule="auto"/>
                    <w:contextualSpacing/>
                    <w:jc w:val="center"/>
                    <w:rPr>
                      <w:rFonts w:ascii="Times New Roman" w:eastAsia="Times New Roman" w:hAnsi="Times New Roman" w:cs="Times New Roman"/>
                      <w:b/>
                      <w:color w:val="FFFFFF" w:themeColor="background1"/>
                      <w:sz w:val="20"/>
                      <w:szCs w:val="20"/>
                      <w:lang w:eastAsia="es-CO"/>
                    </w:rPr>
                  </w:pPr>
                  <w:r w:rsidRPr="009D74A3">
                    <w:rPr>
                      <w:rFonts w:ascii="Times New Roman" w:eastAsia="Times New Roman" w:hAnsi="Times New Roman" w:cs="Times New Roman"/>
                      <w:b/>
                      <w:color w:val="FFFFFF" w:themeColor="background1"/>
                      <w:sz w:val="20"/>
                      <w:szCs w:val="20"/>
                      <w:lang w:val="es-ES" w:eastAsia="es-CO"/>
                    </w:rPr>
                    <w:t>Tarifa Consolidada</w:t>
                  </w:r>
                </w:p>
              </w:tc>
            </w:tr>
            <w:tr w:rsidR="00A94DF0" w:rsidRPr="009D74A3" w14:paraId="3113FEA1" w14:textId="77777777" w:rsidTr="00740130">
              <w:trPr>
                <w:trHeight w:val="300"/>
                <w:jc w:val="center"/>
              </w:trPr>
              <w:tc>
                <w:tcPr>
                  <w:tcW w:w="1128" w:type="dxa"/>
                  <w:vMerge/>
                  <w:tcBorders>
                    <w:top w:val="single" w:sz="4" w:space="0" w:color="auto"/>
                    <w:left w:val="single" w:sz="4" w:space="0" w:color="auto"/>
                    <w:bottom w:val="single" w:sz="4" w:space="0" w:color="auto"/>
                    <w:right w:val="single" w:sz="4" w:space="0" w:color="auto"/>
                  </w:tcBorders>
                  <w:vAlign w:val="center"/>
                  <w:hideMark/>
                </w:tcPr>
                <w:p w14:paraId="070289C6" w14:textId="77777777" w:rsidR="00A94DF0" w:rsidRPr="009D74A3" w:rsidRDefault="00A94DF0" w:rsidP="008B29A2">
                  <w:pPr>
                    <w:spacing w:after="0" w:line="240" w:lineRule="auto"/>
                    <w:contextualSpacing/>
                    <w:rPr>
                      <w:rFonts w:ascii="Times New Roman" w:eastAsia="Times New Roman" w:hAnsi="Times New Roman" w:cs="Times New Roman"/>
                      <w:b/>
                      <w:bCs/>
                      <w:color w:val="333333"/>
                      <w:sz w:val="20"/>
                      <w:szCs w:val="20"/>
                      <w:lang w:eastAsia="es-CO"/>
                    </w:rPr>
                  </w:pPr>
                </w:p>
              </w:tc>
              <w:tc>
                <w:tcPr>
                  <w:tcW w:w="1252" w:type="dxa"/>
                  <w:vMerge/>
                  <w:tcBorders>
                    <w:top w:val="single" w:sz="4" w:space="0" w:color="auto"/>
                    <w:left w:val="single" w:sz="4" w:space="0" w:color="auto"/>
                    <w:bottom w:val="single" w:sz="4" w:space="0" w:color="auto"/>
                    <w:right w:val="single" w:sz="4" w:space="0" w:color="auto"/>
                  </w:tcBorders>
                  <w:vAlign w:val="center"/>
                  <w:hideMark/>
                </w:tcPr>
                <w:p w14:paraId="076C2F20" w14:textId="77777777" w:rsidR="00A94DF0" w:rsidRPr="009D74A3" w:rsidRDefault="00A94DF0" w:rsidP="008B29A2">
                  <w:pPr>
                    <w:spacing w:after="0" w:line="240" w:lineRule="auto"/>
                    <w:contextualSpacing/>
                    <w:rPr>
                      <w:rFonts w:ascii="Times New Roman" w:eastAsia="Times New Roman" w:hAnsi="Times New Roman" w:cs="Times New Roman"/>
                      <w:b/>
                      <w:bCs/>
                      <w:color w:val="333333"/>
                      <w:sz w:val="20"/>
                      <w:szCs w:val="20"/>
                      <w:lang w:eastAsia="es-CO"/>
                    </w:rPr>
                  </w:pPr>
                </w:p>
              </w:tc>
              <w:tc>
                <w:tcPr>
                  <w:tcW w:w="1494" w:type="dxa"/>
                  <w:vMerge/>
                  <w:tcBorders>
                    <w:top w:val="single" w:sz="4" w:space="0" w:color="auto"/>
                    <w:left w:val="single" w:sz="4" w:space="0" w:color="auto"/>
                    <w:bottom w:val="single" w:sz="4" w:space="0" w:color="auto"/>
                    <w:right w:val="single" w:sz="4" w:space="0" w:color="auto"/>
                  </w:tcBorders>
                  <w:vAlign w:val="center"/>
                  <w:hideMark/>
                </w:tcPr>
                <w:p w14:paraId="5C5888F5" w14:textId="77777777" w:rsidR="00A94DF0" w:rsidRPr="009D74A3" w:rsidRDefault="00A94DF0" w:rsidP="008B29A2">
                  <w:pPr>
                    <w:spacing w:after="0" w:line="240" w:lineRule="auto"/>
                    <w:contextualSpacing/>
                    <w:rPr>
                      <w:rFonts w:ascii="Times New Roman" w:eastAsia="Times New Roman" w:hAnsi="Times New Roman" w:cs="Times New Roman"/>
                      <w:b/>
                      <w:bCs/>
                      <w:color w:val="333333"/>
                      <w:sz w:val="20"/>
                      <w:szCs w:val="20"/>
                      <w:lang w:eastAsia="es-CO"/>
                    </w:rPr>
                  </w:pPr>
                </w:p>
              </w:tc>
              <w:tc>
                <w:tcPr>
                  <w:tcW w:w="146" w:type="dxa"/>
                  <w:tcBorders>
                    <w:top w:val="nil"/>
                    <w:left w:val="single" w:sz="4" w:space="0" w:color="auto"/>
                    <w:bottom w:val="nil"/>
                    <w:right w:val="nil"/>
                  </w:tcBorders>
                  <w:noWrap/>
                  <w:vAlign w:val="bottom"/>
                  <w:hideMark/>
                </w:tcPr>
                <w:p w14:paraId="4B8B10E5" w14:textId="77777777" w:rsidR="00A94DF0" w:rsidRPr="009D74A3" w:rsidRDefault="00A94DF0" w:rsidP="008B29A2">
                  <w:pPr>
                    <w:spacing w:after="0" w:line="240" w:lineRule="auto"/>
                    <w:contextualSpacing/>
                    <w:jc w:val="center"/>
                    <w:rPr>
                      <w:rFonts w:ascii="Times New Roman" w:eastAsia="Times New Roman" w:hAnsi="Times New Roman" w:cs="Times New Roman"/>
                      <w:b/>
                      <w:bCs/>
                      <w:color w:val="333333"/>
                      <w:sz w:val="20"/>
                      <w:szCs w:val="20"/>
                      <w:lang w:eastAsia="es-CO"/>
                    </w:rPr>
                  </w:pPr>
                </w:p>
              </w:tc>
            </w:tr>
            <w:tr w:rsidR="00A94DF0" w:rsidRPr="009D74A3" w14:paraId="33D1C6EC" w14:textId="77777777" w:rsidTr="00740130">
              <w:trPr>
                <w:trHeight w:val="300"/>
                <w:jc w:val="center"/>
              </w:trPr>
              <w:tc>
                <w:tcPr>
                  <w:tcW w:w="112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71C2D5E"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Industrial</w:t>
                  </w:r>
                </w:p>
              </w:tc>
              <w:tc>
                <w:tcPr>
                  <w:tcW w:w="12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F0568E8"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101</w:t>
                  </w:r>
                </w:p>
              </w:tc>
              <w:tc>
                <w:tcPr>
                  <w:tcW w:w="149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D966C7D"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 5 por mil</w:t>
                  </w:r>
                </w:p>
              </w:tc>
              <w:tc>
                <w:tcPr>
                  <w:tcW w:w="146" w:type="dxa"/>
                  <w:tcBorders>
                    <w:left w:val="single" w:sz="4" w:space="0" w:color="auto"/>
                  </w:tcBorders>
                  <w:vAlign w:val="center"/>
                  <w:hideMark/>
                </w:tcPr>
                <w:p w14:paraId="1ECCD9F1" w14:textId="77777777" w:rsidR="00A94DF0" w:rsidRPr="009D74A3" w:rsidRDefault="00A94DF0" w:rsidP="008B29A2">
                  <w:pPr>
                    <w:spacing w:after="0" w:line="240" w:lineRule="auto"/>
                    <w:contextualSpacing/>
                    <w:rPr>
                      <w:rFonts w:ascii="Times New Roman" w:eastAsia="Times New Roman" w:hAnsi="Times New Roman" w:cs="Times New Roman"/>
                      <w:sz w:val="20"/>
                      <w:szCs w:val="20"/>
                      <w:lang w:eastAsia="es-CO"/>
                    </w:rPr>
                  </w:pPr>
                </w:p>
              </w:tc>
            </w:tr>
            <w:tr w:rsidR="00A94DF0" w:rsidRPr="009D74A3" w14:paraId="137E8991" w14:textId="77777777" w:rsidTr="00740130">
              <w:trPr>
                <w:trHeight w:val="300"/>
                <w:jc w:val="center"/>
              </w:trPr>
              <w:tc>
                <w:tcPr>
                  <w:tcW w:w="1128" w:type="dxa"/>
                  <w:vMerge/>
                  <w:tcBorders>
                    <w:top w:val="single" w:sz="4" w:space="0" w:color="auto"/>
                    <w:left w:val="single" w:sz="4" w:space="0" w:color="auto"/>
                    <w:bottom w:val="single" w:sz="4" w:space="0" w:color="auto"/>
                    <w:right w:val="single" w:sz="4" w:space="0" w:color="auto"/>
                  </w:tcBorders>
                  <w:vAlign w:val="center"/>
                  <w:hideMark/>
                </w:tcPr>
                <w:p w14:paraId="11C91372" w14:textId="77777777" w:rsidR="00A94DF0" w:rsidRPr="009D74A3" w:rsidRDefault="00A94DF0" w:rsidP="008B29A2">
                  <w:pPr>
                    <w:spacing w:after="0" w:line="240" w:lineRule="auto"/>
                    <w:contextualSpacing/>
                    <w:rPr>
                      <w:rFonts w:ascii="Times New Roman" w:eastAsia="Times New Roman" w:hAnsi="Times New Roman" w:cs="Times New Roman"/>
                      <w:color w:val="333333"/>
                      <w:sz w:val="20"/>
                      <w:szCs w:val="20"/>
                      <w:lang w:eastAsia="es-CO"/>
                    </w:rPr>
                  </w:pPr>
                </w:p>
              </w:tc>
              <w:tc>
                <w:tcPr>
                  <w:tcW w:w="12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9FBA95E"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102</w:t>
                  </w:r>
                </w:p>
              </w:tc>
              <w:tc>
                <w:tcPr>
                  <w:tcW w:w="149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9D7AC0"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8 por mil</w:t>
                  </w:r>
                </w:p>
              </w:tc>
              <w:tc>
                <w:tcPr>
                  <w:tcW w:w="146" w:type="dxa"/>
                  <w:tcBorders>
                    <w:left w:val="single" w:sz="4" w:space="0" w:color="auto"/>
                  </w:tcBorders>
                  <w:vAlign w:val="center"/>
                  <w:hideMark/>
                </w:tcPr>
                <w:p w14:paraId="127AFE68" w14:textId="77777777" w:rsidR="00A94DF0" w:rsidRPr="009D74A3" w:rsidRDefault="00A94DF0" w:rsidP="008B29A2">
                  <w:pPr>
                    <w:spacing w:after="0" w:line="240" w:lineRule="auto"/>
                    <w:contextualSpacing/>
                    <w:rPr>
                      <w:rFonts w:ascii="Times New Roman" w:eastAsia="Times New Roman" w:hAnsi="Times New Roman" w:cs="Times New Roman"/>
                      <w:sz w:val="20"/>
                      <w:szCs w:val="20"/>
                      <w:lang w:eastAsia="es-CO"/>
                    </w:rPr>
                  </w:pPr>
                </w:p>
              </w:tc>
            </w:tr>
            <w:tr w:rsidR="00A94DF0" w:rsidRPr="009D74A3" w14:paraId="6B81B11C" w14:textId="77777777" w:rsidTr="00740130">
              <w:trPr>
                <w:trHeight w:val="300"/>
                <w:jc w:val="center"/>
              </w:trPr>
              <w:tc>
                <w:tcPr>
                  <w:tcW w:w="1128" w:type="dxa"/>
                  <w:vMerge/>
                  <w:tcBorders>
                    <w:top w:val="single" w:sz="4" w:space="0" w:color="auto"/>
                    <w:left w:val="single" w:sz="4" w:space="0" w:color="auto"/>
                    <w:bottom w:val="single" w:sz="4" w:space="0" w:color="auto"/>
                    <w:right w:val="single" w:sz="4" w:space="0" w:color="auto"/>
                  </w:tcBorders>
                  <w:vAlign w:val="center"/>
                  <w:hideMark/>
                </w:tcPr>
                <w:p w14:paraId="78703279" w14:textId="77777777" w:rsidR="00A94DF0" w:rsidRPr="009D74A3" w:rsidRDefault="00A94DF0" w:rsidP="008B29A2">
                  <w:pPr>
                    <w:spacing w:after="0" w:line="240" w:lineRule="auto"/>
                    <w:contextualSpacing/>
                    <w:rPr>
                      <w:rFonts w:ascii="Times New Roman" w:eastAsia="Times New Roman" w:hAnsi="Times New Roman" w:cs="Times New Roman"/>
                      <w:color w:val="333333"/>
                      <w:sz w:val="20"/>
                      <w:szCs w:val="20"/>
                      <w:lang w:eastAsia="es-CO"/>
                    </w:rPr>
                  </w:pPr>
                </w:p>
              </w:tc>
              <w:tc>
                <w:tcPr>
                  <w:tcW w:w="12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34D5202"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103</w:t>
                  </w:r>
                </w:p>
              </w:tc>
              <w:tc>
                <w:tcPr>
                  <w:tcW w:w="149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84FC88E"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12 por mil</w:t>
                  </w:r>
                </w:p>
              </w:tc>
              <w:tc>
                <w:tcPr>
                  <w:tcW w:w="146" w:type="dxa"/>
                  <w:tcBorders>
                    <w:left w:val="single" w:sz="4" w:space="0" w:color="auto"/>
                  </w:tcBorders>
                  <w:vAlign w:val="center"/>
                  <w:hideMark/>
                </w:tcPr>
                <w:p w14:paraId="37CDC169" w14:textId="77777777" w:rsidR="00A94DF0" w:rsidRPr="009D74A3" w:rsidRDefault="00A94DF0" w:rsidP="008B29A2">
                  <w:pPr>
                    <w:spacing w:after="0" w:line="240" w:lineRule="auto"/>
                    <w:contextualSpacing/>
                    <w:rPr>
                      <w:rFonts w:ascii="Times New Roman" w:eastAsia="Times New Roman" w:hAnsi="Times New Roman" w:cs="Times New Roman"/>
                      <w:sz w:val="20"/>
                      <w:szCs w:val="20"/>
                      <w:lang w:eastAsia="es-CO"/>
                    </w:rPr>
                  </w:pPr>
                </w:p>
              </w:tc>
            </w:tr>
            <w:tr w:rsidR="00A94DF0" w:rsidRPr="009D74A3" w14:paraId="38777FD8" w14:textId="77777777" w:rsidTr="00740130">
              <w:trPr>
                <w:trHeight w:val="300"/>
                <w:jc w:val="center"/>
              </w:trPr>
              <w:tc>
                <w:tcPr>
                  <w:tcW w:w="1128" w:type="dxa"/>
                  <w:vMerge/>
                  <w:tcBorders>
                    <w:top w:val="single" w:sz="4" w:space="0" w:color="auto"/>
                    <w:left w:val="single" w:sz="4" w:space="0" w:color="auto"/>
                    <w:bottom w:val="single" w:sz="4" w:space="0" w:color="auto"/>
                    <w:right w:val="single" w:sz="4" w:space="0" w:color="auto"/>
                  </w:tcBorders>
                  <w:vAlign w:val="center"/>
                  <w:hideMark/>
                </w:tcPr>
                <w:p w14:paraId="69746273" w14:textId="77777777" w:rsidR="00A94DF0" w:rsidRPr="009D74A3" w:rsidRDefault="00A94DF0" w:rsidP="008B29A2">
                  <w:pPr>
                    <w:spacing w:after="0" w:line="240" w:lineRule="auto"/>
                    <w:contextualSpacing/>
                    <w:rPr>
                      <w:rFonts w:ascii="Times New Roman" w:eastAsia="Times New Roman" w:hAnsi="Times New Roman" w:cs="Times New Roman"/>
                      <w:color w:val="333333"/>
                      <w:sz w:val="20"/>
                      <w:szCs w:val="20"/>
                      <w:lang w:eastAsia="es-CO"/>
                    </w:rPr>
                  </w:pPr>
                </w:p>
              </w:tc>
              <w:tc>
                <w:tcPr>
                  <w:tcW w:w="12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0F1C98B"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104</w:t>
                  </w:r>
                </w:p>
              </w:tc>
              <w:tc>
                <w:tcPr>
                  <w:tcW w:w="149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6CDA553"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8 por mil</w:t>
                  </w:r>
                </w:p>
              </w:tc>
              <w:tc>
                <w:tcPr>
                  <w:tcW w:w="146" w:type="dxa"/>
                  <w:tcBorders>
                    <w:left w:val="single" w:sz="4" w:space="0" w:color="auto"/>
                  </w:tcBorders>
                  <w:vAlign w:val="center"/>
                  <w:hideMark/>
                </w:tcPr>
                <w:p w14:paraId="5A4C3419" w14:textId="77777777" w:rsidR="00A94DF0" w:rsidRPr="009D74A3" w:rsidRDefault="00A94DF0" w:rsidP="008B29A2">
                  <w:pPr>
                    <w:spacing w:after="0" w:line="240" w:lineRule="auto"/>
                    <w:contextualSpacing/>
                    <w:rPr>
                      <w:rFonts w:ascii="Times New Roman" w:eastAsia="Times New Roman" w:hAnsi="Times New Roman" w:cs="Times New Roman"/>
                      <w:sz w:val="20"/>
                      <w:szCs w:val="20"/>
                      <w:lang w:eastAsia="es-CO"/>
                    </w:rPr>
                  </w:pPr>
                </w:p>
              </w:tc>
            </w:tr>
            <w:tr w:rsidR="00A94DF0" w:rsidRPr="009D74A3" w14:paraId="3FB6FCB6" w14:textId="77777777" w:rsidTr="00740130">
              <w:trPr>
                <w:trHeight w:val="300"/>
                <w:jc w:val="center"/>
              </w:trPr>
              <w:tc>
                <w:tcPr>
                  <w:tcW w:w="112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B70565C"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Comercial</w:t>
                  </w:r>
                </w:p>
              </w:tc>
              <w:tc>
                <w:tcPr>
                  <w:tcW w:w="12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FADFFE7"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201</w:t>
                  </w:r>
                </w:p>
              </w:tc>
              <w:tc>
                <w:tcPr>
                  <w:tcW w:w="149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13F441E"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6 por mil</w:t>
                  </w:r>
                </w:p>
              </w:tc>
              <w:tc>
                <w:tcPr>
                  <w:tcW w:w="146" w:type="dxa"/>
                  <w:tcBorders>
                    <w:left w:val="single" w:sz="4" w:space="0" w:color="auto"/>
                  </w:tcBorders>
                  <w:vAlign w:val="center"/>
                  <w:hideMark/>
                </w:tcPr>
                <w:p w14:paraId="03250ED7" w14:textId="77777777" w:rsidR="00A94DF0" w:rsidRPr="009D74A3" w:rsidRDefault="00A94DF0" w:rsidP="008B29A2">
                  <w:pPr>
                    <w:spacing w:after="0" w:line="240" w:lineRule="auto"/>
                    <w:contextualSpacing/>
                    <w:rPr>
                      <w:rFonts w:ascii="Times New Roman" w:eastAsia="Times New Roman" w:hAnsi="Times New Roman" w:cs="Times New Roman"/>
                      <w:sz w:val="20"/>
                      <w:szCs w:val="20"/>
                      <w:lang w:eastAsia="es-CO"/>
                    </w:rPr>
                  </w:pPr>
                </w:p>
              </w:tc>
            </w:tr>
            <w:tr w:rsidR="00A94DF0" w:rsidRPr="009D74A3" w14:paraId="39C50947" w14:textId="77777777" w:rsidTr="00740130">
              <w:trPr>
                <w:trHeight w:val="300"/>
                <w:jc w:val="center"/>
              </w:trPr>
              <w:tc>
                <w:tcPr>
                  <w:tcW w:w="1128" w:type="dxa"/>
                  <w:vMerge/>
                  <w:tcBorders>
                    <w:top w:val="single" w:sz="4" w:space="0" w:color="auto"/>
                    <w:left w:val="single" w:sz="4" w:space="0" w:color="auto"/>
                    <w:bottom w:val="single" w:sz="4" w:space="0" w:color="auto"/>
                    <w:right w:val="single" w:sz="4" w:space="0" w:color="auto"/>
                  </w:tcBorders>
                  <w:vAlign w:val="center"/>
                  <w:hideMark/>
                </w:tcPr>
                <w:p w14:paraId="6A09AB35" w14:textId="77777777" w:rsidR="00A94DF0" w:rsidRPr="009D74A3" w:rsidRDefault="00A94DF0" w:rsidP="008B29A2">
                  <w:pPr>
                    <w:spacing w:after="0" w:line="240" w:lineRule="auto"/>
                    <w:contextualSpacing/>
                    <w:rPr>
                      <w:rFonts w:ascii="Times New Roman" w:eastAsia="Times New Roman" w:hAnsi="Times New Roman" w:cs="Times New Roman"/>
                      <w:color w:val="333333"/>
                      <w:sz w:val="20"/>
                      <w:szCs w:val="20"/>
                      <w:lang w:eastAsia="es-CO"/>
                    </w:rPr>
                  </w:pPr>
                </w:p>
              </w:tc>
              <w:tc>
                <w:tcPr>
                  <w:tcW w:w="12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FF9FFFA"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202</w:t>
                  </w:r>
                </w:p>
              </w:tc>
              <w:tc>
                <w:tcPr>
                  <w:tcW w:w="149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4DDC6A2"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9 por mil</w:t>
                  </w:r>
                </w:p>
              </w:tc>
              <w:tc>
                <w:tcPr>
                  <w:tcW w:w="146" w:type="dxa"/>
                  <w:tcBorders>
                    <w:left w:val="single" w:sz="4" w:space="0" w:color="auto"/>
                  </w:tcBorders>
                  <w:vAlign w:val="center"/>
                  <w:hideMark/>
                </w:tcPr>
                <w:p w14:paraId="4B19D9CA" w14:textId="77777777" w:rsidR="00A94DF0" w:rsidRPr="009D74A3" w:rsidRDefault="00A94DF0" w:rsidP="008B29A2">
                  <w:pPr>
                    <w:spacing w:after="0" w:line="240" w:lineRule="auto"/>
                    <w:contextualSpacing/>
                    <w:rPr>
                      <w:rFonts w:ascii="Times New Roman" w:eastAsia="Times New Roman" w:hAnsi="Times New Roman" w:cs="Times New Roman"/>
                      <w:sz w:val="20"/>
                      <w:szCs w:val="20"/>
                      <w:lang w:eastAsia="es-CO"/>
                    </w:rPr>
                  </w:pPr>
                </w:p>
              </w:tc>
            </w:tr>
            <w:tr w:rsidR="00A94DF0" w:rsidRPr="009D74A3" w14:paraId="6C0C3A6D" w14:textId="77777777" w:rsidTr="00740130">
              <w:trPr>
                <w:trHeight w:val="300"/>
                <w:jc w:val="center"/>
              </w:trPr>
              <w:tc>
                <w:tcPr>
                  <w:tcW w:w="1128" w:type="dxa"/>
                  <w:vMerge/>
                  <w:tcBorders>
                    <w:top w:val="single" w:sz="4" w:space="0" w:color="auto"/>
                    <w:left w:val="single" w:sz="4" w:space="0" w:color="auto"/>
                    <w:bottom w:val="single" w:sz="4" w:space="0" w:color="auto"/>
                    <w:right w:val="single" w:sz="4" w:space="0" w:color="auto"/>
                  </w:tcBorders>
                  <w:vAlign w:val="center"/>
                  <w:hideMark/>
                </w:tcPr>
                <w:p w14:paraId="5701BC0A" w14:textId="77777777" w:rsidR="00A94DF0" w:rsidRPr="009D74A3" w:rsidRDefault="00A94DF0" w:rsidP="008B29A2">
                  <w:pPr>
                    <w:spacing w:after="0" w:line="240" w:lineRule="auto"/>
                    <w:contextualSpacing/>
                    <w:rPr>
                      <w:rFonts w:ascii="Times New Roman" w:eastAsia="Times New Roman" w:hAnsi="Times New Roman" w:cs="Times New Roman"/>
                      <w:color w:val="333333"/>
                      <w:sz w:val="20"/>
                      <w:szCs w:val="20"/>
                      <w:lang w:eastAsia="es-CO"/>
                    </w:rPr>
                  </w:pPr>
                </w:p>
              </w:tc>
              <w:tc>
                <w:tcPr>
                  <w:tcW w:w="12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8979DE7"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203</w:t>
                  </w:r>
                </w:p>
              </w:tc>
              <w:tc>
                <w:tcPr>
                  <w:tcW w:w="149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B9191B0"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12 por mil</w:t>
                  </w:r>
                </w:p>
              </w:tc>
              <w:tc>
                <w:tcPr>
                  <w:tcW w:w="146" w:type="dxa"/>
                  <w:tcBorders>
                    <w:left w:val="single" w:sz="4" w:space="0" w:color="auto"/>
                  </w:tcBorders>
                  <w:vAlign w:val="center"/>
                  <w:hideMark/>
                </w:tcPr>
                <w:p w14:paraId="4A8F06FF" w14:textId="77777777" w:rsidR="00A94DF0" w:rsidRPr="009D74A3" w:rsidRDefault="00A94DF0" w:rsidP="008B29A2">
                  <w:pPr>
                    <w:spacing w:after="0" w:line="240" w:lineRule="auto"/>
                    <w:contextualSpacing/>
                    <w:rPr>
                      <w:rFonts w:ascii="Times New Roman" w:eastAsia="Times New Roman" w:hAnsi="Times New Roman" w:cs="Times New Roman"/>
                      <w:sz w:val="20"/>
                      <w:szCs w:val="20"/>
                      <w:lang w:eastAsia="es-CO"/>
                    </w:rPr>
                  </w:pPr>
                </w:p>
              </w:tc>
            </w:tr>
            <w:tr w:rsidR="00A94DF0" w:rsidRPr="009D74A3" w14:paraId="0DF306BF" w14:textId="77777777" w:rsidTr="00740130">
              <w:trPr>
                <w:trHeight w:val="300"/>
                <w:jc w:val="center"/>
              </w:trPr>
              <w:tc>
                <w:tcPr>
                  <w:tcW w:w="1128" w:type="dxa"/>
                  <w:vMerge/>
                  <w:tcBorders>
                    <w:top w:val="single" w:sz="4" w:space="0" w:color="auto"/>
                    <w:left w:val="single" w:sz="4" w:space="0" w:color="auto"/>
                    <w:bottom w:val="single" w:sz="4" w:space="0" w:color="auto"/>
                    <w:right w:val="single" w:sz="4" w:space="0" w:color="auto"/>
                  </w:tcBorders>
                  <w:vAlign w:val="center"/>
                  <w:hideMark/>
                </w:tcPr>
                <w:p w14:paraId="2C2A66FA" w14:textId="77777777" w:rsidR="00A94DF0" w:rsidRPr="009D74A3" w:rsidRDefault="00A94DF0" w:rsidP="008B29A2">
                  <w:pPr>
                    <w:spacing w:after="0" w:line="240" w:lineRule="auto"/>
                    <w:contextualSpacing/>
                    <w:rPr>
                      <w:rFonts w:ascii="Times New Roman" w:eastAsia="Times New Roman" w:hAnsi="Times New Roman" w:cs="Times New Roman"/>
                      <w:color w:val="333333"/>
                      <w:sz w:val="20"/>
                      <w:szCs w:val="20"/>
                      <w:lang w:eastAsia="es-CO"/>
                    </w:rPr>
                  </w:pPr>
                </w:p>
              </w:tc>
              <w:tc>
                <w:tcPr>
                  <w:tcW w:w="12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1BD5690"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204</w:t>
                  </w:r>
                </w:p>
              </w:tc>
              <w:tc>
                <w:tcPr>
                  <w:tcW w:w="149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7AED90A"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12 por mil</w:t>
                  </w:r>
                </w:p>
              </w:tc>
              <w:tc>
                <w:tcPr>
                  <w:tcW w:w="146" w:type="dxa"/>
                  <w:tcBorders>
                    <w:left w:val="single" w:sz="4" w:space="0" w:color="auto"/>
                  </w:tcBorders>
                  <w:vAlign w:val="center"/>
                  <w:hideMark/>
                </w:tcPr>
                <w:p w14:paraId="59C8F886" w14:textId="77777777" w:rsidR="00A94DF0" w:rsidRPr="009D74A3" w:rsidRDefault="00A94DF0" w:rsidP="008B29A2">
                  <w:pPr>
                    <w:spacing w:after="0" w:line="240" w:lineRule="auto"/>
                    <w:contextualSpacing/>
                    <w:rPr>
                      <w:rFonts w:ascii="Times New Roman" w:eastAsia="Times New Roman" w:hAnsi="Times New Roman" w:cs="Times New Roman"/>
                      <w:sz w:val="20"/>
                      <w:szCs w:val="20"/>
                      <w:lang w:eastAsia="es-CO"/>
                    </w:rPr>
                  </w:pPr>
                </w:p>
              </w:tc>
            </w:tr>
            <w:tr w:rsidR="00A94DF0" w:rsidRPr="009D74A3" w14:paraId="4CBE52B9" w14:textId="77777777" w:rsidTr="00740130">
              <w:trPr>
                <w:trHeight w:val="300"/>
                <w:jc w:val="center"/>
              </w:trPr>
              <w:tc>
                <w:tcPr>
                  <w:tcW w:w="112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F568D9A"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Servicios</w:t>
                  </w:r>
                </w:p>
              </w:tc>
              <w:tc>
                <w:tcPr>
                  <w:tcW w:w="12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68319F8"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301</w:t>
                  </w:r>
                </w:p>
              </w:tc>
              <w:tc>
                <w:tcPr>
                  <w:tcW w:w="149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E8834CF"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6 por mil</w:t>
                  </w:r>
                </w:p>
              </w:tc>
              <w:tc>
                <w:tcPr>
                  <w:tcW w:w="146" w:type="dxa"/>
                  <w:tcBorders>
                    <w:left w:val="single" w:sz="4" w:space="0" w:color="auto"/>
                  </w:tcBorders>
                  <w:vAlign w:val="center"/>
                  <w:hideMark/>
                </w:tcPr>
                <w:p w14:paraId="6A5EAA76" w14:textId="77777777" w:rsidR="00A94DF0" w:rsidRPr="009D74A3" w:rsidRDefault="00A94DF0" w:rsidP="008B29A2">
                  <w:pPr>
                    <w:spacing w:after="0" w:line="240" w:lineRule="auto"/>
                    <w:contextualSpacing/>
                    <w:rPr>
                      <w:rFonts w:ascii="Times New Roman" w:eastAsia="Times New Roman" w:hAnsi="Times New Roman" w:cs="Times New Roman"/>
                      <w:sz w:val="20"/>
                      <w:szCs w:val="20"/>
                      <w:lang w:eastAsia="es-CO"/>
                    </w:rPr>
                  </w:pPr>
                </w:p>
              </w:tc>
            </w:tr>
            <w:tr w:rsidR="00A94DF0" w:rsidRPr="009D74A3" w14:paraId="272AE182" w14:textId="77777777" w:rsidTr="00740130">
              <w:trPr>
                <w:trHeight w:val="300"/>
                <w:jc w:val="center"/>
              </w:trPr>
              <w:tc>
                <w:tcPr>
                  <w:tcW w:w="1128" w:type="dxa"/>
                  <w:vMerge/>
                  <w:tcBorders>
                    <w:top w:val="single" w:sz="4" w:space="0" w:color="auto"/>
                    <w:left w:val="single" w:sz="4" w:space="0" w:color="auto"/>
                    <w:bottom w:val="single" w:sz="4" w:space="0" w:color="auto"/>
                    <w:right w:val="single" w:sz="4" w:space="0" w:color="auto"/>
                  </w:tcBorders>
                  <w:vAlign w:val="center"/>
                  <w:hideMark/>
                </w:tcPr>
                <w:p w14:paraId="3C786597" w14:textId="77777777" w:rsidR="00A94DF0" w:rsidRPr="009D74A3" w:rsidRDefault="00A94DF0" w:rsidP="008B29A2">
                  <w:pPr>
                    <w:spacing w:after="0" w:line="240" w:lineRule="auto"/>
                    <w:contextualSpacing/>
                    <w:rPr>
                      <w:rFonts w:ascii="Times New Roman" w:eastAsia="Times New Roman" w:hAnsi="Times New Roman" w:cs="Times New Roman"/>
                      <w:color w:val="333333"/>
                      <w:sz w:val="20"/>
                      <w:szCs w:val="20"/>
                      <w:lang w:eastAsia="es-CO"/>
                    </w:rPr>
                  </w:pPr>
                </w:p>
              </w:tc>
              <w:tc>
                <w:tcPr>
                  <w:tcW w:w="12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1DE1849"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302</w:t>
                  </w:r>
                </w:p>
              </w:tc>
              <w:tc>
                <w:tcPr>
                  <w:tcW w:w="149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0569ED4"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7 por mil</w:t>
                  </w:r>
                </w:p>
              </w:tc>
              <w:tc>
                <w:tcPr>
                  <w:tcW w:w="146" w:type="dxa"/>
                  <w:tcBorders>
                    <w:left w:val="single" w:sz="4" w:space="0" w:color="auto"/>
                  </w:tcBorders>
                  <w:vAlign w:val="center"/>
                  <w:hideMark/>
                </w:tcPr>
                <w:p w14:paraId="46182406" w14:textId="77777777" w:rsidR="00A94DF0" w:rsidRPr="009D74A3" w:rsidRDefault="00A94DF0" w:rsidP="008B29A2">
                  <w:pPr>
                    <w:spacing w:after="0" w:line="240" w:lineRule="auto"/>
                    <w:contextualSpacing/>
                    <w:rPr>
                      <w:rFonts w:ascii="Times New Roman" w:eastAsia="Times New Roman" w:hAnsi="Times New Roman" w:cs="Times New Roman"/>
                      <w:sz w:val="20"/>
                      <w:szCs w:val="20"/>
                      <w:lang w:eastAsia="es-CO"/>
                    </w:rPr>
                  </w:pPr>
                </w:p>
              </w:tc>
            </w:tr>
            <w:tr w:rsidR="00A94DF0" w:rsidRPr="009D74A3" w14:paraId="5C02F4CB" w14:textId="77777777" w:rsidTr="00740130">
              <w:trPr>
                <w:trHeight w:val="300"/>
                <w:jc w:val="center"/>
              </w:trPr>
              <w:tc>
                <w:tcPr>
                  <w:tcW w:w="1128" w:type="dxa"/>
                  <w:vMerge/>
                  <w:tcBorders>
                    <w:top w:val="single" w:sz="4" w:space="0" w:color="auto"/>
                    <w:left w:val="single" w:sz="4" w:space="0" w:color="auto"/>
                    <w:bottom w:val="single" w:sz="4" w:space="0" w:color="auto"/>
                    <w:right w:val="single" w:sz="4" w:space="0" w:color="auto"/>
                  </w:tcBorders>
                  <w:vAlign w:val="center"/>
                  <w:hideMark/>
                </w:tcPr>
                <w:p w14:paraId="3319FE36" w14:textId="77777777" w:rsidR="00A94DF0" w:rsidRPr="009D74A3" w:rsidRDefault="00A94DF0" w:rsidP="008B29A2">
                  <w:pPr>
                    <w:spacing w:after="0" w:line="240" w:lineRule="auto"/>
                    <w:contextualSpacing/>
                    <w:rPr>
                      <w:rFonts w:ascii="Times New Roman" w:eastAsia="Times New Roman" w:hAnsi="Times New Roman" w:cs="Times New Roman"/>
                      <w:color w:val="333333"/>
                      <w:sz w:val="20"/>
                      <w:szCs w:val="20"/>
                      <w:lang w:eastAsia="es-CO"/>
                    </w:rPr>
                  </w:pPr>
                </w:p>
              </w:tc>
              <w:tc>
                <w:tcPr>
                  <w:tcW w:w="12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73A2A1F"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303</w:t>
                  </w:r>
                </w:p>
              </w:tc>
              <w:tc>
                <w:tcPr>
                  <w:tcW w:w="149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D6EAC32"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12 por mil</w:t>
                  </w:r>
                </w:p>
              </w:tc>
              <w:tc>
                <w:tcPr>
                  <w:tcW w:w="146" w:type="dxa"/>
                  <w:tcBorders>
                    <w:left w:val="single" w:sz="4" w:space="0" w:color="auto"/>
                  </w:tcBorders>
                  <w:vAlign w:val="center"/>
                  <w:hideMark/>
                </w:tcPr>
                <w:p w14:paraId="79D0D832" w14:textId="77777777" w:rsidR="00A94DF0" w:rsidRPr="009D74A3" w:rsidRDefault="00A94DF0" w:rsidP="008B29A2">
                  <w:pPr>
                    <w:spacing w:after="0" w:line="240" w:lineRule="auto"/>
                    <w:contextualSpacing/>
                    <w:rPr>
                      <w:rFonts w:ascii="Times New Roman" w:eastAsia="Times New Roman" w:hAnsi="Times New Roman" w:cs="Times New Roman"/>
                      <w:sz w:val="20"/>
                      <w:szCs w:val="20"/>
                      <w:lang w:eastAsia="es-CO"/>
                    </w:rPr>
                  </w:pPr>
                </w:p>
              </w:tc>
            </w:tr>
            <w:tr w:rsidR="00A94DF0" w:rsidRPr="009D74A3" w14:paraId="04561784" w14:textId="77777777" w:rsidTr="00740130">
              <w:trPr>
                <w:trHeight w:val="300"/>
                <w:jc w:val="center"/>
              </w:trPr>
              <w:tc>
                <w:tcPr>
                  <w:tcW w:w="1128" w:type="dxa"/>
                  <w:vMerge/>
                  <w:tcBorders>
                    <w:top w:val="single" w:sz="4" w:space="0" w:color="auto"/>
                    <w:left w:val="single" w:sz="4" w:space="0" w:color="auto"/>
                    <w:bottom w:val="single" w:sz="4" w:space="0" w:color="auto"/>
                    <w:right w:val="single" w:sz="4" w:space="0" w:color="auto"/>
                  </w:tcBorders>
                  <w:vAlign w:val="center"/>
                  <w:hideMark/>
                </w:tcPr>
                <w:p w14:paraId="7875E8AF" w14:textId="77777777" w:rsidR="00A94DF0" w:rsidRPr="009D74A3" w:rsidRDefault="00A94DF0" w:rsidP="008B29A2">
                  <w:pPr>
                    <w:spacing w:after="0" w:line="240" w:lineRule="auto"/>
                    <w:contextualSpacing/>
                    <w:rPr>
                      <w:rFonts w:ascii="Times New Roman" w:eastAsia="Times New Roman" w:hAnsi="Times New Roman" w:cs="Times New Roman"/>
                      <w:color w:val="333333"/>
                      <w:sz w:val="20"/>
                      <w:szCs w:val="20"/>
                      <w:lang w:eastAsia="es-CO"/>
                    </w:rPr>
                  </w:pPr>
                </w:p>
              </w:tc>
              <w:tc>
                <w:tcPr>
                  <w:tcW w:w="12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E6C72B7"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304</w:t>
                  </w:r>
                </w:p>
              </w:tc>
              <w:tc>
                <w:tcPr>
                  <w:tcW w:w="149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179BB1D"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10 por mil</w:t>
                  </w:r>
                </w:p>
              </w:tc>
              <w:tc>
                <w:tcPr>
                  <w:tcW w:w="146" w:type="dxa"/>
                  <w:tcBorders>
                    <w:left w:val="single" w:sz="4" w:space="0" w:color="auto"/>
                  </w:tcBorders>
                  <w:vAlign w:val="center"/>
                  <w:hideMark/>
                </w:tcPr>
                <w:p w14:paraId="360BF8D7" w14:textId="77777777" w:rsidR="00A94DF0" w:rsidRPr="009D74A3" w:rsidRDefault="00A94DF0" w:rsidP="008B29A2">
                  <w:pPr>
                    <w:spacing w:after="0" w:line="240" w:lineRule="auto"/>
                    <w:contextualSpacing/>
                    <w:rPr>
                      <w:rFonts w:ascii="Times New Roman" w:eastAsia="Times New Roman" w:hAnsi="Times New Roman" w:cs="Times New Roman"/>
                      <w:sz w:val="20"/>
                      <w:szCs w:val="20"/>
                      <w:lang w:eastAsia="es-CO"/>
                    </w:rPr>
                  </w:pPr>
                </w:p>
              </w:tc>
            </w:tr>
            <w:tr w:rsidR="00A94DF0" w:rsidRPr="009D74A3" w14:paraId="0046EE85" w14:textId="77777777" w:rsidTr="00740130">
              <w:trPr>
                <w:trHeight w:val="300"/>
                <w:jc w:val="center"/>
              </w:trPr>
              <w:tc>
                <w:tcPr>
                  <w:tcW w:w="1128" w:type="dxa"/>
                  <w:vMerge/>
                  <w:tcBorders>
                    <w:top w:val="single" w:sz="4" w:space="0" w:color="auto"/>
                    <w:left w:val="single" w:sz="4" w:space="0" w:color="auto"/>
                    <w:bottom w:val="single" w:sz="4" w:space="0" w:color="auto"/>
                    <w:right w:val="single" w:sz="4" w:space="0" w:color="auto"/>
                  </w:tcBorders>
                  <w:vAlign w:val="center"/>
                  <w:hideMark/>
                </w:tcPr>
                <w:p w14:paraId="75D0E5DC" w14:textId="77777777" w:rsidR="00A94DF0" w:rsidRPr="009D74A3" w:rsidRDefault="00A94DF0" w:rsidP="008B29A2">
                  <w:pPr>
                    <w:spacing w:after="0" w:line="240" w:lineRule="auto"/>
                    <w:contextualSpacing/>
                    <w:rPr>
                      <w:rFonts w:ascii="Times New Roman" w:eastAsia="Times New Roman" w:hAnsi="Times New Roman" w:cs="Times New Roman"/>
                      <w:color w:val="333333"/>
                      <w:sz w:val="20"/>
                      <w:szCs w:val="20"/>
                      <w:lang w:eastAsia="es-CO"/>
                    </w:rPr>
                  </w:pPr>
                </w:p>
              </w:tc>
              <w:tc>
                <w:tcPr>
                  <w:tcW w:w="12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A0F30FD"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305</w:t>
                  </w:r>
                </w:p>
              </w:tc>
              <w:tc>
                <w:tcPr>
                  <w:tcW w:w="149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3D754B7" w14:textId="77777777" w:rsidR="00A94DF0" w:rsidRPr="009D74A3" w:rsidRDefault="00A94DF0" w:rsidP="008B29A2">
                  <w:pPr>
                    <w:spacing w:after="0" w:line="240" w:lineRule="auto"/>
                    <w:contextualSpacing/>
                    <w:jc w:val="center"/>
                    <w:rPr>
                      <w:rFonts w:ascii="Times New Roman" w:eastAsia="Times New Roman" w:hAnsi="Times New Roman" w:cs="Times New Roman"/>
                      <w:color w:val="333333"/>
                      <w:sz w:val="20"/>
                      <w:szCs w:val="20"/>
                      <w:lang w:eastAsia="es-CO"/>
                    </w:rPr>
                  </w:pPr>
                  <w:r w:rsidRPr="009D74A3">
                    <w:rPr>
                      <w:rFonts w:ascii="Times New Roman" w:eastAsia="Times New Roman" w:hAnsi="Times New Roman" w:cs="Times New Roman"/>
                      <w:color w:val="333333"/>
                      <w:sz w:val="20"/>
                      <w:szCs w:val="20"/>
                      <w:lang w:val="es-ES" w:eastAsia="es-CO"/>
                    </w:rPr>
                    <w:t>8 por mi</w:t>
                  </w:r>
                </w:p>
              </w:tc>
              <w:tc>
                <w:tcPr>
                  <w:tcW w:w="146" w:type="dxa"/>
                  <w:tcBorders>
                    <w:left w:val="single" w:sz="4" w:space="0" w:color="auto"/>
                  </w:tcBorders>
                  <w:vAlign w:val="center"/>
                  <w:hideMark/>
                </w:tcPr>
                <w:p w14:paraId="56D9E584" w14:textId="77777777" w:rsidR="00A94DF0" w:rsidRPr="009D74A3" w:rsidRDefault="00A94DF0" w:rsidP="008B29A2">
                  <w:pPr>
                    <w:spacing w:after="0" w:line="240" w:lineRule="auto"/>
                    <w:contextualSpacing/>
                    <w:rPr>
                      <w:rFonts w:ascii="Times New Roman" w:eastAsia="Times New Roman" w:hAnsi="Times New Roman" w:cs="Times New Roman"/>
                      <w:sz w:val="20"/>
                      <w:szCs w:val="20"/>
                      <w:lang w:eastAsia="es-CO"/>
                    </w:rPr>
                  </w:pPr>
                </w:p>
              </w:tc>
            </w:tr>
          </w:tbl>
          <w:p w14:paraId="3C391791" w14:textId="38D6CD11" w:rsidR="00A94DF0" w:rsidRPr="00C85C4D" w:rsidRDefault="00C85C4D" w:rsidP="00C85C4D">
            <w:pPr>
              <w:ind w:firstLine="2902"/>
              <w:contextualSpacing/>
              <w:rPr>
                <w:rFonts w:ascii="Times New Roman" w:hAnsi="Times New Roman" w:cs="Times New Roman"/>
                <w:sz w:val="18"/>
                <w:szCs w:val="18"/>
              </w:rPr>
            </w:pPr>
            <w:r w:rsidRPr="00C85C4D">
              <w:rPr>
                <w:rFonts w:ascii="Times New Roman" w:hAnsi="Times New Roman" w:cs="Times New Roman"/>
                <w:b/>
                <w:bCs/>
                <w:sz w:val="18"/>
                <w:szCs w:val="18"/>
              </w:rPr>
              <w:t>Fuente:</w:t>
            </w:r>
            <w:r w:rsidRPr="00C85C4D">
              <w:rPr>
                <w:rFonts w:ascii="Times New Roman" w:hAnsi="Times New Roman" w:cs="Times New Roman"/>
                <w:sz w:val="18"/>
                <w:szCs w:val="18"/>
              </w:rPr>
              <w:t xml:space="preserve"> Secretaría Distrital de Hacienda.</w:t>
            </w:r>
          </w:p>
          <w:p w14:paraId="7270B851" w14:textId="77777777" w:rsidR="00473F76" w:rsidRPr="009D74A3" w:rsidRDefault="00473F76" w:rsidP="008B29A2">
            <w:pPr>
              <w:contextualSpacing/>
              <w:rPr>
                <w:rFonts w:ascii="Times New Roman" w:hAnsi="Times New Roman" w:cs="Times New Roman"/>
                <w:sz w:val="24"/>
                <w:szCs w:val="24"/>
              </w:rPr>
            </w:pPr>
          </w:p>
          <w:p w14:paraId="45CB4F92" w14:textId="7EFBEE03" w:rsidR="00473F76" w:rsidRPr="009D74A3" w:rsidRDefault="00A94DF0" w:rsidP="00473F76">
            <w:pPr>
              <w:contextualSpacing/>
              <w:jc w:val="center"/>
              <w:rPr>
                <w:rFonts w:ascii="Times New Roman" w:hAnsi="Times New Roman" w:cs="Times New Roman"/>
                <w:b/>
              </w:rPr>
            </w:pPr>
            <w:r w:rsidRPr="009D74A3">
              <w:rPr>
                <w:rFonts w:ascii="Times New Roman" w:hAnsi="Times New Roman" w:cs="Times New Roman"/>
                <w:b/>
              </w:rPr>
              <w:t xml:space="preserve">Tabla </w:t>
            </w:r>
            <w:r w:rsidR="00CF1FC9">
              <w:rPr>
                <w:rFonts w:ascii="Times New Roman" w:hAnsi="Times New Roman" w:cs="Times New Roman"/>
                <w:b/>
              </w:rPr>
              <w:t>22</w:t>
            </w:r>
          </w:p>
          <w:p w14:paraId="5EF157DB" w14:textId="09C25FFD" w:rsidR="00473F76" w:rsidRPr="00C85C4D" w:rsidRDefault="00A94DF0" w:rsidP="00C85C4D">
            <w:pPr>
              <w:pStyle w:val="Descripcin"/>
              <w:keepNext/>
              <w:spacing w:after="0"/>
              <w:contextualSpacing/>
              <w:jc w:val="center"/>
              <w:rPr>
                <w:rFonts w:ascii="Times New Roman" w:hAnsi="Times New Roman" w:cs="Times New Roman"/>
                <w:b/>
                <w:i w:val="0"/>
                <w:color w:val="auto"/>
                <w:sz w:val="22"/>
                <w:szCs w:val="22"/>
              </w:rPr>
            </w:pPr>
            <w:r w:rsidRPr="009D74A3">
              <w:rPr>
                <w:rFonts w:ascii="Times New Roman" w:hAnsi="Times New Roman" w:cs="Times New Roman"/>
                <w:b/>
                <w:i w:val="0"/>
                <w:color w:val="auto"/>
                <w:sz w:val="22"/>
                <w:szCs w:val="22"/>
              </w:rPr>
              <w:t>Distribución de los contribuyentes de ICA que usaron el R</w:t>
            </w:r>
            <w:r w:rsidR="000D520B" w:rsidRPr="009D74A3">
              <w:rPr>
                <w:rFonts w:ascii="Times New Roman" w:hAnsi="Times New Roman" w:cs="Times New Roman"/>
                <w:b/>
                <w:i w:val="0"/>
                <w:color w:val="auto"/>
                <w:sz w:val="22"/>
                <w:szCs w:val="22"/>
              </w:rPr>
              <w:t>S</w:t>
            </w:r>
            <w:r w:rsidRPr="009D74A3">
              <w:rPr>
                <w:rFonts w:ascii="Times New Roman" w:hAnsi="Times New Roman" w:cs="Times New Roman"/>
                <w:b/>
                <w:i w:val="0"/>
                <w:color w:val="auto"/>
                <w:sz w:val="22"/>
                <w:szCs w:val="22"/>
              </w:rPr>
              <w:t>T para el pago del impuesto en 2024</w:t>
            </w:r>
          </w:p>
          <w:tbl>
            <w:tblPr>
              <w:tblW w:w="5260" w:type="dxa"/>
              <w:jc w:val="center"/>
              <w:tblLayout w:type="fixed"/>
              <w:tblCellMar>
                <w:left w:w="70" w:type="dxa"/>
                <w:right w:w="70" w:type="dxa"/>
              </w:tblCellMar>
              <w:tblLook w:val="04A0" w:firstRow="1" w:lastRow="0" w:firstColumn="1" w:lastColumn="0" w:noHBand="0" w:noVBand="1"/>
            </w:tblPr>
            <w:tblGrid>
              <w:gridCol w:w="760"/>
              <w:gridCol w:w="1620"/>
              <w:gridCol w:w="900"/>
              <w:gridCol w:w="1080"/>
              <w:gridCol w:w="900"/>
            </w:tblGrid>
            <w:tr w:rsidR="00A94DF0" w:rsidRPr="009D74A3" w14:paraId="6BDEF52A" w14:textId="77777777" w:rsidTr="00740130">
              <w:trPr>
                <w:trHeight w:val="300"/>
                <w:jc w:val="center"/>
              </w:trPr>
              <w:tc>
                <w:tcPr>
                  <w:tcW w:w="760" w:type="dxa"/>
                  <w:tcBorders>
                    <w:top w:val="single" w:sz="4" w:space="0" w:color="auto"/>
                    <w:left w:val="single" w:sz="4" w:space="0" w:color="auto"/>
                    <w:bottom w:val="single" w:sz="4" w:space="0" w:color="auto"/>
                    <w:right w:val="single" w:sz="4" w:space="0" w:color="auto"/>
                  </w:tcBorders>
                  <w:shd w:val="clear" w:color="auto" w:fill="002060"/>
                  <w:vAlign w:val="center"/>
                  <w:hideMark/>
                </w:tcPr>
                <w:p w14:paraId="36754147" w14:textId="77777777" w:rsidR="00A94DF0" w:rsidRPr="009D74A3" w:rsidRDefault="00A94DF0" w:rsidP="008B29A2">
                  <w:pPr>
                    <w:spacing w:after="0" w:line="240" w:lineRule="auto"/>
                    <w:contextualSpacing/>
                    <w:jc w:val="center"/>
                    <w:rPr>
                      <w:rFonts w:ascii="Times New Roman" w:eastAsia="Times New Roman" w:hAnsi="Times New Roman" w:cs="Times New Roman"/>
                      <w:b/>
                      <w:color w:val="FFFFFF" w:themeColor="background1"/>
                      <w:lang w:eastAsia="es-CO"/>
                    </w:rPr>
                  </w:pPr>
                  <w:r w:rsidRPr="009D74A3">
                    <w:rPr>
                      <w:rFonts w:ascii="Times New Roman" w:eastAsia="Times New Roman" w:hAnsi="Times New Roman" w:cs="Times New Roman"/>
                      <w:b/>
                      <w:color w:val="FFFFFF" w:themeColor="background1"/>
                      <w:lang w:eastAsia="es-CO"/>
                    </w:rPr>
                    <w:t xml:space="preserve">Tarifas </w:t>
                  </w:r>
                </w:p>
              </w:tc>
              <w:tc>
                <w:tcPr>
                  <w:tcW w:w="1620" w:type="dxa"/>
                  <w:tcBorders>
                    <w:top w:val="single" w:sz="4" w:space="0" w:color="auto"/>
                    <w:left w:val="nil"/>
                    <w:bottom w:val="single" w:sz="4" w:space="0" w:color="auto"/>
                    <w:right w:val="single" w:sz="4" w:space="0" w:color="auto"/>
                  </w:tcBorders>
                  <w:shd w:val="clear" w:color="auto" w:fill="002060"/>
                  <w:vAlign w:val="center"/>
                  <w:hideMark/>
                </w:tcPr>
                <w:p w14:paraId="4B560D12" w14:textId="77777777" w:rsidR="00A94DF0" w:rsidRPr="009D74A3" w:rsidRDefault="00A94DF0" w:rsidP="008B29A2">
                  <w:pPr>
                    <w:spacing w:after="0" w:line="240" w:lineRule="auto"/>
                    <w:contextualSpacing/>
                    <w:jc w:val="center"/>
                    <w:rPr>
                      <w:rFonts w:ascii="Times New Roman" w:eastAsia="Times New Roman" w:hAnsi="Times New Roman" w:cs="Times New Roman"/>
                      <w:b/>
                      <w:color w:val="FFFFFF" w:themeColor="background1"/>
                      <w:lang w:eastAsia="es-CO"/>
                    </w:rPr>
                  </w:pPr>
                  <w:r w:rsidRPr="009D74A3">
                    <w:rPr>
                      <w:rFonts w:ascii="Times New Roman" w:eastAsia="Times New Roman" w:hAnsi="Times New Roman" w:cs="Times New Roman"/>
                      <w:b/>
                      <w:color w:val="FFFFFF" w:themeColor="background1"/>
                      <w:lang w:eastAsia="es-CO"/>
                    </w:rPr>
                    <w:t xml:space="preserve">Total contribuyentes </w:t>
                  </w:r>
                </w:p>
              </w:tc>
              <w:tc>
                <w:tcPr>
                  <w:tcW w:w="900" w:type="dxa"/>
                  <w:tcBorders>
                    <w:top w:val="single" w:sz="4" w:space="0" w:color="auto"/>
                    <w:left w:val="nil"/>
                    <w:bottom w:val="single" w:sz="4" w:space="0" w:color="auto"/>
                    <w:right w:val="single" w:sz="4" w:space="0" w:color="auto"/>
                  </w:tcBorders>
                  <w:shd w:val="clear" w:color="auto" w:fill="002060"/>
                  <w:vAlign w:val="center"/>
                  <w:hideMark/>
                </w:tcPr>
                <w:p w14:paraId="3F4041EF" w14:textId="77777777" w:rsidR="00A94DF0" w:rsidRPr="009D74A3" w:rsidRDefault="00A94DF0" w:rsidP="008B29A2">
                  <w:pPr>
                    <w:spacing w:after="0" w:line="240" w:lineRule="auto"/>
                    <w:contextualSpacing/>
                    <w:jc w:val="center"/>
                    <w:rPr>
                      <w:rFonts w:ascii="Times New Roman" w:eastAsia="Times New Roman" w:hAnsi="Times New Roman" w:cs="Times New Roman"/>
                      <w:b/>
                      <w:color w:val="FFFFFF" w:themeColor="background1"/>
                      <w:lang w:eastAsia="es-CO"/>
                    </w:rPr>
                  </w:pPr>
                  <w:r w:rsidRPr="009D74A3">
                    <w:rPr>
                      <w:rFonts w:ascii="Times New Roman" w:eastAsia="Times New Roman" w:hAnsi="Times New Roman" w:cs="Times New Roman"/>
                      <w:b/>
                      <w:color w:val="FFFFFF" w:themeColor="background1"/>
                      <w:lang w:eastAsia="es-CO"/>
                    </w:rPr>
                    <w:t>%</w:t>
                  </w:r>
                </w:p>
              </w:tc>
              <w:tc>
                <w:tcPr>
                  <w:tcW w:w="1080" w:type="dxa"/>
                  <w:tcBorders>
                    <w:top w:val="single" w:sz="4" w:space="0" w:color="auto"/>
                    <w:left w:val="nil"/>
                    <w:bottom w:val="single" w:sz="4" w:space="0" w:color="auto"/>
                    <w:right w:val="single" w:sz="4" w:space="0" w:color="auto"/>
                  </w:tcBorders>
                  <w:shd w:val="clear" w:color="auto" w:fill="002060"/>
                  <w:vAlign w:val="center"/>
                  <w:hideMark/>
                </w:tcPr>
                <w:p w14:paraId="1F2E31DD" w14:textId="77777777" w:rsidR="00A94DF0" w:rsidRPr="009D74A3" w:rsidRDefault="00A94DF0" w:rsidP="008B29A2">
                  <w:pPr>
                    <w:spacing w:after="0" w:line="240" w:lineRule="auto"/>
                    <w:contextualSpacing/>
                    <w:jc w:val="center"/>
                    <w:rPr>
                      <w:rFonts w:ascii="Times New Roman" w:eastAsia="Times New Roman" w:hAnsi="Times New Roman" w:cs="Times New Roman"/>
                      <w:b/>
                      <w:color w:val="FFFFFF" w:themeColor="background1"/>
                      <w:lang w:eastAsia="es-CO"/>
                    </w:rPr>
                  </w:pPr>
                  <w:r w:rsidRPr="009D74A3">
                    <w:rPr>
                      <w:rFonts w:ascii="Times New Roman" w:eastAsia="Times New Roman" w:hAnsi="Times New Roman" w:cs="Times New Roman"/>
                      <w:b/>
                      <w:color w:val="FFFFFF" w:themeColor="background1"/>
                      <w:lang w:eastAsia="es-CO"/>
                    </w:rPr>
                    <w:t xml:space="preserve">Impuesto </w:t>
                  </w:r>
                </w:p>
              </w:tc>
              <w:tc>
                <w:tcPr>
                  <w:tcW w:w="900" w:type="dxa"/>
                  <w:tcBorders>
                    <w:top w:val="single" w:sz="4" w:space="0" w:color="auto"/>
                    <w:left w:val="nil"/>
                    <w:bottom w:val="single" w:sz="4" w:space="0" w:color="auto"/>
                    <w:right w:val="single" w:sz="4" w:space="0" w:color="auto"/>
                  </w:tcBorders>
                  <w:shd w:val="clear" w:color="auto" w:fill="002060"/>
                  <w:vAlign w:val="center"/>
                  <w:hideMark/>
                </w:tcPr>
                <w:p w14:paraId="4A3B9C10" w14:textId="77777777" w:rsidR="00A94DF0" w:rsidRPr="009D74A3" w:rsidRDefault="00A94DF0" w:rsidP="008B29A2">
                  <w:pPr>
                    <w:spacing w:after="0" w:line="240" w:lineRule="auto"/>
                    <w:contextualSpacing/>
                    <w:jc w:val="center"/>
                    <w:rPr>
                      <w:rFonts w:ascii="Times New Roman" w:eastAsia="Times New Roman" w:hAnsi="Times New Roman" w:cs="Times New Roman"/>
                      <w:b/>
                      <w:color w:val="FFFFFF" w:themeColor="background1"/>
                      <w:lang w:eastAsia="es-CO"/>
                    </w:rPr>
                  </w:pPr>
                  <w:r w:rsidRPr="009D74A3">
                    <w:rPr>
                      <w:rFonts w:ascii="Times New Roman" w:eastAsia="Times New Roman" w:hAnsi="Times New Roman" w:cs="Times New Roman"/>
                      <w:b/>
                      <w:color w:val="FFFFFF" w:themeColor="background1"/>
                      <w:lang w:eastAsia="es-CO"/>
                    </w:rPr>
                    <w:t>%</w:t>
                  </w:r>
                </w:p>
              </w:tc>
            </w:tr>
            <w:tr w:rsidR="00A94DF0" w:rsidRPr="009D74A3" w14:paraId="6BBEE689" w14:textId="77777777" w:rsidTr="00740130">
              <w:trPr>
                <w:trHeight w:val="300"/>
                <w:jc w:val="center"/>
              </w:trPr>
              <w:tc>
                <w:tcPr>
                  <w:tcW w:w="760" w:type="dxa"/>
                  <w:tcBorders>
                    <w:top w:val="nil"/>
                    <w:left w:val="single" w:sz="4" w:space="0" w:color="auto"/>
                    <w:bottom w:val="single" w:sz="4" w:space="0" w:color="auto"/>
                    <w:right w:val="single" w:sz="4" w:space="0" w:color="auto"/>
                  </w:tcBorders>
                  <w:vAlign w:val="center"/>
                  <w:hideMark/>
                </w:tcPr>
                <w:p w14:paraId="637046EA"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5</w:t>
                  </w:r>
                </w:p>
              </w:tc>
              <w:tc>
                <w:tcPr>
                  <w:tcW w:w="1620" w:type="dxa"/>
                  <w:tcBorders>
                    <w:top w:val="nil"/>
                    <w:left w:val="nil"/>
                    <w:bottom w:val="single" w:sz="4" w:space="0" w:color="auto"/>
                    <w:right w:val="single" w:sz="4" w:space="0" w:color="auto"/>
                  </w:tcBorders>
                  <w:vAlign w:val="center"/>
                  <w:hideMark/>
                </w:tcPr>
                <w:p w14:paraId="655D662F"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768</w:t>
                  </w:r>
                </w:p>
              </w:tc>
              <w:tc>
                <w:tcPr>
                  <w:tcW w:w="900" w:type="dxa"/>
                  <w:tcBorders>
                    <w:top w:val="nil"/>
                    <w:left w:val="nil"/>
                    <w:bottom w:val="single" w:sz="4" w:space="0" w:color="auto"/>
                    <w:right w:val="single" w:sz="4" w:space="0" w:color="auto"/>
                  </w:tcBorders>
                  <w:vAlign w:val="center"/>
                  <w:hideMark/>
                </w:tcPr>
                <w:p w14:paraId="4B25F77C"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3,1%</w:t>
                  </w:r>
                </w:p>
              </w:tc>
              <w:tc>
                <w:tcPr>
                  <w:tcW w:w="1080" w:type="dxa"/>
                  <w:tcBorders>
                    <w:top w:val="nil"/>
                    <w:left w:val="nil"/>
                    <w:bottom w:val="single" w:sz="4" w:space="0" w:color="auto"/>
                    <w:right w:val="single" w:sz="4" w:space="0" w:color="auto"/>
                  </w:tcBorders>
                  <w:vAlign w:val="center"/>
                  <w:hideMark/>
                </w:tcPr>
                <w:p w14:paraId="0A9424CB"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$ 934</w:t>
                  </w:r>
                </w:p>
              </w:tc>
              <w:tc>
                <w:tcPr>
                  <w:tcW w:w="900" w:type="dxa"/>
                  <w:tcBorders>
                    <w:top w:val="nil"/>
                    <w:left w:val="nil"/>
                    <w:bottom w:val="single" w:sz="4" w:space="0" w:color="auto"/>
                    <w:right w:val="single" w:sz="4" w:space="0" w:color="auto"/>
                  </w:tcBorders>
                  <w:vAlign w:val="center"/>
                  <w:hideMark/>
                </w:tcPr>
                <w:p w14:paraId="705443EE"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1,7%</w:t>
                  </w:r>
                </w:p>
              </w:tc>
            </w:tr>
            <w:tr w:rsidR="00A94DF0" w:rsidRPr="009D74A3" w14:paraId="7BD5B45B" w14:textId="77777777" w:rsidTr="00740130">
              <w:trPr>
                <w:trHeight w:val="300"/>
                <w:jc w:val="center"/>
              </w:trPr>
              <w:tc>
                <w:tcPr>
                  <w:tcW w:w="760" w:type="dxa"/>
                  <w:tcBorders>
                    <w:top w:val="nil"/>
                    <w:left w:val="single" w:sz="4" w:space="0" w:color="auto"/>
                    <w:bottom w:val="single" w:sz="4" w:space="0" w:color="auto"/>
                    <w:right w:val="single" w:sz="4" w:space="0" w:color="auto"/>
                  </w:tcBorders>
                  <w:vAlign w:val="center"/>
                  <w:hideMark/>
                </w:tcPr>
                <w:p w14:paraId="159F1753"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6</w:t>
                  </w:r>
                </w:p>
              </w:tc>
              <w:tc>
                <w:tcPr>
                  <w:tcW w:w="1620" w:type="dxa"/>
                  <w:tcBorders>
                    <w:top w:val="nil"/>
                    <w:left w:val="nil"/>
                    <w:bottom w:val="single" w:sz="4" w:space="0" w:color="auto"/>
                    <w:right w:val="single" w:sz="4" w:space="0" w:color="auto"/>
                  </w:tcBorders>
                  <w:vAlign w:val="center"/>
                  <w:hideMark/>
                </w:tcPr>
                <w:p w14:paraId="134E80E1"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1.359</w:t>
                  </w:r>
                </w:p>
              </w:tc>
              <w:tc>
                <w:tcPr>
                  <w:tcW w:w="900" w:type="dxa"/>
                  <w:tcBorders>
                    <w:top w:val="nil"/>
                    <w:left w:val="nil"/>
                    <w:bottom w:val="single" w:sz="4" w:space="0" w:color="auto"/>
                    <w:right w:val="single" w:sz="4" w:space="0" w:color="auto"/>
                  </w:tcBorders>
                  <w:vAlign w:val="center"/>
                  <w:hideMark/>
                </w:tcPr>
                <w:p w14:paraId="45B2F448"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5,5%</w:t>
                  </w:r>
                </w:p>
              </w:tc>
              <w:tc>
                <w:tcPr>
                  <w:tcW w:w="1080" w:type="dxa"/>
                  <w:tcBorders>
                    <w:top w:val="nil"/>
                    <w:left w:val="nil"/>
                    <w:bottom w:val="single" w:sz="4" w:space="0" w:color="auto"/>
                    <w:right w:val="single" w:sz="4" w:space="0" w:color="auto"/>
                  </w:tcBorders>
                  <w:vAlign w:val="center"/>
                  <w:hideMark/>
                </w:tcPr>
                <w:p w14:paraId="7D523F00"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$ 1.883</w:t>
                  </w:r>
                </w:p>
              </w:tc>
              <w:tc>
                <w:tcPr>
                  <w:tcW w:w="900" w:type="dxa"/>
                  <w:tcBorders>
                    <w:top w:val="nil"/>
                    <w:left w:val="nil"/>
                    <w:bottom w:val="single" w:sz="4" w:space="0" w:color="auto"/>
                    <w:right w:val="single" w:sz="4" w:space="0" w:color="auto"/>
                  </w:tcBorders>
                  <w:vAlign w:val="center"/>
                  <w:hideMark/>
                </w:tcPr>
                <w:p w14:paraId="5747E2D4"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3,5%</w:t>
                  </w:r>
                </w:p>
              </w:tc>
            </w:tr>
            <w:tr w:rsidR="00A94DF0" w:rsidRPr="009D74A3" w14:paraId="2C0FAB1B" w14:textId="77777777" w:rsidTr="00740130">
              <w:trPr>
                <w:trHeight w:val="300"/>
                <w:jc w:val="center"/>
              </w:trPr>
              <w:tc>
                <w:tcPr>
                  <w:tcW w:w="760" w:type="dxa"/>
                  <w:tcBorders>
                    <w:top w:val="nil"/>
                    <w:left w:val="single" w:sz="4" w:space="0" w:color="auto"/>
                    <w:bottom w:val="single" w:sz="4" w:space="0" w:color="auto"/>
                    <w:right w:val="single" w:sz="4" w:space="0" w:color="auto"/>
                  </w:tcBorders>
                  <w:vAlign w:val="center"/>
                  <w:hideMark/>
                </w:tcPr>
                <w:p w14:paraId="507502FD"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7</w:t>
                  </w:r>
                </w:p>
              </w:tc>
              <w:tc>
                <w:tcPr>
                  <w:tcW w:w="1620" w:type="dxa"/>
                  <w:tcBorders>
                    <w:top w:val="nil"/>
                    <w:left w:val="nil"/>
                    <w:bottom w:val="single" w:sz="4" w:space="0" w:color="auto"/>
                    <w:right w:val="single" w:sz="4" w:space="0" w:color="auto"/>
                  </w:tcBorders>
                  <w:vAlign w:val="center"/>
                  <w:hideMark/>
                </w:tcPr>
                <w:p w14:paraId="34008E89"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1.760</w:t>
                  </w:r>
                </w:p>
              </w:tc>
              <w:tc>
                <w:tcPr>
                  <w:tcW w:w="900" w:type="dxa"/>
                  <w:tcBorders>
                    <w:top w:val="nil"/>
                    <w:left w:val="nil"/>
                    <w:bottom w:val="single" w:sz="4" w:space="0" w:color="auto"/>
                    <w:right w:val="single" w:sz="4" w:space="0" w:color="auto"/>
                  </w:tcBorders>
                  <w:vAlign w:val="center"/>
                  <w:hideMark/>
                </w:tcPr>
                <w:p w14:paraId="1468E375"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7,1%</w:t>
                  </w:r>
                </w:p>
              </w:tc>
              <w:tc>
                <w:tcPr>
                  <w:tcW w:w="1080" w:type="dxa"/>
                  <w:tcBorders>
                    <w:top w:val="nil"/>
                    <w:left w:val="nil"/>
                    <w:bottom w:val="single" w:sz="4" w:space="0" w:color="auto"/>
                    <w:right w:val="single" w:sz="4" w:space="0" w:color="auto"/>
                  </w:tcBorders>
                  <w:vAlign w:val="center"/>
                  <w:hideMark/>
                </w:tcPr>
                <w:p w14:paraId="16EAB023"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$ 3.156</w:t>
                  </w:r>
                </w:p>
              </w:tc>
              <w:tc>
                <w:tcPr>
                  <w:tcW w:w="900" w:type="dxa"/>
                  <w:tcBorders>
                    <w:top w:val="nil"/>
                    <w:left w:val="nil"/>
                    <w:bottom w:val="single" w:sz="4" w:space="0" w:color="auto"/>
                    <w:right w:val="single" w:sz="4" w:space="0" w:color="auto"/>
                  </w:tcBorders>
                  <w:vAlign w:val="center"/>
                  <w:hideMark/>
                </w:tcPr>
                <w:p w14:paraId="4473DDC5"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5,8%</w:t>
                  </w:r>
                </w:p>
              </w:tc>
            </w:tr>
            <w:tr w:rsidR="00A94DF0" w:rsidRPr="009D74A3" w14:paraId="626E502A" w14:textId="77777777" w:rsidTr="00740130">
              <w:trPr>
                <w:trHeight w:val="300"/>
                <w:jc w:val="center"/>
              </w:trPr>
              <w:tc>
                <w:tcPr>
                  <w:tcW w:w="760" w:type="dxa"/>
                  <w:tcBorders>
                    <w:top w:val="nil"/>
                    <w:left w:val="single" w:sz="4" w:space="0" w:color="auto"/>
                    <w:bottom w:val="single" w:sz="4" w:space="0" w:color="auto"/>
                    <w:right w:val="single" w:sz="4" w:space="0" w:color="auto"/>
                  </w:tcBorders>
                  <w:vAlign w:val="center"/>
                  <w:hideMark/>
                </w:tcPr>
                <w:p w14:paraId="7023EACB"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8</w:t>
                  </w:r>
                </w:p>
              </w:tc>
              <w:tc>
                <w:tcPr>
                  <w:tcW w:w="1620" w:type="dxa"/>
                  <w:tcBorders>
                    <w:top w:val="nil"/>
                    <w:left w:val="nil"/>
                    <w:bottom w:val="single" w:sz="4" w:space="0" w:color="auto"/>
                    <w:right w:val="single" w:sz="4" w:space="0" w:color="auto"/>
                  </w:tcBorders>
                  <w:vAlign w:val="center"/>
                  <w:hideMark/>
                </w:tcPr>
                <w:p w14:paraId="2CF37298"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186</w:t>
                  </w:r>
                </w:p>
              </w:tc>
              <w:tc>
                <w:tcPr>
                  <w:tcW w:w="900" w:type="dxa"/>
                  <w:tcBorders>
                    <w:top w:val="nil"/>
                    <w:left w:val="nil"/>
                    <w:bottom w:val="single" w:sz="4" w:space="0" w:color="auto"/>
                    <w:right w:val="single" w:sz="4" w:space="0" w:color="auto"/>
                  </w:tcBorders>
                  <w:vAlign w:val="center"/>
                  <w:hideMark/>
                </w:tcPr>
                <w:p w14:paraId="12800D02"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0,8%</w:t>
                  </w:r>
                </w:p>
              </w:tc>
              <w:tc>
                <w:tcPr>
                  <w:tcW w:w="1080" w:type="dxa"/>
                  <w:tcBorders>
                    <w:top w:val="nil"/>
                    <w:left w:val="nil"/>
                    <w:bottom w:val="single" w:sz="4" w:space="0" w:color="auto"/>
                    <w:right w:val="single" w:sz="4" w:space="0" w:color="auto"/>
                  </w:tcBorders>
                  <w:vAlign w:val="center"/>
                  <w:hideMark/>
                </w:tcPr>
                <w:p w14:paraId="557FCCC2"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$ 419</w:t>
                  </w:r>
                </w:p>
              </w:tc>
              <w:tc>
                <w:tcPr>
                  <w:tcW w:w="900" w:type="dxa"/>
                  <w:tcBorders>
                    <w:top w:val="nil"/>
                    <w:left w:val="nil"/>
                    <w:bottom w:val="single" w:sz="4" w:space="0" w:color="auto"/>
                    <w:right w:val="single" w:sz="4" w:space="0" w:color="auto"/>
                  </w:tcBorders>
                  <w:vAlign w:val="center"/>
                  <w:hideMark/>
                </w:tcPr>
                <w:p w14:paraId="22DF0FCF"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0,8%</w:t>
                  </w:r>
                </w:p>
              </w:tc>
            </w:tr>
            <w:tr w:rsidR="00A94DF0" w:rsidRPr="009D74A3" w14:paraId="7D6C676F" w14:textId="77777777" w:rsidTr="00740130">
              <w:trPr>
                <w:trHeight w:val="300"/>
                <w:jc w:val="center"/>
              </w:trPr>
              <w:tc>
                <w:tcPr>
                  <w:tcW w:w="760" w:type="dxa"/>
                  <w:tcBorders>
                    <w:top w:val="nil"/>
                    <w:left w:val="single" w:sz="4" w:space="0" w:color="auto"/>
                    <w:bottom w:val="single" w:sz="4" w:space="0" w:color="auto"/>
                    <w:right w:val="single" w:sz="4" w:space="0" w:color="auto"/>
                  </w:tcBorders>
                  <w:vAlign w:val="center"/>
                  <w:hideMark/>
                </w:tcPr>
                <w:p w14:paraId="3D063E8A"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9</w:t>
                  </w:r>
                </w:p>
              </w:tc>
              <w:tc>
                <w:tcPr>
                  <w:tcW w:w="1620" w:type="dxa"/>
                  <w:tcBorders>
                    <w:top w:val="nil"/>
                    <w:left w:val="nil"/>
                    <w:bottom w:val="single" w:sz="4" w:space="0" w:color="auto"/>
                    <w:right w:val="single" w:sz="4" w:space="0" w:color="auto"/>
                  </w:tcBorders>
                  <w:vAlign w:val="center"/>
                  <w:hideMark/>
                </w:tcPr>
                <w:p w14:paraId="339A0176"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13</w:t>
                  </w:r>
                </w:p>
              </w:tc>
              <w:tc>
                <w:tcPr>
                  <w:tcW w:w="900" w:type="dxa"/>
                  <w:tcBorders>
                    <w:top w:val="nil"/>
                    <w:left w:val="nil"/>
                    <w:bottom w:val="single" w:sz="4" w:space="0" w:color="auto"/>
                    <w:right w:val="single" w:sz="4" w:space="0" w:color="auto"/>
                  </w:tcBorders>
                  <w:vAlign w:val="center"/>
                  <w:hideMark/>
                </w:tcPr>
                <w:p w14:paraId="3636D0BA"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0,1%</w:t>
                  </w:r>
                </w:p>
              </w:tc>
              <w:tc>
                <w:tcPr>
                  <w:tcW w:w="1080" w:type="dxa"/>
                  <w:tcBorders>
                    <w:top w:val="nil"/>
                    <w:left w:val="nil"/>
                    <w:bottom w:val="single" w:sz="4" w:space="0" w:color="auto"/>
                    <w:right w:val="single" w:sz="4" w:space="0" w:color="auto"/>
                  </w:tcBorders>
                  <w:vAlign w:val="center"/>
                  <w:hideMark/>
                </w:tcPr>
                <w:p w14:paraId="6FF246A2"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$ 16</w:t>
                  </w:r>
                </w:p>
              </w:tc>
              <w:tc>
                <w:tcPr>
                  <w:tcW w:w="900" w:type="dxa"/>
                  <w:tcBorders>
                    <w:top w:val="nil"/>
                    <w:left w:val="nil"/>
                    <w:bottom w:val="single" w:sz="4" w:space="0" w:color="auto"/>
                    <w:right w:val="single" w:sz="4" w:space="0" w:color="auto"/>
                  </w:tcBorders>
                  <w:vAlign w:val="center"/>
                  <w:hideMark/>
                </w:tcPr>
                <w:p w14:paraId="3C8CB79A"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0,0%</w:t>
                  </w:r>
                </w:p>
              </w:tc>
            </w:tr>
            <w:tr w:rsidR="00A94DF0" w:rsidRPr="009D74A3" w14:paraId="75841118" w14:textId="77777777" w:rsidTr="00740130">
              <w:trPr>
                <w:trHeight w:val="300"/>
                <w:jc w:val="center"/>
              </w:trPr>
              <w:tc>
                <w:tcPr>
                  <w:tcW w:w="760" w:type="dxa"/>
                  <w:tcBorders>
                    <w:top w:val="nil"/>
                    <w:left w:val="single" w:sz="4" w:space="0" w:color="auto"/>
                    <w:bottom w:val="single" w:sz="4" w:space="0" w:color="auto"/>
                    <w:right w:val="single" w:sz="4" w:space="0" w:color="auto"/>
                  </w:tcBorders>
                  <w:vAlign w:val="center"/>
                  <w:hideMark/>
                </w:tcPr>
                <w:p w14:paraId="42C8FB05"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10</w:t>
                  </w:r>
                </w:p>
              </w:tc>
              <w:tc>
                <w:tcPr>
                  <w:tcW w:w="1620" w:type="dxa"/>
                  <w:tcBorders>
                    <w:top w:val="nil"/>
                    <w:left w:val="nil"/>
                    <w:bottom w:val="single" w:sz="4" w:space="0" w:color="auto"/>
                    <w:right w:val="single" w:sz="4" w:space="0" w:color="auto"/>
                  </w:tcBorders>
                  <w:vAlign w:val="center"/>
                  <w:hideMark/>
                </w:tcPr>
                <w:p w14:paraId="3352C5A9"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14.556</w:t>
                  </w:r>
                </w:p>
              </w:tc>
              <w:tc>
                <w:tcPr>
                  <w:tcW w:w="900" w:type="dxa"/>
                  <w:tcBorders>
                    <w:top w:val="nil"/>
                    <w:left w:val="nil"/>
                    <w:bottom w:val="single" w:sz="4" w:space="0" w:color="auto"/>
                    <w:right w:val="single" w:sz="4" w:space="0" w:color="auto"/>
                  </w:tcBorders>
                  <w:vAlign w:val="center"/>
                  <w:hideMark/>
                </w:tcPr>
                <w:p w14:paraId="0975ABE1"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59,0%</w:t>
                  </w:r>
                </w:p>
              </w:tc>
              <w:tc>
                <w:tcPr>
                  <w:tcW w:w="1080" w:type="dxa"/>
                  <w:tcBorders>
                    <w:top w:val="nil"/>
                    <w:left w:val="nil"/>
                    <w:bottom w:val="single" w:sz="4" w:space="0" w:color="auto"/>
                    <w:right w:val="single" w:sz="4" w:space="0" w:color="auto"/>
                  </w:tcBorders>
                  <w:vAlign w:val="center"/>
                  <w:hideMark/>
                </w:tcPr>
                <w:p w14:paraId="024F9528"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$ 29.426</w:t>
                  </w:r>
                </w:p>
              </w:tc>
              <w:tc>
                <w:tcPr>
                  <w:tcW w:w="900" w:type="dxa"/>
                  <w:tcBorders>
                    <w:top w:val="nil"/>
                    <w:left w:val="nil"/>
                    <w:bottom w:val="single" w:sz="4" w:space="0" w:color="auto"/>
                    <w:right w:val="single" w:sz="4" w:space="0" w:color="auto"/>
                  </w:tcBorders>
                  <w:vAlign w:val="center"/>
                  <w:hideMark/>
                </w:tcPr>
                <w:p w14:paraId="4219DEC5"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54,2%</w:t>
                  </w:r>
                </w:p>
              </w:tc>
            </w:tr>
            <w:tr w:rsidR="00A94DF0" w:rsidRPr="009D74A3" w14:paraId="730C3B24" w14:textId="77777777" w:rsidTr="00740130">
              <w:trPr>
                <w:trHeight w:val="300"/>
                <w:jc w:val="center"/>
              </w:trPr>
              <w:tc>
                <w:tcPr>
                  <w:tcW w:w="760" w:type="dxa"/>
                  <w:tcBorders>
                    <w:top w:val="nil"/>
                    <w:left w:val="single" w:sz="4" w:space="0" w:color="auto"/>
                    <w:bottom w:val="single" w:sz="4" w:space="0" w:color="auto"/>
                    <w:right w:val="single" w:sz="4" w:space="0" w:color="auto"/>
                  </w:tcBorders>
                  <w:vAlign w:val="center"/>
                  <w:hideMark/>
                </w:tcPr>
                <w:p w14:paraId="6690BB47"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12</w:t>
                  </w:r>
                </w:p>
              </w:tc>
              <w:tc>
                <w:tcPr>
                  <w:tcW w:w="1620" w:type="dxa"/>
                  <w:tcBorders>
                    <w:top w:val="nil"/>
                    <w:left w:val="nil"/>
                    <w:bottom w:val="single" w:sz="4" w:space="0" w:color="auto"/>
                    <w:right w:val="single" w:sz="4" w:space="0" w:color="auto"/>
                  </w:tcBorders>
                  <w:vAlign w:val="center"/>
                  <w:hideMark/>
                </w:tcPr>
                <w:p w14:paraId="596D92D8"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6.026</w:t>
                  </w:r>
                </w:p>
              </w:tc>
              <w:tc>
                <w:tcPr>
                  <w:tcW w:w="900" w:type="dxa"/>
                  <w:tcBorders>
                    <w:top w:val="nil"/>
                    <w:left w:val="nil"/>
                    <w:bottom w:val="single" w:sz="4" w:space="0" w:color="auto"/>
                    <w:right w:val="single" w:sz="4" w:space="0" w:color="auto"/>
                  </w:tcBorders>
                  <w:vAlign w:val="center"/>
                  <w:hideMark/>
                </w:tcPr>
                <w:p w14:paraId="5BA75291"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24,4%</w:t>
                  </w:r>
                </w:p>
              </w:tc>
              <w:tc>
                <w:tcPr>
                  <w:tcW w:w="1080" w:type="dxa"/>
                  <w:tcBorders>
                    <w:top w:val="nil"/>
                    <w:left w:val="nil"/>
                    <w:bottom w:val="single" w:sz="4" w:space="0" w:color="auto"/>
                    <w:right w:val="single" w:sz="4" w:space="0" w:color="auto"/>
                  </w:tcBorders>
                  <w:vAlign w:val="center"/>
                  <w:hideMark/>
                </w:tcPr>
                <w:p w14:paraId="3D17664F"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$ 18.502</w:t>
                  </w:r>
                </w:p>
              </w:tc>
              <w:tc>
                <w:tcPr>
                  <w:tcW w:w="900" w:type="dxa"/>
                  <w:tcBorders>
                    <w:top w:val="nil"/>
                    <w:left w:val="nil"/>
                    <w:bottom w:val="single" w:sz="4" w:space="0" w:color="auto"/>
                    <w:right w:val="single" w:sz="4" w:space="0" w:color="auto"/>
                  </w:tcBorders>
                  <w:vAlign w:val="center"/>
                  <w:hideMark/>
                </w:tcPr>
                <w:p w14:paraId="45BCB22D" w14:textId="77777777" w:rsidR="00A94DF0" w:rsidRPr="009D74A3" w:rsidRDefault="00A94DF0" w:rsidP="008B29A2">
                  <w:pPr>
                    <w:spacing w:after="0" w:line="240" w:lineRule="auto"/>
                    <w:contextualSpacing/>
                    <w:jc w:val="center"/>
                    <w:rPr>
                      <w:rFonts w:ascii="Times New Roman" w:eastAsia="Times New Roman" w:hAnsi="Times New Roman" w:cs="Times New Roman"/>
                      <w:color w:val="000000"/>
                      <w:lang w:eastAsia="es-CO"/>
                    </w:rPr>
                  </w:pPr>
                  <w:r w:rsidRPr="009D74A3">
                    <w:rPr>
                      <w:rFonts w:ascii="Times New Roman" w:eastAsia="Times New Roman" w:hAnsi="Times New Roman" w:cs="Times New Roman"/>
                      <w:color w:val="000000"/>
                      <w:lang w:eastAsia="es-CO"/>
                    </w:rPr>
                    <w:t>34,1%</w:t>
                  </w:r>
                </w:p>
              </w:tc>
            </w:tr>
            <w:tr w:rsidR="00A94DF0" w:rsidRPr="009D74A3" w14:paraId="4F1DF06A" w14:textId="77777777" w:rsidTr="00740130">
              <w:trPr>
                <w:trHeight w:val="300"/>
                <w:jc w:val="center"/>
              </w:trPr>
              <w:tc>
                <w:tcPr>
                  <w:tcW w:w="760" w:type="dxa"/>
                  <w:tcBorders>
                    <w:top w:val="nil"/>
                    <w:left w:val="single" w:sz="4" w:space="0" w:color="auto"/>
                    <w:bottom w:val="single" w:sz="4" w:space="0" w:color="auto"/>
                    <w:right w:val="single" w:sz="4" w:space="0" w:color="auto"/>
                  </w:tcBorders>
                  <w:shd w:val="clear" w:color="auto" w:fill="002060"/>
                  <w:vAlign w:val="center"/>
                  <w:hideMark/>
                </w:tcPr>
                <w:p w14:paraId="3745C944" w14:textId="77777777" w:rsidR="00A94DF0" w:rsidRPr="009D74A3" w:rsidRDefault="00A94DF0" w:rsidP="008B29A2">
                  <w:pPr>
                    <w:spacing w:after="0" w:line="240" w:lineRule="auto"/>
                    <w:contextualSpacing/>
                    <w:jc w:val="center"/>
                    <w:rPr>
                      <w:rFonts w:ascii="Times New Roman" w:eastAsia="Times New Roman" w:hAnsi="Times New Roman" w:cs="Times New Roman"/>
                      <w:b/>
                      <w:color w:val="FFFFFF" w:themeColor="background1"/>
                      <w:lang w:eastAsia="es-CO"/>
                    </w:rPr>
                  </w:pPr>
                  <w:r w:rsidRPr="009D74A3">
                    <w:rPr>
                      <w:rFonts w:ascii="Times New Roman" w:eastAsia="Times New Roman" w:hAnsi="Times New Roman" w:cs="Times New Roman"/>
                      <w:b/>
                      <w:color w:val="FFFFFF" w:themeColor="background1"/>
                      <w:lang w:eastAsia="es-CO"/>
                    </w:rPr>
                    <w:t xml:space="preserve">Total </w:t>
                  </w:r>
                </w:p>
              </w:tc>
              <w:tc>
                <w:tcPr>
                  <w:tcW w:w="1620" w:type="dxa"/>
                  <w:tcBorders>
                    <w:top w:val="nil"/>
                    <w:left w:val="nil"/>
                    <w:bottom w:val="single" w:sz="4" w:space="0" w:color="auto"/>
                    <w:right w:val="single" w:sz="4" w:space="0" w:color="auto"/>
                  </w:tcBorders>
                  <w:shd w:val="clear" w:color="auto" w:fill="002060"/>
                  <w:vAlign w:val="center"/>
                  <w:hideMark/>
                </w:tcPr>
                <w:p w14:paraId="0B4712D8" w14:textId="77777777" w:rsidR="00A94DF0" w:rsidRPr="009D74A3" w:rsidRDefault="00A94DF0" w:rsidP="008B29A2">
                  <w:pPr>
                    <w:spacing w:after="0" w:line="240" w:lineRule="auto"/>
                    <w:contextualSpacing/>
                    <w:jc w:val="center"/>
                    <w:rPr>
                      <w:rFonts w:ascii="Times New Roman" w:eastAsia="Times New Roman" w:hAnsi="Times New Roman" w:cs="Times New Roman"/>
                      <w:b/>
                      <w:color w:val="FFFFFF" w:themeColor="background1"/>
                      <w:lang w:eastAsia="es-CO"/>
                    </w:rPr>
                  </w:pPr>
                  <w:r w:rsidRPr="009D74A3">
                    <w:rPr>
                      <w:rFonts w:ascii="Times New Roman" w:eastAsia="Times New Roman" w:hAnsi="Times New Roman" w:cs="Times New Roman"/>
                      <w:b/>
                      <w:color w:val="FFFFFF" w:themeColor="background1"/>
                      <w:lang w:eastAsia="es-CO"/>
                    </w:rPr>
                    <w:t>24.668</w:t>
                  </w:r>
                </w:p>
              </w:tc>
              <w:tc>
                <w:tcPr>
                  <w:tcW w:w="900" w:type="dxa"/>
                  <w:tcBorders>
                    <w:top w:val="nil"/>
                    <w:left w:val="nil"/>
                    <w:bottom w:val="single" w:sz="4" w:space="0" w:color="auto"/>
                    <w:right w:val="single" w:sz="4" w:space="0" w:color="auto"/>
                  </w:tcBorders>
                  <w:shd w:val="clear" w:color="auto" w:fill="002060"/>
                  <w:vAlign w:val="center"/>
                  <w:hideMark/>
                </w:tcPr>
                <w:p w14:paraId="40AA937A" w14:textId="77777777" w:rsidR="00A94DF0" w:rsidRPr="009D74A3" w:rsidRDefault="00A94DF0" w:rsidP="008B29A2">
                  <w:pPr>
                    <w:spacing w:after="0" w:line="240" w:lineRule="auto"/>
                    <w:contextualSpacing/>
                    <w:jc w:val="center"/>
                    <w:rPr>
                      <w:rFonts w:ascii="Times New Roman" w:eastAsia="Times New Roman" w:hAnsi="Times New Roman" w:cs="Times New Roman"/>
                      <w:b/>
                      <w:color w:val="FFFFFF" w:themeColor="background1"/>
                      <w:lang w:eastAsia="es-CO"/>
                    </w:rPr>
                  </w:pPr>
                  <w:r w:rsidRPr="009D74A3">
                    <w:rPr>
                      <w:rFonts w:ascii="Times New Roman" w:eastAsia="Times New Roman" w:hAnsi="Times New Roman" w:cs="Times New Roman"/>
                      <w:b/>
                      <w:color w:val="FFFFFF" w:themeColor="background1"/>
                      <w:lang w:eastAsia="es-CO"/>
                    </w:rPr>
                    <w:t>100,0%</w:t>
                  </w:r>
                </w:p>
              </w:tc>
              <w:tc>
                <w:tcPr>
                  <w:tcW w:w="1080" w:type="dxa"/>
                  <w:tcBorders>
                    <w:top w:val="nil"/>
                    <w:left w:val="nil"/>
                    <w:bottom w:val="single" w:sz="4" w:space="0" w:color="auto"/>
                    <w:right w:val="single" w:sz="4" w:space="0" w:color="auto"/>
                  </w:tcBorders>
                  <w:shd w:val="clear" w:color="auto" w:fill="002060"/>
                  <w:vAlign w:val="center"/>
                  <w:hideMark/>
                </w:tcPr>
                <w:p w14:paraId="6AE89333" w14:textId="77777777" w:rsidR="00A94DF0" w:rsidRPr="009D74A3" w:rsidRDefault="00A94DF0" w:rsidP="008B29A2">
                  <w:pPr>
                    <w:spacing w:after="0" w:line="240" w:lineRule="auto"/>
                    <w:contextualSpacing/>
                    <w:jc w:val="center"/>
                    <w:rPr>
                      <w:rFonts w:ascii="Times New Roman" w:eastAsia="Times New Roman" w:hAnsi="Times New Roman" w:cs="Times New Roman"/>
                      <w:b/>
                      <w:color w:val="FFFFFF" w:themeColor="background1"/>
                      <w:lang w:eastAsia="es-CO"/>
                    </w:rPr>
                  </w:pPr>
                  <w:r w:rsidRPr="009D74A3">
                    <w:rPr>
                      <w:rFonts w:ascii="Times New Roman" w:eastAsia="Times New Roman" w:hAnsi="Times New Roman" w:cs="Times New Roman"/>
                      <w:b/>
                      <w:color w:val="FFFFFF" w:themeColor="background1"/>
                      <w:lang w:eastAsia="es-CO"/>
                    </w:rPr>
                    <w:t>$ 54.334</w:t>
                  </w:r>
                </w:p>
              </w:tc>
              <w:tc>
                <w:tcPr>
                  <w:tcW w:w="900" w:type="dxa"/>
                  <w:tcBorders>
                    <w:top w:val="nil"/>
                    <w:left w:val="nil"/>
                    <w:bottom w:val="single" w:sz="4" w:space="0" w:color="auto"/>
                    <w:right w:val="single" w:sz="4" w:space="0" w:color="auto"/>
                  </w:tcBorders>
                  <w:shd w:val="clear" w:color="auto" w:fill="002060"/>
                  <w:vAlign w:val="center"/>
                  <w:hideMark/>
                </w:tcPr>
                <w:p w14:paraId="7763EA3C" w14:textId="77777777" w:rsidR="00A94DF0" w:rsidRPr="009D74A3" w:rsidRDefault="00A94DF0" w:rsidP="008B29A2">
                  <w:pPr>
                    <w:spacing w:after="0" w:line="240" w:lineRule="auto"/>
                    <w:contextualSpacing/>
                    <w:jc w:val="center"/>
                    <w:rPr>
                      <w:rFonts w:ascii="Times New Roman" w:eastAsia="Times New Roman" w:hAnsi="Times New Roman" w:cs="Times New Roman"/>
                      <w:b/>
                      <w:color w:val="FFFFFF" w:themeColor="background1"/>
                      <w:lang w:eastAsia="es-CO"/>
                    </w:rPr>
                  </w:pPr>
                  <w:r w:rsidRPr="009D74A3">
                    <w:rPr>
                      <w:rFonts w:ascii="Times New Roman" w:eastAsia="Times New Roman" w:hAnsi="Times New Roman" w:cs="Times New Roman"/>
                      <w:b/>
                      <w:color w:val="FFFFFF" w:themeColor="background1"/>
                      <w:lang w:eastAsia="es-CO"/>
                    </w:rPr>
                    <w:t>100,0%</w:t>
                  </w:r>
                </w:p>
              </w:tc>
            </w:tr>
          </w:tbl>
          <w:p w14:paraId="0728118E" w14:textId="77777777" w:rsidR="00C85C4D" w:rsidRPr="00C85C4D" w:rsidRDefault="00C85C4D" w:rsidP="00C85C4D">
            <w:pPr>
              <w:ind w:firstLine="2902"/>
              <w:contextualSpacing/>
              <w:rPr>
                <w:rFonts w:ascii="Times New Roman" w:hAnsi="Times New Roman" w:cs="Times New Roman"/>
                <w:sz w:val="18"/>
                <w:szCs w:val="18"/>
              </w:rPr>
            </w:pPr>
            <w:r w:rsidRPr="00C85C4D">
              <w:rPr>
                <w:rFonts w:ascii="Times New Roman" w:hAnsi="Times New Roman" w:cs="Times New Roman"/>
                <w:b/>
                <w:bCs/>
                <w:sz w:val="18"/>
                <w:szCs w:val="18"/>
              </w:rPr>
              <w:t>Fuente:</w:t>
            </w:r>
            <w:r w:rsidRPr="00C85C4D">
              <w:rPr>
                <w:rFonts w:ascii="Times New Roman" w:hAnsi="Times New Roman" w:cs="Times New Roman"/>
                <w:sz w:val="18"/>
                <w:szCs w:val="18"/>
              </w:rPr>
              <w:t xml:space="preserve"> Secretaría Distrital de Hacienda.</w:t>
            </w:r>
          </w:p>
          <w:p w14:paraId="4A9CECA5" w14:textId="77777777" w:rsidR="00A94DF0" w:rsidRPr="009D74A3" w:rsidRDefault="00A94DF0" w:rsidP="008B29A2">
            <w:pPr>
              <w:contextualSpacing/>
              <w:rPr>
                <w:rFonts w:ascii="Times New Roman" w:hAnsi="Times New Roman" w:cs="Times New Roman"/>
              </w:rPr>
            </w:pPr>
          </w:p>
          <w:p w14:paraId="012F637E" w14:textId="65E9E852" w:rsidR="00A94DF0" w:rsidRPr="009D74A3" w:rsidRDefault="00A94DF0" w:rsidP="008B29A2">
            <w:p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La propuesta </w:t>
            </w:r>
            <w:r w:rsidR="00C072CB" w:rsidRPr="009D74A3">
              <w:rPr>
                <w:rFonts w:ascii="Times New Roman" w:hAnsi="Times New Roman" w:cs="Times New Roman"/>
                <w:sz w:val="24"/>
                <w:szCs w:val="24"/>
              </w:rPr>
              <w:t>incrementa</w:t>
            </w:r>
            <w:r w:rsidRPr="009D74A3">
              <w:rPr>
                <w:rFonts w:ascii="Times New Roman" w:hAnsi="Times New Roman" w:cs="Times New Roman"/>
                <w:sz w:val="24"/>
                <w:szCs w:val="24"/>
              </w:rPr>
              <w:t xml:space="preserve"> la tarifa </w:t>
            </w:r>
            <w:r w:rsidR="00BC1B37" w:rsidRPr="009D74A3">
              <w:rPr>
                <w:rFonts w:ascii="Times New Roman" w:hAnsi="Times New Roman" w:cs="Times New Roman"/>
                <w:sz w:val="24"/>
                <w:szCs w:val="24"/>
              </w:rPr>
              <w:t>consolidada</w:t>
            </w:r>
            <w:r w:rsidRPr="009D74A3">
              <w:rPr>
                <w:rFonts w:ascii="Times New Roman" w:hAnsi="Times New Roman" w:cs="Times New Roman"/>
                <w:sz w:val="24"/>
                <w:szCs w:val="24"/>
              </w:rPr>
              <w:t xml:space="preserve"> de tal forma que el</w:t>
            </w:r>
            <w:r w:rsidR="00BC1B37" w:rsidRPr="009D74A3">
              <w:rPr>
                <w:rFonts w:ascii="Times New Roman" w:hAnsi="Times New Roman" w:cs="Times New Roman"/>
                <w:sz w:val="24"/>
                <w:szCs w:val="24"/>
              </w:rPr>
              <w:t xml:space="preserve"> recaudo</w:t>
            </w:r>
            <w:r w:rsidR="00544D98" w:rsidRPr="009D74A3">
              <w:rPr>
                <w:rFonts w:ascii="Times New Roman" w:hAnsi="Times New Roman" w:cs="Times New Roman"/>
                <w:sz w:val="24"/>
                <w:szCs w:val="24"/>
              </w:rPr>
              <w:t xml:space="preserve"> del</w:t>
            </w:r>
            <w:r w:rsidRPr="009D74A3">
              <w:rPr>
                <w:rFonts w:ascii="Times New Roman" w:hAnsi="Times New Roman" w:cs="Times New Roman"/>
                <w:sz w:val="24"/>
                <w:szCs w:val="24"/>
              </w:rPr>
              <w:t xml:space="preserve"> impuesto </w:t>
            </w:r>
            <w:r w:rsidR="00C473C0">
              <w:rPr>
                <w:rFonts w:ascii="Times New Roman" w:hAnsi="Times New Roman" w:cs="Times New Roman"/>
                <w:sz w:val="24"/>
                <w:szCs w:val="24"/>
              </w:rPr>
              <w:t xml:space="preserve">adiciona </w:t>
            </w:r>
            <w:r w:rsidR="005A5EAF">
              <w:rPr>
                <w:rFonts w:ascii="Times New Roman" w:hAnsi="Times New Roman" w:cs="Times New Roman"/>
                <w:sz w:val="24"/>
                <w:szCs w:val="24"/>
              </w:rPr>
              <w:t>$62.</w:t>
            </w:r>
            <w:r w:rsidR="00A41CB2">
              <w:rPr>
                <w:rFonts w:ascii="Times New Roman" w:hAnsi="Times New Roman" w:cs="Times New Roman"/>
                <w:sz w:val="24"/>
                <w:szCs w:val="24"/>
              </w:rPr>
              <w:t xml:space="preserve">005 </w:t>
            </w:r>
            <w:r w:rsidR="00220A59">
              <w:rPr>
                <w:rFonts w:ascii="Times New Roman" w:hAnsi="Times New Roman" w:cs="Times New Roman"/>
                <w:sz w:val="24"/>
                <w:szCs w:val="24"/>
              </w:rPr>
              <w:t>Millones</w:t>
            </w:r>
            <w:r w:rsidRPr="009D74A3">
              <w:rPr>
                <w:rFonts w:ascii="Times New Roman" w:hAnsi="Times New Roman" w:cs="Times New Roman"/>
                <w:sz w:val="24"/>
                <w:szCs w:val="24"/>
              </w:rPr>
              <w:t xml:space="preserve"> a </w:t>
            </w:r>
            <w:r w:rsidR="00CB2E3E">
              <w:rPr>
                <w:rFonts w:ascii="Times New Roman" w:hAnsi="Times New Roman" w:cs="Times New Roman"/>
                <w:sz w:val="24"/>
                <w:szCs w:val="24"/>
              </w:rPr>
              <w:t>lo recibido actual</w:t>
            </w:r>
            <w:r w:rsidR="00266226">
              <w:rPr>
                <w:rFonts w:ascii="Times New Roman" w:hAnsi="Times New Roman" w:cs="Times New Roman"/>
                <w:sz w:val="24"/>
                <w:szCs w:val="24"/>
              </w:rPr>
              <w:t>mente para un total</w:t>
            </w:r>
            <w:r w:rsidRPr="009D74A3">
              <w:rPr>
                <w:rFonts w:ascii="Times New Roman" w:hAnsi="Times New Roman" w:cs="Times New Roman"/>
                <w:sz w:val="24"/>
                <w:szCs w:val="24"/>
              </w:rPr>
              <w:t xml:space="preserve"> $1</w:t>
            </w:r>
            <w:r w:rsidR="00886151">
              <w:rPr>
                <w:rFonts w:ascii="Times New Roman" w:hAnsi="Times New Roman" w:cs="Times New Roman"/>
                <w:sz w:val="24"/>
                <w:szCs w:val="24"/>
              </w:rPr>
              <w:t>16</w:t>
            </w:r>
            <w:r w:rsidRPr="009D74A3">
              <w:rPr>
                <w:rFonts w:ascii="Times New Roman" w:hAnsi="Times New Roman" w:cs="Times New Roman"/>
                <w:sz w:val="24"/>
                <w:szCs w:val="24"/>
              </w:rPr>
              <w:t>.</w:t>
            </w:r>
            <w:r w:rsidR="00886151">
              <w:rPr>
                <w:rFonts w:ascii="Times New Roman" w:hAnsi="Times New Roman" w:cs="Times New Roman"/>
                <w:sz w:val="24"/>
                <w:szCs w:val="24"/>
              </w:rPr>
              <w:t>339</w:t>
            </w:r>
            <w:r w:rsidRPr="009D74A3">
              <w:rPr>
                <w:rFonts w:ascii="Times New Roman" w:hAnsi="Times New Roman" w:cs="Times New Roman"/>
                <w:sz w:val="24"/>
                <w:szCs w:val="24"/>
              </w:rPr>
              <w:t xml:space="preserve"> Millones</w:t>
            </w:r>
            <w:r w:rsidR="00E15D4D" w:rsidRPr="009D74A3">
              <w:rPr>
                <w:rFonts w:ascii="Times New Roman" w:hAnsi="Times New Roman" w:cs="Times New Roman"/>
                <w:sz w:val="24"/>
                <w:szCs w:val="24"/>
              </w:rPr>
              <w:t xml:space="preserve">, sin que represente mayor carga para </w:t>
            </w:r>
            <w:r w:rsidR="005128B2" w:rsidRPr="009D74A3">
              <w:rPr>
                <w:rFonts w:ascii="Times New Roman" w:hAnsi="Times New Roman" w:cs="Times New Roman"/>
                <w:sz w:val="24"/>
                <w:szCs w:val="24"/>
              </w:rPr>
              <w:t xml:space="preserve">los contribuyentes, quienes seguirán tributando sobre las </w:t>
            </w:r>
            <w:r w:rsidR="005716F4" w:rsidRPr="009D74A3">
              <w:rPr>
                <w:rFonts w:ascii="Times New Roman" w:hAnsi="Times New Roman" w:cs="Times New Roman"/>
                <w:sz w:val="24"/>
                <w:szCs w:val="24"/>
              </w:rPr>
              <w:t>tarifas actuales definidas en el Estatuto Tributario Nacional</w:t>
            </w:r>
            <w:r w:rsidR="002C3D4C">
              <w:rPr>
                <w:rFonts w:ascii="Times New Roman" w:hAnsi="Times New Roman" w:cs="Times New Roman"/>
                <w:sz w:val="24"/>
                <w:szCs w:val="24"/>
              </w:rPr>
              <w:t>.</w:t>
            </w:r>
            <w:r w:rsidR="00CA2485">
              <w:rPr>
                <w:rFonts w:ascii="Times New Roman" w:hAnsi="Times New Roman" w:cs="Times New Roman"/>
                <w:sz w:val="24"/>
                <w:szCs w:val="24"/>
              </w:rPr>
              <w:t xml:space="preserve"> </w:t>
            </w:r>
          </w:p>
          <w:p w14:paraId="4CFC5A1C" w14:textId="77777777" w:rsidR="00EE74B7" w:rsidRPr="009D74A3" w:rsidRDefault="00EE74B7" w:rsidP="008B29A2">
            <w:pPr>
              <w:contextualSpacing/>
              <w:jc w:val="both"/>
              <w:rPr>
                <w:rFonts w:ascii="Times New Roman" w:hAnsi="Times New Roman" w:cs="Times New Roman"/>
                <w:sz w:val="24"/>
                <w:szCs w:val="24"/>
              </w:rPr>
            </w:pPr>
          </w:p>
          <w:p w14:paraId="12087B52" w14:textId="77777777" w:rsidR="00A94DF0" w:rsidRPr="009D74A3" w:rsidRDefault="00A94DF0">
            <w:pPr>
              <w:pStyle w:val="Ttulo2"/>
              <w:numPr>
                <w:ilvl w:val="1"/>
                <w:numId w:val="8"/>
              </w:numPr>
              <w:spacing w:before="0"/>
              <w:contextualSpacing/>
              <w:outlineLvl w:val="1"/>
              <w:rPr>
                <w:rFonts w:ascii="Times New Roman" w:hAnsi="Times New Roman" w:cs="Times New Roman"/>
                <w:b/>
                <w:bCs/>
                <w:sz w:val="24"/>
                <w:szCs w:val="24"/>
              </w:rPr>
            </w:pPr>
            <w:r w:rsidRPr="009D74A3">
              <w:rPr>
                <w:rFonts w:ascii="Times New Roman" w:hAnsi="Times New Roman" w:cs="Times New Roman"/>
                <w:b/>
                <w:bCs/>
                <w:sz w:val="24"/>
                <w:szCs w:val="24"/>
              </w:rPr>
              <w:t>Modificación en el impuesto Predial Unificado</w:t>
            </w:r>
          </w:p>
          <w:p w14:paraId="6A6FA226" w14:textId="77777777" w:rsidR="00A94DF0" w:rsidRPr="009D74A3" w:rsidRDefault="00A94DF0" w:rsidP="008B29A2">
            <w:pPr>
              <w:contextualSpacing/>
              <w:jc w:val="both"/>
              <w:rPr>
                <w:rFonts w:ascii="Times New Roman" w:hAnsi="Times New Roman" w:cs="Times New Roman"/>
                <w:b/>
                <w:bCs/>
                <w:strike/>
              </w:rPr>
            </w:pPr>
          </w:p>
          <w:p w14:paraId="36F85BB5" w14:textId="77777777" w:rsidR="00A94DF0" w:rsidRPr="009D74A3" w:rsidRDefault="00A94DF0">
            <w:pPr>
              <w:pStyle w:val="Ttulo3"/>
              <w:numPr>
                <w:ilvl w:val="2"/>
                <w:numId w:val="8"/>
              </w:numPr>
              <w:spacing w:before="0" w:after="0"/>
              <w:contextualSpacing/>
              <w:jc w:val="both"/>
              <w:outlineLvl w:val="2"/>
              <w:rPr>
                <w:rFonts w:ascii="Times New Roman" w:hAnsi="Times New Roman" w:cs="Times New Roman"/>
                <w:b/>
                <w:bCs/>
                <w:color w:val="auto"/>
                <w:sz w:val="24"/>
                <w:szCs w:val="24"/>
              </w:rPr>
            </w:pPr>
            <w:r w:rsidRPr="009D74A3">
              <w:rPr>
                <w:rFonts w:ascii="Times New Roman" w:hAnsi="Times New Roman" w:cs="Times New Roman"/>
                <w:b/>
                <w:bCs/>
                <w:color w:val="auto"/>
                <w:sz w:val="24"/>
                <w:szCs w:val="24"/>
                <w:lang w:val="es-ES"/>
              </w:rPr>
              <w:t>Tarifas adicionales para los predios residenciales de mayor valor catastral</w:t>
            </w:r>
            <w:r w:rsidRPr="009D74A3">
              <w:rPr>
                <w:rFonts w:ascii="Times New Roman" w:hAnsi="Times New Roman" w:cs="Times New Roman"/>
                <w:b/>
                <w:bCs/>
                <w:color w:val="auto"/>
                <w:sz w:val="24"/>
                <w:szCs w:val="24"/>
              </w:rPr>
              <w:t> </w:t>
            </w:r>
          </w:p>
          <w:p w14:paraId="70E30777" w14:textId="77777777" w:rsidR="00A94DF0" w:rsidRPr="009D74A3" w:rsidRDefault="00A94DF0" w:rsidP="008B29A2">
            <w:pPr>
              <w:contextualSpacing/>
              <w:jc w:val="both"/>
              <w:rPr>
                <w:rFonts w:ascii="Times New Roman" w:hAnsi="Times New Roman" w:cs="Times New Roman"/>
                <w:sz w:val="24"/>
                <w:szCs w:val="24"/>
              </w:rPr>
            </w:pPr>
          </w:p>
          <w:p w14:paraId="50A262D4" w14:textId="0CED8967" w:rsidR="00A94DF0" w:rsidRDefault="00A94DF0" w:rsidP="008B29A2">
            <w:pPr>
              <w:contextualSpacing/>
              <w:jc w:val="both"/>
              <w:rPr>
                <w:rFonts w:ascii="Times New Roman" w:hAnsi="Times New Roman" w:cs="Times New Roman"/>
                <w:sz w:val="24"/>
                <w:szCs w:val="24"/>
              </w:rPr>
            </w:pPr>
            <w:r w:rsidRPr="009D74A3">
              <w:rPr>
                <w:rFonts w:ascii="Times New Roman" w:hAnsi="Times New Roman" w:cs="Times New Roman"/>
                <w:sz w:val="24"/>
                <w:szCs w:val="24"/>
              </w:rPr>
              <w:t>La tarifa más alta (12,3 por mil) de los predios residenciales está asociada a un rango de aval</w:t>
            </w:r>
            <w:r w:rsidR="68980AD9" w:rsidRPr="009D74A3">
              <w:rPr>
                <w:rFonts w:ascii="Times New Roman" w:hAnsi="Times New Roman" w:cs="Times New Roman"/>
                <w:sz w:val="24"/>
                <w:szCs w:val="24"/>
              </w:rPr>
              <w:t>úo</w:t>
            </w:r>
            <w:r w:rsidRPr="009D74A3">
              <w:rPr>
                <w:rFonts w:ascii="Times New Roman" w:hAnsi="Times New Roman" w:cs="Times New Roman"/>
                <w:sz w:val="24"/>
                <w:szCs w:val="24"/>
              </w:rPr>
              <w:t xml:space="preserve"> que puede dividirse en más tarifas para brindar mayor progresividad al interior de este conjunto. Por lo anterior, se propone incluir dos segmentos adicionales como se muestra en la tabla </w:t>
            </w:r>
            <w:r w:rsidR="00A75EE2">
              <w:rPr>
                <w:rFonts w:ascii="Times New Roman" w:hAnsi="Times New Roman" w:cs="Times New Roman"/>
                <w:sz w:val="24"/>
                <w:szCs w:val="24"/>
              </w:rPr>
              <w:t>23</w:t>
            </w:r>
            <w:r w:rsidRPr="009D74A3">
              <w:rPr>
                <w:rFonts w:ascii="Times New Roman" w:hAnsi="Times New Roman" w:cs="Times New Roman"/>
                <w:sz w:val="24"/>
                <w:szCs w:val="24"/>
              </w:rPr>
              <w:t>, lo cual generaría un recaudo potencial adicional de $17,6 mil millones. </w:t>
            </w:r>
          </w:p>
          <w:p w14:paraId="31F7830C" w14:textId="7F6B1E79" w:rsidR="009D74A3" w:rsidRDefault="009D74A3" w:rsidP="008B29A2">
            <w:pPr>
              <w:contextualSpacing/>
              <w:jc w:val="both"/>
              <w:rPr>
                <w:rFonts w:ascii="Times New Roman" w:hAnsi="Times New Roman" w:cs="Times New Roman"/>
                <w:sz w:val="24"/>
                <w:szCs w:val="24"/>
              </w:rPr>
            </w:pPr>
          </w:p>
          <w:p w14:paraId="187DA9BF" w14:textId="5BC78186" w:rsidR="009D74A3" w:rsidRPr="009D74A3" w:rsidRDefault="009D74A3" w:rsidP="009D74A3">
            <w:pPr>
              <w:jc w:val="both"/>
              <w:rPr>
                <w:rFonts w:ascii="Times New Roman" w:hAnsi="Times New Roman" w:cs="Times New Roman"/>
                <w:sz w:val="24"/>
                <w:szCs w:val="24"/>
              </w:rPr>
            </w:pPr>
            <w:r w:rsidRPr="009D74A3">
              <w:rPr>
                <w:rFonts w:ascii="Times New Roman" w:hAnsi="Times New Roman" w:cs="Times New Roman"/>
                <w:sz w:val="24"/>
                <w:szCs w:val="24"/>
              </w:rPr>
              <w:t>Los predios residenciales actualmente se liquidan con una de las 33 tarifas posibles, que oscilan entre el 5,5 ‰ y el 12,3 ‰. En atención a los principios de capacidad contributiva, equidad en la liquidación y la presión fiscal que enfrentan los propietarios de inmuebles con bajos avalúos, se propone ajustar las tarifas más bajas (5,5; 5,6; 5,7; 5,8 y 5,9 ‰) por un esquema más lineal, conformado por 5,0; 5,2; 5,4; 5,6 y 5,8 ‰, respectivamente. Esta linealidad busca diversificar de manera más gradual la carga impositiva entre estos rangos, considerando que representan el 18,8 % del total de predios residenciales y aportan el 14,4 % del recaudo del impuesto</w:t>
            </w:r>
            <w:r w:rsidR="00703310">
              <w:rPr>
                <w:rFonts w:ascii="Times New Roman" w:hAnsi="Times New Roman" w:cs="Times New Roman"/>
                <w:sz w:val="24"/>
                <w:szCs w:val="24"/>
              </w:rPr>
              <w:t>, fortaleciendo la progresividad de este impuesto</w:t>
            </w:r>
            <w:r w:rsidRPr="009D74A3">
              <w:rPr>
                <w:rFonts w:ascii="Times New Roman" w:hAnsi="Times New Roman" w:cs="Times New Roman"/>
                <w:sz w:val="24"/>
                <w:szCs w:val="24"/>
              </w:rPr>
              <w:t xml:space="preserve"> (</w:t>
            </w:r>
            <w:r w:rsidR="00C85C4D" w:rsidRPr="00C85C4D">
              <w:rPr>
                <w:rFonts w:ascii="Times New Roman" w:hAnsi="Times New Roman" w:cs="Times New Roman"/>
                <w:b/>
                <w:bCs/>
                <w:sz w:val="24"/>
                <w:szCs w:val="24"/>
              </w:rPr>
              <w:t>T</w:t>
            </w:r>
            <w:r w:rsidRPr="00C85C4D">
              <w:rPr>
                <w:rFonts w:ascii="Times New Roman" w:hAnsi="Times New Roman" w:cs="Times New Roman"/>
                <w:b/>
                <w:bCs/>
                <w:sz w:val="24"/>
                <w:szCs w:val="24"/>
              </w:rPr>
              <w:t>abla</w:t>
            </w:r>
            <w:r w:rsidR="00C85C4D" w:rsidRPr="00C85C4D">
              <w:rPr>
                <w:rFonts w:ascii="Times New Roman" w:hAnsi="Times New Roman" w:cs="Times New Roman"/>
                <w:b/>
                <w:bCs/>
                <w:sz w:val="24"/>
                <w:szCs w:val="24"/>
              </w:rPr>
              <w:t xml:space="preserve"> </w:t>
            </w:r>
            <w:r w:rsidR="00CF1FC9">
              <w:rPr>
                <w:rFonts w:ascii="Times New Roman" w:hAnsi="Times New Roman" w:cs="Times New Roman"/>
                <w:b/>
                <w:bCs/>
                <w:sz w:val="24"/>
                <w:szCs w:val="24"/>
              </w:rPr>
              <w:t>23</w:t>
            </w:r>
            <w:r w:rsidRPr="009D74A3">
              <w:rPr>
                <w:rFonts w:ascii="Times New Roman" w:hAnsi="Times New Roman" w:cs="Times New Roman"/>
                <w:sz w:val="24"/>
                <w:szCs w:val="24"/>
              </w:rPr>
              <w:t>)</w:t>
            </w:r>
            <w:r w:rsidR="00703310">
              <w:rPr>
                <w:rFonts w:ascii="Times New Roman" w:hAnsi="Times New Roman" w:cs="Times New Roman"/>
                <w:sz w:val="24"/>
                <w:szCs w:val="24"/>
              </w:rPr>
              <w:t>.</w:t>
            </w:r>
          </w:p>
          <w:p w14:paraId="4B7D1439" w14:textId="4C3B75C7" w:rsidR="009D74A3" w:rsidRDefault="009D74A3" w:rsidP="008B29A2">
            <w:pPr>
              <w:contextualSpacing/>
              <w:jc w:val="both"/>
              <w:rPr>
                <w:rFonts w:ascii="Times New Roman" w:hAnsi="Times New Roman" w:cs="Times New Roman"/>
              </w:rPr>
            </w:pPr>
          </w:p>
          <w:p w14:paraId="506B015A" w14:textId="77777777" w:rsidR="00961E7E" w:rsidRDefault="00961E7E" w:rsidP="008B29A2">
            <w:pPr>
              <w:contextualSpacing/>
              <w:jc w:val="both"/>
              <w:rPr>
                <w:rFonts w:ascii="Times New Roman" w:hAnsi="Times New Roman" w:cs="Times New Roman"/>
              </w:rPr>
            </w:pPr>
          </w:p>
          <w:p w14:paraId="5C43CAD7" w14:textId="78A13B05" w:rsidR="009D74A3" w:rsidRPr="00473F76" w:rsidRDefault="009D74A3" w:rsidP="009D74A3">
            <w:pPr>
              <w:contextualSpacing/>
              <w:jc w:val="center"/>
              <w:rPr>
                <w:rFonts w:ascii="Times New Roman" w:hAnsi="Times New Roman" w:cs="Times New Roman"/>
                <w:b/>
              </w:rPr>
            </w:pPr>
            <w:r w:rsidRPr="00EA0322">
              <w:rPr>
                <w:rFonts w:ascii="Times New Roman" w:hAnsi="Times New Roman" w:cs="Times New Roman"/>
                <w:b/>
                <w:bCs/>
              </w:rPr>
              <w:t xml:space="preserve">Tabla </w:t>
            </w:r>
            <w:r w:rsidR="00CF1FC9">
              <w:rPr>
                <w:rFonts w:ascii="Times New Roman" w:hAnsi="Times New Roman" w:cs="Times New Roman"/>
                <w:b/>
              </w:rPr>
              <w:t>23</w:t>
            </w:r>
          </w:p>
          <w:p w14:paraId="00613E0F" w14:textId="27FCCE22" w:rsidR="009D74A3" w:rsidRPr="008756DE" w:rsidRDefault="009D74A3" w:rsidP="008756DE">
            <w:pPr>
              <w:contextualSpacing/>
              <w:jc w:val="center"/>
              <w:rPr>
                <w:rFonts w:ascii="Times New Roman" w:hAnsi="Times New Roman" w:cs="Times New Roman"/>
                <w:b/>
                <w:bCs/>
                <w:i/>
                <w:iCs/>
              </w:rPr>
            </w:pPr>
            <w:r w:rsidRPr="00EA0322">
              <w:rPr>
                <w:rFonts w:ascii="Times New Roman" w:hAnsi="Times New Roman" w:cs="Times New Roman"/>
                <w:b/>
                <w:bCs/>
              </w:rPr>
              <w:t xml:space="preserve">Propuesta en la incorporación de las tarifas 13,1 y 13,9 por mil en los predios residenciales de mayor </w:t>
            </w:r>
            <w:r w:rsidR="00604A2D">
              <w:rPr>
                <w:rFonts w:ascii="Times New Roman" w:hAnsi="Times New Roman" w:cs="Times New Roman"/>
                <w:b/>
                <w:bCs/>
              </w:rPr>
              <w:t>base gravable</w:t>
            </w:r>
            <w:r>
              <w:rPr>
                <w:rFonts w:ascii="Times New Roman" w:hAnsi="Times New Roman" w:cs="Times New Roman"/>
                <w:b/>
                <w:bCs/>
              </w:rPr>
              <w:t>, y linealidad en predios de bajo avalúo.</w:t>
            </w:r>
          </w:p>
          <w:tbl>
            <w:tblPr>
              <w:tblW w:w="8640" w:type="dxa"/>
              <w:jc w:val="center"/>
              <w:tblLayout w:type="fixed"/>
              <w:tblCellMar>
                <w:left w:w="70" w:type="dxa"/>
                <w:right w:w="70" w:type="dxa"/>
              </w:tblCellMar>
              <w:tblLook w:val="04A0" w:firstRow="1" w:lastRow="0" w:firstColumn="1" w:lastColumn="0" w:noHBand="0" w:noVBand="1"/>
            </w:tblPr>
            <w:tblGrid>
              <w:gridCol w:w="2520"/>
              <w:gridCol w:w="1960"/>
              <w:gridCol w:w="1300"/>
              <w:gridCol w:w="900"/>
              <w:gridCol w:w="1960"/>
            </w:tblGrid>
            <w:tr w:rsidR="009D74A3" w:rsidRPr="009D74A3" w14:paraId="04FD0892" w14:textId="77777777" w:rsidTr="00740130">
              <w:trPr>
                <w:trHeight w:val="300"/>
                <w:jc w:val="center"/>
              </w:trPr>
              <w:tc>
                <w:tcPr>
                  <w:tcW w:w="2520" w:type="dxa"/>
                  <w:tcBorders>
                    <w:top w:val="single" w:sz="4" w:space="0" w:color="000000"/>
                    <w:left w:val="single" w:sz="4" w:space="0" w:color="000000"/>
                    <w:bottom w:val="single" w:sz="8" w:space="0" w:color="auto"/>
                    <w:right w:val="single" w:sz="8" w:space="0" w:color="auto"/>
                  </w:tcBorders>
                  <w:shd w:val="clear" w:color="000000" w:fill="002060"/>
                  <w:vAlign w:val="center"/>
                  <w:hideMark/>
                </w:tcPr>
                <w:p w14:paraId="2D966957" w14:textId="77777777" w:rsidR="009D74A3" w:rsidRPr="009D74A3" w:rsidRDefault="009D74A3" w:rsidP="009D74A3">
                  <w:pPr>
                    <w:spacing w:after="0" w:line="240" w:lineRule="auto"/>
                    <w:jc w:val="center"/>
                    <w:rPr>
                      <w:rFonts w:ascii="Times New Roman" w:eastAsia="Times New Roman" w:hAnsi="Times New Roman" w:cs="Times New Roman"/>
                      <w:b/>
                      <w:bCs/>
                      <w:color w:val="FFFFFF" w:themeColor="background1"/>
                      <w:sz w:val="20"/>
                      <w:szCs w:val="20"/>
                      <w:lang w:eastAsia="es-CO"/>
                    </w:rPr>
                  </w:pPr>
                  <w:r w:rsidRPr="009D74A3">
                    <w:rPr>
                      <w:rFonts w:ascii="Times New Roman" w:eastAsia="Times New Roman" w:hAnsi="Times New Roman" w:cs="Times New Roman"/>
                      <w:b/>
                      <w:bCs/>
                      <w:color w:val="FFFFFF" w:themeColor="background1"/>
                      <w:sz w:val="20"/>
                      <w:szCs w:val="20"/>
                      <w:lang w:eastAsia="es-CO"/>
                    </w:rPr>
                    <w:t>Lim inferior</w:t>
                  </w:r>
                </w:p>
              </w:tc>
              <w:tc>
                <w:tcPr>
                  <w:tcW w:w="1960" w:type="dxa"/>
                  <w:tcBorders>
                    <w:top w:val="single" w:sz="4" w:space="0" w:color="000000"/>
                    <w:left w:val="nil"/>
                    <w:bottom w:val="single" w:sz="8" w:space="0" w:color="auto"/>
                    <w:right w:val="single" w:sz="8" w:space="0" w:color="auto"/>
                  </w:tcBorders>
                  <w:shd w:val="clear" w:color="000000" w:fill="002060"/>
                  <w:vAlign w:val="center"/>
                  <w:hideMark/>
                </w:tcPr>
                <w:p w14:paraId="7E5408AB" w14:textId="77777777" w:rsidR="009D74A3" w:rsidRPr="009D74A3" w:rsidRDefault="009D74A3" w:rsidP="009D74A3">
                  <w:pPr>
                    <w:spacing w:after="0" w:line="240" w:lineRule="auto"/>
                    <w:jc w:val="center"/>
                    <w:rPr>
                      <w:rFonts w:ascii="Times New Roman" w:eastAsia="Times New Roman" w:hAnsi="Times New Roman" w:cs="Times New Roman"/>
                      <w:b/>
                      <w:bCs/>
                      <w:color w:val="FFFFFF" w:themeColor="background1"/>
                      <w:sz w:val="20"/>
                      <w:szCs w:val="20"/>
                      <w:lang w:eastAsia="es-CO"/>
                    </w:rPr>
                  </w:pPr>
                  <w:r w:rsidRPr="009D74A3">
                    <w:rPr>
                      <w:rFonts w:ascii="Times New Roman" w:eastAsia="Times New Roman" w:hAnsi="Times New Roman" w:cs="Times New Roman"/>
                      <w:b/>
                      <w:bCs/>
                      <w:color w:val="FFFFFF" w:themeColor="background1"/>
                      <w:sz w:val="20"/>
                      <w:szCs w:val="20"/>
                      <w:lang w:eastAsia="es-CO"/>
                    </w:rPr>
                    <w:t>Lim superior</w:t>
                  </w:r>
                </w:p>
              </w:tc>
              <w:tc>
                <w:tcPr>
                  <w:tcW w:w="1300" w:type="dxa"/>
                  <w:tcBorders>
                    <w:top w:val="single" w:sz="4" w:space="0" w:color="000000"/>
                    <w:left w:val="nil"/>
                    <w:bottom w:val="single" w:sz="8" w:space="0" w:color="auto"/>
                    <w:right w:val="single" w:sz="8" w:space="0" w:color="auto"/>
                  </w:tcBorders>
                  <w:shd w:val="clear" w:color="000000" w:fill="002060"/>
                  <w:vAlign w:val="center"/>
                  <w:hideMark/>
                </w:tcPr>
                <w:p w14:paraId="78DD7D15" w14:textId="77777777" w:rsidR="009D74A3" w:rsidRPr="009D74A3" w:rsidRDefault="009D74A3" w:rsidP="009D74A3">
                  <w:pPr>
                    <w:spacing w:after="0" w:line="240" w:lineRule="auto"/>
                    <w:jc w:val="center"/>
                    <w:rPr>
                      <w:rFonts w:ascii="Times New Roman" w:eastAsia="Times New Roman" w:hAnsi="Times New Roman" w:cs="Times New Roman"/>
                      <w:b/>
                      <w:bCs/>
                      <w:color w:val="FFFFFF" w:themeColor="background1"/>
                      <w:sz w:val="20"/>
                      <w:szCs w:val="20"/>
                      <w:lang w:eastAsia="es-CO"/>
                    </w:rPr>
                  </w:pPr>
                  <w:r w:rsidRPr="009D74A3">
                    <w:rPr>
                      <w:rFonts w:ascii="Times New Roman" w:eastAsia="Times New Roman" w:hAnsi="Times New Roman" w:cs="Times New Roman"/>
                      <w:b/>
                      <w:bCs/>
                      <w:color w:val="FFFFFF" w:themeColor="background1"/>
                      <w:sz w:val="20"/>
                      <w:szCs w:val="20"/>
                      <w:lang w:eastAsia="es-CO"/>
                    </w:rPr>
                    <w:t>Predios</w:t>
                  </w:r>
                </w:p>
              </w:tc>
              <w:tc>
                <w:tcPr>
                  <w:tcW w:w="900" w:type="dxa"/>
                  <w:tcBorders>
                    <w:top w:val="single" w:sz="4" w:space="0" w:color="000000"/>
                    <w:left w:val="nil"/>
                    <w:bottom w:val="single" w:sz="8" w:space="0" w:color="auto"/>
                    <w:right w:val="single" w:sz="8" w:space="0" w:color="auto"/>
                  </w:tcBorders>
                  <w:shd w:val="clear" w:color="000000" w:fill="002060"/>
                  <w:vAlign w:val="center"/>
                  <w:hideMark/>
                </w:tcPr>
                <w:p w14:paraId="64147D4C" w14:textId="77777777" w:rsidR="009D74A3" w:rsidRPr="009D74A3" w:rsidRDefault="009D74A3" w:rsidP="009D74A3">
                  <w:pPr>
                    <w:spacing w:after="0" w:line="240" w:lineRule="auto"/>
                    <w:jc w:val="center"/>
                    <w:rPr>
                      <w:rFonts w:ascii="Times New Roman" w:eastAsia="Times New Roman" w:hAnsi="Times New Roman" w:cs="Times New Roman"/>
                      <w:b/>
                      <w:bCs/>
                      <w:color w:val="FFFFFF" w:themeColor="background1"/>
                      <w:sz w:val="20"/>
                      <w:szCs w:val="20"/>
                      <w:lang w:eastAsia="es-CO"/>
                    </w:rPr>
                  </w:pPr>
                  <w:r w:rsidRPr="009D74A3">
                    <w:rPr>
                      <w:rFonts w:ascii="Times New Roman" w:eastAsia="Times New Roman" w:hAnsi="Times New Roman" w:cs="Times New Roman"/>
                      <w:b/>
                      <w:bCs/>
                      <w:color w:val="FFFFFF" w:themeColor="background1"/>
                      <w:sz w:val="20"/>
                      <w:szCs w:val="20"/>
                      <w:lang w:eastAsia="es-CO"/>
                    </w:rPr>
                    <w:t>%</w:t>
                  </w:r>
                </w:p>
              </w:tc>
              <w:tc>
                <w:tcPr>
                  <w:tcW w:w="1960" w:type="dxa"/>
                  <w:tcBorders>
                    <w:top w:val="single" w:sz="4" w:space="0" w:color="000000"/>
                    <w:left w:val="nil"/>
                    <w:bottom w:val="single" w:sz="8" w:space="0" w:color="auto"/>
                    <w:right w:val="single" w:sz="4" w:space="0" w:color="000000"/>
                  </w:tcBorders>
                  <w:shd w:val="clear" w:color="000000" w:fill="002060"/>
                  <w:vAlign w:val="center"/>
                  <w:hideMark/>
                </w:tcPr>
                <w:p w14:paraId="0117B164" w14:textId="77777777" w:rsidR="009D74A3" w:rsidRPr="009D74A3" w:rsidRDefault="009D74A3" w:rsidP="009D74A3">
                  <w:pPr>
                    <w:spacing w:after="0" w:line="240" w:lineRule="auto"/>
                    <w:jc w:val="center"/>
                    <w:rPr>
                      <w:rFonts w:ascii="Times New Roman" w:eastAsia="Times New Roman" w:hAnsi="Times New Roman" w:cs="Times New Roman"/>
                      <w:b/>
                      <w:bCs/>
                      <w:color w:val="FFFFFF" w:themeColor="background1"/>
                      <w:sz w:val="20"/>
                      <w:szCs w:val="20"/>
                      <w:lang w:eastAsia="es-CO"/>
                    </w:rPr>
                  </w:pPr>
                  <w:r w:rsidRPr="009D74A3">
                    <w:rPr>
                      <w:rFonts w:ascii="Times New Roman" w:eastAsia="Times New Roman" w:hAnsi="Times New Roman" w:cs="Times New Roman"/>
                      <w:b/>
                      <w:bCs/>
                      <w:color w:val="FFFFFF" w:themeColor="background1"/>
                      <w:sz w:val="20"/>
                      <w:szCs w:val="20"/>
                      <w:lang w:eastAsia="es-CO"/>
                    </w:rPr>
                    <w:t>Tarifa propuesta</w:t>
                  </w:r>
                </w:p>
              </w:tc>
            </w:tr>
            <w:tr w:rsidR="009D74A3" w:rsidRPr="009D74A3" w14:paraId="02BDDF6F" w14:textId="77777777" w:rsidTr="00740130">
              <w:trPr>
                <w:trHeight w:val="300"/>
                <w:jc w:val="center"/>
              </w:trPr>
              <w:tc>
                <w:tcPr>
                  <w:tcW w:w="2520" w:type="dxa"/>
                  <w:tcBorders>
                    <w:top w:val="nil"/>
                    <w:left w:val="single" w:sz="4" w:space="0" w:color="000000"/>
                    <w:bottom w:val="single" w:sz="8" w:space="0" w:color="auto"/>
                    <w:right w:val="single" w:sz="8" w:space="0" w:color="auto"/>
                  </w:tcBorders>
                  <w:vAlign w:val="center"/>
                  <w:hideMark/>
                </w:tcPr>
                <w:p w14:paraId="7A3E8834" w14:textId="1A423E75"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Especial</w:t>
                  </w:r>
                </w:p>
              </w:tc>
              <w:tc>
                <w:tcPr>
                  <w:tcW w:w="1960" w:type="dxa"/>
                  <w:tcBorders>
                    <w:top w:val="nil"/>
                    <w:left w:val="single" w:sz="4" w:space="0" w:color="000000"/>
                    <w:bottom w:val="single" w:sz="8" w:space="0" w:color="auto"/>
                    <w:right w:val="single" w:sz="8" w:space="0" w:color="auto"/>
                  </w:tcBorders>
                  <w:vAlign w:val="center"/>
                  <w:hideMark/>
                </w:tcPr>
                <w:p w14:paraId="4BFC1CF2" w14:textId="7A62D4DC"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p>
              </w:tc>
              <w:tc>
                <w:tcPr>
                  <w:tcW w:w="1300" w:type="dxa"/>
                  <w:tcBorders>
                    <w:top w:val="nil"/>
                    <w:left w:val="single" w:sz="4" w:space="0" w:color="000000"/>
                    <w:bottom w:val="single" w:sz="8" w:space="0" w:color="auto"/>
                    <w:right w:val="single" w:sz="8" w:space="0" w:color="auto"/>
                  </w:tcBorders>
                  <w:vAlign w:val="center"/>
                  <w:hideMark/>
                </w:tcPr>
                <w:p w14:paraId="21EF59A4"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945.145</w:t>
                  </w:r>
                </w:p>
              </w:tc>
              <w:tc>
                <w:tcPr>
                  <w:tcW w:w="900" w:type="dxa"/>
                  <w:tcBorders>
                    <w:top w:val="nil"/>
                    <w:left w:val="single" w:sz="4" w:space="0" w:color="000000"/>
                    <w:bottom w:val="single" w:sz="8" w:space="0" w:color="auto"/>
                    <w:right w:val="single" w:sz="8" w:space="0" w:color="auto"/>
                  </w:tcBorders>
                  <w:vAlign w:val="center"/>
                  <w:hideMark/>
                </w:tcPr>
                <w:p w14:paraId="764EA75D"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52,8%</w:t>
                  </w:r>
                </w:p>
              </w:tc>
              <w:tc>
                <w:tcPr>
                  <w:tcW w:w="1960" w:type="dxa"/>
                  <w:tcBorders>
                    <w:top w:val="nil"/>
                    <w:left w:val="single" w:sz="4" w:space="0" w:color="000000"/>
                    <w:bottom w:val="single" w:sz="8" w:space="0" w:color="auto"/>
                    <w:right w:val="single" w:sz="8" w:space="0" w:color="auto"/>
                  </w:tcBorders>
                  <w:vAlign w:val="center"/>
                  <w:hideMark/>
                </w:tcPr>
                <w:p w14:paraId="4277A33B"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1,3,4</w:t>
                  </w:r>
                </w:p>
              </w:tc>
            </w:tr>
            <w:tr w:rsidR="009D74A3" w:rsidRPr="009D74A3" w14:paraId="6A69332D" w14:textId="77777777" w:rsidTr="00740130">
              <w:trPr>
                <w:trHeight w:val="300"/>
                <w:jc w:val="center"/>
              </w:trPr>
              <w:tc>
                <w:tcPr>
                  <w:tcW w:w="2520" w:type="dxa"/>
                  <w:tcBorders>
                    <w:top w:val="nil"/>
                    <w:left w:val="single" w:sz="4" w:space="0" w:color="000000"/>
                    <w:bottom w:val="single" w:sz="8" w:space="0" w:color="auto"/>
                    <w:right w:val="single" w:sz="8" w:space="0" w:color="auto"/>
                  </w:tcBorders>
                  <w:vAlign w:val="center"/>
                  <w:hideMark/>
                </w:tcPr>
                <w:p w14:paraId="4931665D"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$ 0</w:t>
                  </w:r>
                </w:p>
              </w:tc>
              <w:tc>
                <w:tcPr>
                  <w:tcW w:w="1960" w:type="dxa"/>
                  <w:tcBorders>
                    <w:top w:val="nil"/>
                    <w:left w:val="single" w:sz="4" w:space="0" w:color="000000"/>
                    <w:bottom w:val="single" w:sz="8" w:space="0" w:color="auto"/>
                    <w:right w:val="single" w:sz="8" w:space="0" w:color="auto"/>
                  </w:tcBorders>
                  <w:vAlign w:val="center"/>
                  <w:hideMark/>
                </w:tcPr>
                <w:p w14:paraId="0730CABE"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$ 176.605.000</w:t>
                  </w:r>
                </w:p>
              </w:tc>
              <w:tc>
                <w:tcPr>
                  <w:tcW w:w="1300" w:type="dxa"/>
                  <w:tcBorders>
                    <w:top w:val="nil"/>
                    <w:left w:val="single" w:sz="4" w:space="0" w:color="000000"/>
                    <w:bottom w:val="single" w:sz="8" w:space="0" w:color="auto"/>
                    <w:right w:val="single" w:sz="8" w:space="0" w:color="auto"/>
                  </w:tcBorders>
                  <w:vAlign w:val="center"/>
                  <w:hideMark/>
                </w:tcPr>
                <w:p w14:paraId="75DE940A"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23.749</w:t>
                  </w:r>
                </w:p>
              </w:tc>
              <w:tc>
                <w:tcPr>
                  <w:tcW w:w="900" w:type="dxa"/>
                  <w:tcBorders>
                    <w:top w:val="nil"/>
                    <w:left w:val="single" w:sz="4" w:space="0" w:color="000000"/>
                    <w:bottom w:val="single" w:sz="8" w:space="0" w:color="auto"/>
                    <w:right w:val="single" w:sz="8" w:space="0" w:color="auto"/>
                  </w:tcBorders>
                  <w:vAlign w:val="center"/>
                  <w:hideMark/>
                </w:tcPr>
                <w:p w14:paraId="76E24C99"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1,3%</w:t>
                  </w:r>
                </w:p>
              </w:tc>
              <w:tc>
                <w:tcPr>
                  <w:tcW w:w="1960" w:type="dxa"/>
                  <w:tcBorders>
                    <w:top w:val="nil"/>
                    <w:left w:val="single" w:sz="4" w:space="0" w:color="000000"/>
                    <w:bottom w:val="single" w:sz="8" w:space="0" w:color="auto"/>
                    <w:right w:val="single" w:sz="8" w:space="0" w:color="auto"/>
                  </w:tcBorders>
                  <w:vAlign w:val="center"/>
                  <w:hideMark/>
                </w:tcPr>
                <w:p w14:paraId="62A18B48"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5,0</w:t>
                  </w:r>
                </w:p>
              </w:tc>
            </w:tr>
            <w:tr w:rsidR="009D74A3" w:rsidRPr="009D74A3" w14:paraId="3883C483" w14:textId="77777777" w:rsidTr="00740130">
              <w:trPr>
                <w:trHeight w:val="300"/>
                <w:jc w:val="center"/>
              </w:trPr>
              <w:tc>
                <w:tcPr>
                  <w:tcW w:w="2520" w:type="dxa"/>
                  <w:tcBorders>
                    <w:top w:val="nil"/>
                    <w:left w:val="single" w:sz="4" w:space="0" w:color="000000"/>
                    <w:bottom w:val="single" w:sz="8" w:space="0" w:color="auto"/>
                    <w:right w:val="single" w:sz="8" w:space="0" w:color="auto"/>
                  </w:tcBorders>
                  <w:vAlign w:val="center"/>
                  <w:hideMark/>
                </w:tcPr>
                <w:p w14:paraId="60DD465F"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$ 176.605.001</w:t>
                  </w:r>
                </w:p>
              </w:tc>
              <w:tc>
                <w:tcPr>
                  <w:tcW w:w="1960" w:type="dxa"/>
                  <w:tcBorders>
                    <w:top w:val="nil"/>
                    <w:left w:val="single" w:sz="4" w:space="0" w:color="000000"/>
                    <w:bottom w:val="single" w:sz="8" w:space="0" w:color="auto"/>
                    <w:right w:val="single" w:sz="8" w:space="0" w:color="auto"/>
                  </w:tcBorders>
                  <w:vAlign w:val="center"/>
                  <w:hideMark/>
                </w:tcPr>
                <w:p w14:paraId="23E1A279"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$ 188.198.000</w:t>
                  </w:r>
                </w:p>
              </w:tc>
              <w:tc>
                <w:tcPr>
                  <w:tcW w:w="1300" w:type="dxa"/>
                  <w:tcBorders>
                    <w:top w:val="nil"/>
                    <w:left w:val="single" w:sz="4" w:space="0" w:color="000000"/>
                    <w:bottom w:val="single" w:sz="8" w:space="0" w:color="auto"/>
                    <w:right w:val="single" w:sz="8" w:space="0" w:color="auto"/>
                  </w:tcBorders>
                  <w:vAlign w:val="center"/>
                  <w:hideMark/>
                </w:tcPr>
                <w:p w14:paraId="2222CE61"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8.386</w:t>
                  </w:r>
                </w:p>
              </w:tc>
              <w:tc>
                <w:tcPr>
                  <w:tcW w:w="900" w:type="dxa"/>
                  <w:tcBorders>
                    <w:top w:val="nil"/>
                    <w:left w:val="single" w:sz="4" w:space="0" w:color="000000"/>
                    <w:bottom w:val="single" w:sz="8" w:space="0" w:color="auto"/>
                    <w:right w:val="single" w:sz="8" w:space="0" w:color="auto"/>
                  </w:tcBorders>
                  <w:vAlign w:val="center"/>
                  <w:hideMark/>
                </w:tcPr>
                <w:p w14:paraId="2C543196"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0,5%</w:t>
                  </w:r>
                </w:p>
              </w:tc>
              <w:tc>
                <w:tcPr>
                  <w:tcW w:w="1960" w:type="dxa"/>
                  <w:tcBorders>
                    <w:top w:val="nil"/>
                    <w:left w:val="single" w:sz="4" w:space="0" w:color="000000"/>
                    <w:bottom w:val="single" w:sz="8" w:space="0" w:color="auto"/>
                    <w:right w:val="single" w:sz="8" w:space="0" w:color="auto"/>
                  </w:tcBorders>
                  <w:vAlign w:val="center"/>
                  <w:hideMark/>
                </w:tcPr>
                <w:p w14:paraId="34FF12DF"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5,2</w:t>
                  </w:r>
                </w:p>
              </w:tc>
            </w:tr>
            <w:tr w:rsidR="009D74A3" w:rsidRPr="009D74A3" w14:paraId="1ED5C639" w14:textId="77777777" w:rsidTr="00740130">
              <w:trPr>
                <w:trHeight w:val="300"/>
                <w:jc w:val="center"/>
              </w:trPr>
              <w:tc>
                <w:tcPr>
                  <w:tcW w:w="2520" w:type="dxa"/>
                  <w:tcBorders>
                    <w:top w:val="nil"/>
                    <w:left w:val="single" w:sz="4" w:space="0" w:color="000000"/>
                    <w:bottom w:val="single" w:sz="8" w:space="0" w:color="auto"/>
                    <w:right w:val="single" w:sz="8" w:space="0" w:color="auto"/>
                  </w:tcBorders>
                  <w:vAlign w:val="center"/>
                  <w:hideMark/>
                </w:tcPr>
                <w:p w14:paraId="3216A4B7"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$ 188.198.001</w:t>
                  </w:r>
                </w:p>
              </w:tc>
              <w:tc>
                <w:tcPr>
                  <w:tcW w:w="1960" w:type="dxa"/>
                  <w:tcBorders>
                    <w:top w:val="nil"/>
                    <w:left w:val="single" w:sz="4" w:space="0" w:color="000000"/>
                    <w:bottom w:val="single" w:sz="8" w:space="0" w:color="auto"/>
                    <w:right w:val="single" w:sz="8" w:space="0" w:color="auto"/>
                  </w:tcBorders>
                  <w:vAlign w:val="center"/>
                  <w:hideMark/>
                </w:tcPr>
                <w:p w14:paraId="29B9D321"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$ 216.658.000</w:t>
                  </w:r>
                </w:p>
              </w:tc>
              <w:tc>
                <w:tcPr>
                  <w:tcW w:w="1300" w:type="dxa"/>
                  <w:tcBorders>
                    <w:top w:val="nil"/>
                    <w:left w:val="single" w:sz="4" w:space="0" w:color="000000"/>
                    <w:bottom w:val="single" w:sz="8" w:space="0" w:color="auto"/>
                    <w:right w:val="single" w:sz="8" w:space="0" w:color="auto"/>
                  </w:tcBorders>
                  <w:vAlign w:val="center"/>
                  <w:hideMark/>
                </w:tcPr>
                <w:p w14:paraId="58E559E0"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104.330</w:t>
                  </w:r>
                </w:p>
              </w:tc>
              <w:tc>
                <w:tcPr>
                  <w:tcW w:w="900" w:type="dxa"/>
                  <w:tcBorders>
                    <w:top w:val="nil"/>
                    <w:left w:val="single" w:sz="4" w:space="0" w:color="000000"/>
                    <w:bottom w:val="single" w:sz="8" w:space="0" w:color="auto"/>
                    <w:right w:val="single" w:sz="8" w:space="0" w:color="auto"/>
                  </w:tcBorders>
                  <w:vAlign w:val="center"/>
                  <w:hideMark/>
                </w:tcPr>
                <w:p w14:paraId="71B5CBC0"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5,8%</w:t>
                  </w:r>
                </w:p>
              </w:tc>
              <w:tc>
                <w:tcPr>
                  <w:tcW w:w="1960" w:type="dxa"/>
                  <w:tcBorders>
                    <w:top w:val="nil"/>
                    <w:left w:val="single" w:sz="4" w:space="0" w:color="000000"/>
                    <w:bottom w:val="single" w:sz="8" w:space="0" w:color="auto"/>
                    <w:right w:val="single" w:sz="8" w:space="0" w:color="auto"/>
                  </w:tcBorders>
                  <w:vAlign w:val="center"/>
                  <w:hideMark/>
                </w:tcPr>
                <w:p w14:paraId="66567BBC"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5,4</w:t>
                  </w:r>
                </w:p>
              </w:tc>
            </w:tr>
            <w:tr w:rsidR="009D74A3" w:rsidRPr="009D74A3" w14:paraId="6F884BE1" w14:textId="77777777" w:rsidTr="00740130">
              <w:trPr>
                <w:trHeight w:val="300"/>
                <w:jc w:val="center"/>
              </w:trPr>
              <w:tc>
                <w:tcPr>
                  <w:tcW w:w="2520" w:type="dxa"/>
                  <w:tcBorders>
                    <w:top w:val="nil"/>
                    <w:left w:val="single" w:sz="4" w:space="0" w:color="000000"/>
                    <w:bottom w:val="single" w:sz="8" w:space="0" w:color="auto"/>
                    <w:right w:val="single" w:sz="8" w:space="0" w:color="auto"/>
                  </w:tcBorders>
                  <w:vAlign w:val="center"/>
                  <w:hideMark/>
                </w:tcPr>
                <w:p w14:paraId="0A2233E7"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$ 216.658.001</w:t>
                  </w:r>
                </w:p>
              </w:tc>
              <w:tc>
                <w:tcPr>
                  <w:tcW w:w="1960" w:type="dxa"/>
                  <w:tcBorders>
                    <w:top w:val="nil"/>
                    <w:left w:val="single" w:sz="4" w:space="0" w:color="000000"/>
                    <w:bottom w:val="single" w:sz="8" w:space="0" w:color="auto"/>
                    <w:right w:val="single" w:sz="8" w:space="0" w:color="auto"/>
                  </w:tcBorders>
                  <w:vAlign w:val="center"/>
                  <w:hideMark/>
                </w:tcPr>
                <w:p w14:paraId="5D2DEB6D"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$ 245.120.000</w:t>
                  </w:r>
                </w:p>
              </w:tc>
              <w:tc>
                <w:tcPr>
                  <w:tcW w:w="1300" w:type="dxa"/>
                  <w:tcBorders>
                    <w:top w:val="nil"/>
                    <w:left w:val="single" w:sz="4" w:space="0" w:color="000000"/>
                    <w:bottom w:val="single" w:sz="8" w:space="0" w:color="auto"/>
                    <w:right w:val="single" w:sz="8" w:space="0" w:color="auto"/>
                  </w:tcBorders>
                  <w:vAlign w:val="center"/>
                  <w:hideMark/>
                </w:tcPr>
                <w:p w14:paraId="45AD8B84"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109.170</w:t>
                  </w:r>
                </w:p>
              </w:tc>
              <w:tc>
                <w:tcPr>
                  <w:tcW w:w="900" w:type="dxa"/>
                  <w:tcBorders>
                    <w:top w:val="nil"/>
                    <w:left w:val="single" w:sz="4" w:space="0" w:color="000000"/>
                    <w:bottom w:val="single" w:sz="8" w:space="0" w:color="auto"/>
                    <w:right w:val="single" w:sz="8" w:space="0" w:color="auto"/>
                  </w:tcBorders>
                  <w:vAlign w:val="center"/>
                  <w:hideMark/>
                </w:tcPr>
                <w:p w14:paraId="2DCE1568"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6,1%</w:t>
                  </w:r>
                </w:p>
              </w:tc>
              <w:tc>
                <w:tcPr>
                  <w:tcW w:w="1960" w:type="dxa"/>
                  <w:tcBorders>
                    <w:top w:val="nil"/>
                    <w:left w:val="single" w:sz="4" w:space="0" w:color="000000"/>
                    <w:bottom w:val="single" w:sz="8" w:space="0" w:color="auto"/>
                    <w:right w:val="single" w:sz="8" w:space="0" w:color="auto"/>
                  </w:tcBorders>
                  <w:vAlign w:val="center"/>
                  <w:hideMark/>
                </w:tcPr>
                <w:p w14:paraId="5617F113"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5,6</w:t>
                  </w:r>
                </w:p>
              </w:tc>
            </w:tr>
            <w:tr w:rsidR="009D74A3" w:rsidRPr="009D74A3" w14:paraId="2CC61AB2" w14:textId="77777777" w:rsidTr="00740130">
              <w:trPr>
                <w:trHeight w:val="300"/>
                <w:jc w:val="center"/>
              </w:trPr>
              <w:tc>
                <w:tcPr>
                  <w:tcW w:w="2520" w:type="dxa"/>
                  <w:tcBorders>
                    <w:top w:val="nil"/>
                    <w:left w:val="single" w:sz="4" w:space="0" w:color="000000"/>
                    <w:bottom w:val="single" w:sz="8" w:space="0" w:color="auto"/>
                    <w:right w:val="single" w:sz="8" w:space="0" w:color="auto"/>
                  </w:tcBorders>
                  <w:vAlign w:val="center"/>
                  <w:hideMark/>
                </w:tcPr>
                <w:p w14:paraId="5AD3D8BE"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$ 245.120.001</w:t>
                  </w:r>
                </w:p>
              </w:tc>
              <w:tc>
                <w:tcPr>
                  <w:tcW w:w="1960" w:type="dxa"/>
                  <w:tcBorders>
                    <w:top w:val="nil"/>
                    <w:left w:val="single" w:sz="4" w:space="0" w:color="000000"/>
                    <w:bottom w:val="single" w:sz="8" w:space="0" w:color="auto"/>
                    <w:right w:val="single" w:sz="8" w:space="0" w:color="auto"/>
                  </w:tcBorders>
                  <w:vAlign w:val="center"/>
                  <w:hideMark/>
                </w:tcPr>
                <w:p w14:paraId="0C2EE158"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$ 273.582.000</w:t>
                  </w:r>
                </w:p>
              </w:tc>
              <w:tc>
                <w:tcPr>
                  <w:tcW w:w="1300" w:type="dxa"/>
                  <w:tcBorders>
                    <w:top w:val="nil"/>
                    <w:left w:val="single" w:sz="4" w:space="0" w:color="000000"/>
                    <w:bottom w:val="single" w:sz="8" w:space="0" w:color="auto"/>
                    <w:right w:val="single" w:sz="8" w:space="0" w:color="auto"/>
                  </w:tcBorders>
                  <w:vAlign w:val="center"/>
                  <w:hideMark/>
                </w:tcPr>
                <w:p w14:paraId="7D87AB28"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90.750</w:t>
                  </w:r>
                </w:p>
              </w:tc>
              <w:tc>
                <w:tcPr>
                  <w:tcW w:w="900" w:type="dxa"/>
                  <w:tcBorders>
                    <w:top w:val="nil"/>
                    <w:left w:val="single" w:sz="4" w:space="0" w:color="000000"/>
                    <w:bottom w:val="single" w:sz="8" w:space="0" w:color="auto"/>
                    <w:right w:val="single" w:sz="8" w:space="0" w:color="auto"/>
                  </w:tcBorders>
                  <w:vAlign w:val="center"/>
                  <w:hideMark/>
                </w:tcPr>
                <w:p w14:paraId="58BE1497"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5,1%</w:t>
                  </w:r>
                </w:p>
              </w:tc>
              <w:tc>
                <w:tcPr>
                  <w:tcW w:w="1960" w:type="dxa"/>
                  <w:tcBorders>
                    <w:top w:val="nil"/>
                    <w:left w:val="single" w:sz="4" w:space="0" w:color="000000"/>
                    <w:bottom w:val="single" w:sz="8" w:space="0" w:color="auto"/>
                    <w:right w:val="single" w:sz="8" w:space="0" w:color="auto"/>
                  </w:tcBorders>
                  <w:vAlign w:val="center"/>
                  <w:hideMark/>
                </w:tcPr>
                <w:p w14:paraId="0F28D6D3"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5,8</w:t>
                  </w:r>
                </w:p>
              </w:tc>
            </w:tr>
            <w:tr w:rsidR="009D74A3" w:rsidRPr="009D74A3" w14:paraId="6FD8413E" w14:textId="77777777" w:rsidTr="00740130">
              <w:trPr>
                <w:trHeight w:val="300"/>
                <w:jc w:val="center"/>
              </w:trPr>
              <w:tc>
                <w:tcPr>
                  <w:tcW w:w="2520" w:type="dxa"/>
                  <w:tcBorders>
                    <w:top w:val="nil"/>
                    <w:left w:val="single" w:sz="4" w:space="0" w:color="000000"/>
                    <w:bottom w:val="single" w:sz="8" w:space="0" w:color="auto"/>
                    <w:right w:val="single" w:sz="8" w:space="0" w:color="auto"/>
                  </w:tcBorders>
                  <w:vAlign w:val="center"/>
                  <w:hideMark/>
                </w:tcPr>
                <w:p w14:paraId="46FAE16D"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$ 273.582.001</w:t>
                  </w:r>
                </w:p>
              </w:tc>
              <w:tc>
                <w:tcPr>
                  <w:tcW w:w="1960" w:type="dxa"/>
                  <w:tcBorders>
                    <w:top w:val="nil"/>
                    <w:left w:val="single" w:sz="4" w:space="0" w:color="000000"/>
                    <w:bottom w:val="single" w:sz="8" w:space="0" w:color="auto"/>
                    <w:right w:val="single" w:sz="8" w:space="0" w:color="auto"/>
                  </w:tcBorders>
                  <w:vAlign w:val="center"/>
                  <w:hideMark/>
                </w:tcPr>
                <w:p w14:paraId="21A6E65F"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$ 302.042.000</w:t>
                  </w:r>
                </w:p>
              </w:tc>
              <w:tc>
                <w:tcPr>
                  <w:tcW w:w="1300" w:type="dxa"/>
                  <w:tcBorders>
                    <w:top w:val="nil"/>
                    <w:left w:val="single" w:sz="4" w:space="0" w:color="000000"/>
                    <w:bottom w:val="single" w:sz="8" w:space="0" w:color="auto"/>
                    <w:right w:val="single" w:sz="8" w:space="0" w:color="auto"/>
                  </w:tcBorders>
                  <w:vAlign w:val="center"/>
                  <w:hideMark/>
                </w:tcPr>
                <w:p w14:paraId="1AE080D6"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75.580</w:t>
                  </w:r>
                </w:p>
              </w:tc>
              <w:tc>
                <w:tcPr>
                  <w:tcW w:w="900" w:type="dxa"/>
                  <w:tcBorders>
                    <w:top w:val="nil"/>
                    <w:left w:val="single" w:sz="4" w:space="0" w:color="000000"/>
                    <w:bottom w:val="single" w:sz="8" w:space="0" w:color="auto"/>
                    <w:right w:val="single" w:sz="8" w:space="0" w:color="auto"/>
                  </w:tcBorders>
                  <w:vAlign w:val="center"/>
                  <w:hideMark/>
                </w:tcPr>
                <w:p w14:paraId="31BB5FAB"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4,2%</w:t>
                  </w:r>
                </w:p>
              </w:tc>
              <w:tc>
                <w:tcPr>
                  <w:tcW w:w="1960" w:type="dxa"/>
                  <w:tcBorders>
                    <w:top w:val="nil"/>
                    <w:left w:val="single" w:sz="4" w:space="0" w:color="000000"/>
                    <w:bottom w:val="single" w:sz="8" w:space="0" w:color="auto"/>
                    <w:right w:val="single" w:sz="8" w:space="0" w:color="auto"/>
                  </w:tcBorders>
                  <w:vAlign w:val="center"/>
                  <w:hideMark/>
                </w:tcPr>
                <w:p w14:paraId="7C51F95C"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6,0</w:t>
                  </w:r>
                </w:p>
              </w:tc>
            </w:tr>
            <w:tr w:rsidR="009D74A3" w:rsidRPr="009D74A3" w14:paraId="3F36C875" w14:textId="77777777" w:rsidTr="00740130">
              <w:trPr>
                <w:trHeight w:val="300"/>
                <w:jc w:val="center"/>
              </w:trPr>
              <w:tc>
                <w:tcPr>
                  <w:tcW w:w="2520" w:type="dxa"/>
                  <w:tcBorders>
                    <w:top w:val="nil"/>
                    <w:left w:val="single" w:sz="4" w:space="0" w:color="000000"/>
                    <w:bottom w:val="single" w:sz="8" w:space="0" w:color="auto"/>
                    <w:right w:val="single" w:sz="8" w:space="0" w:color="auto"/>
                  </w:tcBorders>
                  <w:vAlign w:val="center"/>
                  <w:hideMark/>
                </w:tcPr>
                <w:p w14:paraId="564BED6B"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$ 302.042.001</w:t>
                  </w:r>
                </w:p>
              </w:tc>
              <w:tc>
                <w:tcPr>
                  <w:tcW w:w="1960" w:type="dxa"/>
                  <w:tcBorders>
                    <w:top w:val="nil"/>
                    <w:left w:val="single" w:sz="4" w:space="0" w:color="000000"/>
                    <w:bottom w:val="single" w:sz="8" w:space="0" w:color="auto"/>
                    <w:right w:val="single" w:sz="8" w:space="0" w:color="auto"/>
                  </w:tcBorders>
                  <w:vAlign w:val="center"/>
                  <w:hideMark/>
                </w:tcPr>
                <w:p w14:paraId="39E0127D"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$ 2.276.909.000</w:t>
                  </w:r>
                </w:p>
              </w:tc>
              <w:tc>
                <w:tcPr>
                  <w:tcW w:w="1300" w:type="dxa"/>
                  <w:tcBorders>
                    <w:top w:val="nil"/>
                    <w:left w:val="single" w:sz="4" w:space="0" w:color="000000"/>
                    <w:bottom w:val="single" w:sz="8" w:space="0" w:color="auto"/>
                    <w:right w:val="single" w:sz="8" w:space="0" w:color="auto"/>
                  </w:tcBorders>
                  <w:vAlign w:val="center"/>
                  <w:hideMark/>
                </w:tcPr>
                <w:p w14:paraId="64321F79"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431.237</w:t>
                  </w:r>
                </w:p>
              </w:tc>
              <w:tc>
                <w:tcPr>
                  <w:tcW w:w="900" w:type="dxa"/>
                  <w:tcBorders>
                    <w:top w:val="nil"/>
                    <w:left w:val="single" w:sz="4" w:space="0" w:color="000000"/>
                    <w:bottom w:val="single" w:sz="8" w:space="0" w:color="auto"/>
                    <w:right w:val="single" w:sz="8" w:space="0" w:color="auto"/>
                  </w:tcBorders>
                  <w:vAlign w:val="center"/>
                  <w:hideMark/>
                </w:tcPr>
                <w:p w14:paraId="71EE4B88"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24,1%</w:t>
                  </w:r>
                </w:p>
              </w:tc>
              <w:tc>
                <w:tcPr>
                  <w:tcW w:w="1960" w:type="dxa"/>
                  <w:tcBorders>
                    <w:top w:val="nil"/>
                    <w:left w:val="single" w:sz="4" w:space="0" w:color="000000"/>
                    <w:bottom w:val="single" w:sz="8" w:space="0" w:color="auto"/>
                    <w:right w:val="single" w:sz="8" w:space="0" w:color="auto"/>
                  </w:tcBorders>
                  <w:vAlign w:val="center"/>
                  <w:hideMark/>
                </w:tcPr>
                <w:p w14:paraId="5DD493CB"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6 - 11.5</w:t>
                  </w:r>
                </w:p>
              </w:tc>
            </w:tr>
            <w:tr w:rsidR="009D74A3" w:rsidRPr="009D74A3" w14:paraId="5078FC5A" w14:textId="77777777" w:rsidTr="00740130">
              <w:trPr>
                <w:trHeight w:val="300"/>
                <w:jc w:val="center"/>
              </w:trPr>
              <w:tc>
                <w:tcPr>
                  <w:tcW w:w="2520" w:type="dxa"/>
                  <w:tcBorders>
                    <w:top w:val="nil"/>
                    <w:left w:val="single" w:sz="4" w:space="0" w:color="000000"/>
                    <w:bottom w:val="single" w:sz="8" w:space="0" w:color="auto"/>
                    <w:right w:val="single" w:sz="8" w:space="0" w:color="auto"/>
                  </w:tcBorders>
                  <w:vAlign w:val="center"/>
                  <w:hideMark/>
                </w:tcPr>
                <w:p w14:paraId="33B5180E"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$ 2.276.909.001</w:t>
                  </w:r>
                </w:p>
              </w:tc>
              <w:tc>
                <w:tcPr>
                  <w:tcW w:w="1960" w:type="dxa"/>
                  <w:tcBorders>
                    <w:top w:val="nil"/>
                    <w:left w:val="single" w:sz="4" w:space="0" w:color="000000"/>
                    <w:bottom w:val="single" w:sz="8" w:space="0" w:color="auto"/>
                    <w:right w:val="single" w:sz="8" w:space="0" w:color="auto"/>
                  </w:tcBorders>
                  <w:vAlign w:val="center"/>
                  <w:hideMark/>
                </w:tcPr>
                <w:p w14:paraId="4568ABF9"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$ 2.898.456.000</w:t>
                  </w:r>
                </w:p>
              </w:tc>
              <w:tc>
                <w:tcPr>
                  <w:tcW w:w="1300" w:type="dxa"/>
                  <w:tcBorders>
                    <w:top w:val="nil"/>
                    <w:left w:val="single" w:sz="4" w:space="0" w:color="000000"/>
                    <w:bottom w:val="single" w:sz="8" w:space="0" w:color="auto"/>
                    <w:right w:val="single" w:sz="8" w:space="0" w:color="auto"/>
                  </w:tcBorders>
                  <w:vAlign w:val="center"/>
                  <w:hideMark/>
                </w:tcPr>
                <w:p w14:paraId="5B9A55F5"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1.592</w:t>
                  </w:r>
                </w:p>
              </w:tc>
              <w:tc>
                <w:tcPr>
                  <w:tcW w:w="900" w:type="dxa"/>
                  <w:tcBorders>
                    <w:top w:val="nil"/>
                    <w:left w:val="single" w:sz="4" w:space="0" w:color="000000"/>
                    <w:bottom w:val="single" w:sz="8" w:space="0" w:color="auto"/>
                    <w:right w:val="single" w:sz="8" w:space="0" w:color="auto"/>
                  </w:tcBorders>
                  <w:vAlign w:val="center"/>
                  <w:hideMark/>
                </w:tcPr>
                <w:p w14:paraId="4AE0846D"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0,1%</w:t>
                  </w:r>
                </w:p>
              </w:tc>
              <w:tc>
                <w:tcPr>
                  <w:tcW w:w="1960" w:type="dxa"/>
                  <w:tcBorders>
                    <w:top w:val="nil"/>
                    <w:left w:val="single" w:sz="4" w:space="0" w:color="000000"/>
                    <w:bottom w:val="single" w:sz="8" w:space="0" w:color="auto"/>
                    <w:right w:val="single" w:sz="8" w:space="0" w:color="auto"/>
                  </w:tcBorders>
                  <w:vAlign w:val="center"/>
                  <w:hideMark/>
                </w:tcPr>
                <w:p w14:paraId="22451D12"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12,3</w:t>
                  </w:r>
                </w:p>
              </w:tc>
            </w:tr>
            <w:tr w:rsidR="009D74A3" w:rsidRPr="009D74A3" w14:paraId="3B573B21" w14:textId="77777777" w:rsidTr="00740130">
              <w:trPr>
                <w:trHeight w:val="300"/>
                <w:jc w:val="center"/>
              </w:trPr>
              <w:tc>
                <w:tcPr>
                  <w:tcW w:w="2520" w:type="dxa"/>
                  <w:tcBorders>
                    <w:top w:val="nil"/>
                    <w:left w:val="single" w:sz="4" w:space="0" w:color="000000"/>
                    <w:bottom w:val="single" w:sz="8" w:space="0" w:color="auto"/>
                    <w:right w:val="single" w:sz="8" w:space="0" w:color="auto"/>
                  </w:tcBorders>
                  <w:vAlign w:val="center"/>
                  <w:hideMark/>
                </w:tcPr>
                <w:p w14:paraId="4C75E71B"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$ 2.898.456.001</w:t>
                  </w:r>
                </w:p>
              </w:tc>
              <w:tc>
                <w:tcPr>
                  <w:tcW w:w="1960" w:type="dxa"/>
                  <w:tcBorders>
                    <w:top w:val="nil"/>
                    <w:left w:val="single" w:sz="4" w:space="0" w:color="000000"/>
                    <w:bottom w:val="single" w:sz="8" w:space="0" w:color="auto"/>
                    <w:right w:val="single" w:sz="8" w:space="0" w:color="auto"/>
                  </w:tcBorders>
                  <w:vAlign w:val="center"/>
                  <w:hideMark/>
                </w:tcPr>
                <w:p w14:paraId="622FCB8D"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$ 4.010.072.000</w:t>
                  </w:r>
                </w:p>
              </w:tc>
              <w:tc>
                <w:tcPr>
                  <w:tcW w:w="1300" w:type="dxa"/>
                  <w:tcBorders>
                    <w:top w:val="nil"/>
                    <w:left w:val="single" w:sz="4" w:space="0" w:color="000000"/>
                    <w:bottom w:val="single" w:sz="8" w:space="0" w:color="auto"/>
                    <w:right w:val="single" w:sz="8" w:space="0" w:color="auto"/>
                  </w:tcBorders>
                  <w:vAlign w:val="center"/>
                  <w:hideMark/>
                </w:tcPr>
                <w:p w14:paraId="5EA0CAC5"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873</w:t>
                  </w:r>
                </w:p>
              </w:tc>
              <w:tc>
                <w:tcPr>
                  <w:tcW w:w="900" w:type="dxa"/>
                  <w:tcBorders>
                    <w:top w:val="nil"/>
                    <w:left w:val="single" w:sz="4" w:space="0" w:color="000000"/>
                    <w:bottom w:val="single" w:sz="8" w:space="0" w:color="auto"/>
                    <w:right w:val="single" w:sz="8" w:space="0" w:color="auto"/>
                  </w:tcBorders>
                  <w:vAlign w:val="center"/>
                  <w:hideMark/>
                </w:tcPr>
                <w:p w14:paraId="598FCCA5"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0,0%</w:t>
                  </w:r>
                </w:p>
              </w:tc>
              <w:tc>
                <w:tcPr>
                  <w:tcW w:w="1960" w:type="dxa"/>
                  <w:tcBorders>
                    <w:top w:val="nil"/>
                    <w:left w:val="single" w:sz="4" w:space="0" w:color="000000"/>
                    <w:bottom w:val="single" w:sz="8" w:space="0" w:color="auto"/>
                    <w:right w:val="single" w:sz="8" w:space="0" w:color="auto"/>
                  </w:tcBorders>
                  <w:vAlign w:val="center"/>
                  <w:hideMark/>
                </w:tcPr>
                <w:p w14:paraId="7CAAB10D"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13,1</w:t>
                  </w:r>
                </w:p>
              </w:tc>
            </w:tr>
            <w:tr w:rsidR="009D74A3" w:rsidRPr="009D74A3" w14:paraId="70A00F69" w14:textId="77777777" w:rsidTr="00740130">
              <w:trPr>
                <w:trHeight w:val="300"/>
                <w:jc w:val="center"/>
              </w:trPr>
              <w:tc>
                <w:tcPr>
                  <w:tcW w:w="2520" w:type="dxa"/>
                  <w:tcBorders>
                    <w:top w:val="nil"/>
                    <w:left w:val="single" w:sz="4" w:space="0" w:color="000000"/>
                    <w:bottom w:val="single" w:sz="8" w:space="0" w:color="auto"/>
                    <w:right w:val="single" w:sz="8" w:space="0" w:color="auto"/>
                  </w:tcBorders>
                  <w:vAlign w:val="center"/>
                  <w:hideMark/>
                </w:tcPr>
                <w:p w14:paraId="1C844120"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Más de $4.010.072.000</w:t>
                  </w:r>
                </w:p>
              </w:tc>
              <w:tc>
                <w:tcPr>
                  <w:tcW w:w="1960" w:type="dxa"/>
                  <w:tcBorders>
                    <w:top w:val="nil"/>
                    <w:left w:val="single" w:sz="4" w:space="0" w:color="000000"/>
                    <w:bottom w:val="single" w:sz="8" w:space="0" w:color="auto"/>
                    <w:right w:val="single" w:sz="8" w:space="0" w:color="auto"/>
                  </w:tcBorders>
                  <w:vAlign w:val="center"/>
                  <w:hideMark/>
                </w:tcPr>
                <w:p w14:paraId="18C31DD4" w14:textId="3C8CEB44"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p>
              </w:tc>
              <w:tc>
                <w:tcPr>
                  <w:tcW w:w="1300" w:type="dxa"/>
                  <w:tcBorders>
                    <w:top w:val="nil"/>
                    <w:left w:val="single" w:sz="4" w:space="0" w:color="000000"/>
                    <w:bottom w:val="single" w:sz="8" w:space="0" w:color="auto"/>
                    <w:right w:val="single" w:sz="8" w:space="0" w:color="auto"/>
                  </w:tcBorders>
                  <w:vAlign w:val="center"/>
                  <w:hideMark/>
                </w:tcPr>
                <w:p w14:paraId="105C0025"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875</w:t>
                  </w:r>
                </w:p>
              </w:tc>
              <w:tc>
                <w:tcPr>
                  <w:tcW w:w="900" w:type="dxa"/>
                  <w:tcBorders>
                    <w:top w:val="nil"/>
                    <w:left w:val="single" w:sz="4" w:space="0" w:color="000000"/>
                    <w:bottom w:val="single" w:sz="8" w:space="0" w:color="auto"/>
                    <w:right w:val="single" w:sz="8" w:space="0" w:color="auto"/>
                  </w:tcBorders>
                  <w:vAlign w:val="center"/>
                  <w:hideMark/>
                </w:tcPr>
                <w:p w14:paraId="347E52C6"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0,0%</w:t>
                  </w:r>
                </w:p>
              </w:tc>
              <w:tc>
                <w:tcPr>
                  <w:tcW w:w="1960" w:type="dxa"/>
                  <w:tcBorders>
                    <w:top w:val="nil"/>
                    <w:left w:val="single" w:sz="4" w:space="0" w:color="000000"/>
                    <w:bottom w:val="single" w:sz="8" w:space="0" w:color="auto"/>
                    <w:right w:val="single" w:sz="8" w:space="0" w:color="auto"/>
                  </w:tcBorders>
                  <w:vAlign w:val="center"/>
                  <w:hideMark/>
                </w:tcPr>
                <w:p w14:paraId="6D3A4CC5"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13,9</w:t>
                  </w:r>
                </w:p>
              </w:tc>
            </w:tr>
            <w:tr w:rsidR="009D74A3" w:rsidRPr="009D74A3" w14:paraId="775DAF9A" w14:textId="77777777" w:rsidTr="00740130">
              <w:trPr>
                <w:trHeight w:val="300"/>
                <w:jc w:val="center"/>
              </w:trPr>
              <w:tc>
                <w:tcPr>
                  <w:tcW w:w="2520" w:type="dxa"/>
                  <w:tcBorders>
                    <w:top w:val="nil"/>
                    <w:left w:val="single" w:sz="4" w:space="0" w:color="000000"/>
                    <w:bottom w:val="single" w:sz="8" w:space="0" w:color="auto"/>
                    <w:right w:val="single" w:sz="8" w:space="0" w:color="auto"/>
                  </w:tcBorders>
                  <w:vAlign w:val="center"/>
                  <w:hideMark/>
                </w:tcPr>
                <w:p w14:paraId="477C1413" w14:textId="052A668D"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Total</w:t>
                  </w:r>
                </w:p>
              </w:tc>
              <w:tc>
                <w:tcPr>
                  <w:tcW w:w="1960" w:type="dxa"/>
                  <w:tcBorders>
                    <w:top w:val="nil"/>
                    <w:left w:val="single" w:sz="4" w:space="0" w:color="000000"/>
                    <w:bottom w:val="single" w:sz="8" w:space="0" w:color="auto"/>
                    <w:right w:val="single" w:sz="8" w:space="0" w:color="auto"/>
                  </w:tcBorders>
                  <w:vAlign w:val="center"/>
                  <w:hideMark/>
                </w:tcPr>
                <w:p w14:paraId="7E1AEA26" w14:textId="46ACD05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p>
              </w:tc>
              <w:tc>
                <w:tcPr>
                  <w:tcW w:w="1300" w:type="dxa"/>
                  <w:tcBorders>
                    <w:top w:val="nil"/>
                    <w:left w:val="single" w:sz="4" w:space="0" w:color="000000"/>
                    <w:bottom w:val="single" w:sz="8" w:space="0" w:color="auto"/>
                    <w:right w:val="single" w:sz="8" w:space="0" w:color="auto"/>
                  </w:tcBorders>
                  <w:vAlign w:val="center"/>
                  <w:hideMark/>
                </w:tcPr>
                <w:p w14:paraId="6995BE6B"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1.791.687</w:t>
                  </w:r>
                </w:p>
              </w:tc>
              <w:tc>
                <w:tcPr>
                  <w:tcW w:w="900" w:type="dxa"/>
                  <w:tcBorders>
                    <w:top w:val="nil"/>
                    <w:left w:val="single" w:sz="4" w:space="0" w:color="000000"/>
                    <w:bottom w:val="single" w:sz="8" w:space="0" w:color="auto"/>
                    <w:right w:val="single" w:sz="8" w:space="0" w:color="auto"/>
                  </w:tcBorders>
                  <w:vAlign w:val="center"/>
                  <w:hideMark/>
                </w:tcPr>
                <w:p w14:paraId="30B71093" w14:textId="77777777"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r w:rsidRPr="009D74A3">
                    <w:rPr>
                      <w:rFonts w:ascii="Times New Roman" w:eastAsia="Times New Roman" w:hAnsi="Times New Roman" w:cs="Times New Roman"/>
                      <w:color w:val="000000" w:themeColor="text1"/>
                      <w:sz w:val="20"/>
                      <w:szCs w:val="20"/>
                      <w:lang w:eastAsia="es-CO"/>
                    </w:rPr>
                    <w:t>100,0%</w:t>
                  </w:r>
                </w:p>
              </w:tc>
              <w:tc>
                <w:tcPr>
                  <w:tcW w:w="1960" w:type="dxa"/>
                  <w:tcBorders>
                    <w:top w:val="nil"/>
                    <w:left w:val="single" w:sz="4" w:space="0" w:color="000000"/>
                    <w:bottom w:val="single" w:sz="8" w:space="0" w:color="auto"/>
                    <w:right w:val="single" w:sz="8" w:space="0" w:color="auto"/>
                  </w:tcBorders>
                  <w:vAlign w:val="center"/>
                  <w:hideMark/>
                </w:tcPr>
                <w:p w14:paraId="7A039AFC" w14:textId="6EC17E62" w:rsidR="009D74A3" w:rsidRPr="009D74A3" w:rsidRDefault="009D74A3" w:rsidP="009D74A3">
                  <w:pPr>
                    <w:spacing w:after="0" w:line="240" w:lineRule="auto"/>
                    <w:jc w:val="center"/>
                    <w:rPr>
                      <w:rFonts w:ascii="Times New Roman" w:eastAsia="Times New Roman" w:hAnsi="Times New Roman" w:cs="Times New Roman"/>
                      <w:color w:val="000000" w:themeColor="text1"/>
                      <w:sz w:val="20"/>
                      <w:szCs w:val="20"/>
                      <w:lang w:eastAsia="es-CO"/>
                    </w:rPr>
                  </w:pPr>
                </w:p>
              </w:tc>
            </w:tr>
          </w:tbl>
          <w:p w14:paraId="454BF589" w14:textId="0839DBA2" w:rsidR="009D74A3" w:rsidRPr="00EA0322" w:rsidRDefault="009D74A3" w:rsidP="009C6D5B">
            <w:pPr>
              <w:contextualSpacing/>
              <w:jc w:val="center"/>
              <w:rPr>
                <w:rFonts w:ascii="Times New Roman" w:hAnsi="Times New Roman" w:cs="Times New Roman"/>
              </w:rPr>
            </w:pPr>
            <w:r w:rsidRPr="14E02FFB">
              <w:rPr>
                <w:rFonts w:ascii="Times New Roman" w:hAnsi="Times New Roman" w:cs="Times New Roman"/>
                <w:b/>
                <w:bCs/>
                <w:lang w:val="es-MX"/>
              </w:rPr>
              <w:t>Fuente</w:t>
            </w:r>
            <w:r w:rsidRPr="14E02FFB">
              <w:rPr>
                <w:rFonts w:ascii="Times New Roman" w:hAnsi="Times New Roman" w:cs="Times New Roman"/>
                <w:lang w:val="es-MX"/>
              </w:rPr>
              <w:t xml:space="preserve">: </w:t>
            </w:r>
            <w:r w:rsidRPr="14E02FFB">
              <w:rPr>
                <w:rFonts w:ascii="Times New Roman" w:hAnsi="Times New Roman" w:cs="Times New Roman"/>
              </w:rPr>
              <w:t>Secretaría Distrital de Hacienda</w:t>
            </w:r>
          </w:p>
          <w:p w14:paraId="547794DC" w14:textId="4D0BCD2D" w:rsidR="00A94DF0" w:rsidRPr="009D74A3" w:rsidRDefault="009D74A3" w:rsidP="008B29A2">
            <w:pPr>
              <w:contextualSpacing/>
              <w:rPr>
                <w:rFonts w:ascii="Times New Roman" w:hAnsi="Times New Roman" w:cs="Times New Roman"/>
              </w:rPr>
            </w:pPr>
            <w:r w:rsidRPr="00EA0322">
              <w:rPr>
                <w:rFonts w:ascii="Times New Roman" w:hAnsi="Times New Roman" w:cs="Times New Roman"/>
              </w:rPr>
              <w:t> </w:t>
            </w:r>
          </w:p>
          <w:p w14:paraId="0A96A50D" w14:textId="77777777" w:rsidR="00A94DF0" w:rsidRPr="009D74A3" w:rsidRDefault="00A94DF0">
            <w:pPr>
              <w:pStyle w:val="Ttulo3"/>
              <w:numPr>
                <w:ilvl w:val="2"/>
                <w:numId w:val="8"/>
              </w:numPr>
              <w:spacing w:before="0" w:after="0"/>
              <w:contextualSpacing/>
              <w:outlineLvl w:val="2"/>
              <w:rPr>
                <w:rFonts w:ascii="Times New Roman" w:hAnsi="Times New Roman" w:cs="Times New Roman"/>
                <w:b/>
                <w:sz w:val="24"/>
                <w:szCs w:val="24"/>
              </w:rPr>
            </w:pPr>
            <w:r w:rsidRPr="009D74A3">
              <w:rPr>
                <w:rFonts w:ascii="Times New Roman" w:hAnsi="Times New Roman" w:cs="Times New Roman"/>
                <w:b/>
                <w:color w:val="auto"/>
                <w:sz w:val="24"/>
                <w:szCs w:val="24"/>
                <w:lang w:val="es-ES"/>
              </w:rPr>
              <w:t>Nueva estructura tarifaria para predios industriales</w:t>
            </w:r>
            <w:r w:rsidRPr="009D74A3">
              <w:rPr>
                <w:rFonts w:ascii="Times New Roman" w:hAnsi="Times New Roman" w:cs="Times New Roman"/>
                <w:b/>
                <w:color w:val="auto"/>
                <w:sz w:val="24"/>
                <w:szCs w:val="24"/>
              </w:rPr>
              <w:t> </w:t>
            </w:r>
          </w:p>
          <w:p w14:paraId="50469121" w14:textId="77777777" w:rsidR="00A94DF0" w:rsidRPr="009D74A3" w:rsidRDefault="00A94DF0" w:rsidP="008B29A2">
            <w:pPr>
              <w:contextualSpacing/>
              <w:rPr>
                <w:rFonts w:ascii="Times New Roman" w:hAnsi="Times New Roman" w:cs="Times New Roman"/>
              </w:rPr>
            </w:pPr>
          </w:p>
          <w:p w14:paraId="3E3A7BAD" w14:textId="77777777" w:rsidR="00A94DF0" w:rsidRPr="009D74A3" w:rsidRDefault="00A94DF0" w:rsidP="008B29A2">
            <w:pPr>
              <w:contextualSpacing/>
              <w:jc w:val="both"/>
              <w:rPr>
                <w:rFonts w:ascii="Times New Roman" w:hAnsi="Times New Roman" w:cs="Times New Roman"/>
                <w:sz w:val="24"/>
                <w:szCs w:val="24"/>
              </w:rPr>
            </w:pPr>
            <w:r w:rsidRPr="009D74A3">
              <w:rPr>
                <w:rFonts w:ascii="Times New Roman" w:hAnsi="Times New Roman" w:cs="Times New Roman"/>
                <w:sz w:val="24"/>
                <w:szCs w:val="24"/>
                <w:lang w:val="es-ES"/>
              </w:rPr>
              <w:t>El artículo 1° del Acuerdo 105 de 2003 define los predios industriales como aquellos donde se desarrollan actividades de producción, fabricación, preparación, recuperación, reproducción, ensamblaje, construcción, transformación, tratamiento y manipulación de materias primas para producir bienes o productos materiales. Incluye los inmuebles donde se desarrolle actividad agrícola, pecuaria, forestal y agroindustrial.</w:t>
            </w:r>
            <w:r w:rsidRPr="009D74A3">
              <w:rPr>
                <w:rFonts w:ascii="Times New Roman" w:hAnsi="Times New Roman" w:cs="Times New Roman"/>
                <w:sz w:val="24"/>
                <w:szCs w:val="24"/>
              </w:rPr>
              <w:t> </w:t>
            </w:r>
          </w:p>
          <w:p w14:paraId="64A769C5" w14:textId="77777777" w:rsidR="00A94DF0" w:rsidRPr="009D74A3" w:rsidRDefault="00A94DF0" w:rsidP="008B29A2">
            <w:pPr>
              <w:contextualSpacing/>
              <w:jc w:val="both"/>
              <w:rPr>
                <w:rFonts w:ascii="Times New Roman" w:hAnsi="Times New Roman" w:cs="Times New Roman"/>
                <w:sz w:val="24"/>
                <w:szCs w:val="24"/>
              </w:rPr>
            </w:pPr>
          </w:p>
          <w:p w14:paraId="0591A72D" w14:textId="5D58CA9F" w:rsidR="00A94DF0" w:rsidRPr="009D74A3" w:rsidRDefault="00A94DF0" w:rsidP="008B29A2">
            <w:pPr>
              <w:contextualSpacing/>
              <w:jc w:val="both"/>
              <w:rPr>
                <w:rFonts w:ascii="Times New Roman" w:hAnsi="Times New Roman" w:cs="Times New Roman"/>
                <w:sz w:val="24"/>
                <w:szCs w:val="24"/>
                <w:lang w:val="es-ES"/>
              </w:rPr>
            </w:pPr>
            <w:r w:rsidRPr="009D74A3">
              <w:rPr>
                <w:rFonts w:ascii="Times New Roman" w:hAnsi="Times New Roman" w:cs="Times New Roman"/>
                <w:sz w:val="24"/>
                <w:szCs w:val="24"/>
                <w:lang w:val="es-ES"/>
              </w:rPr>
              <w:t>De acuerdo con el artículo 1° del Acuerdo 648 de 2016, la tarifa que se les aplica varía dependiendo del impacto ambiental del mismo, de manera que los predios de bajo impacto tributarán con una tarifa del 8,5 por mil, los de impacto medio lo harán con una tarifa de 9 por mil y los que tengan un impacto ambiental alto, tendrán una tarifa de 10 por mil. Para 2024 se registraron 12.233 predios con el destino hacendario industrial, de los cuales 84 (0,7%) liquidaron su impuesto con una tarifa de 8</w:t>
            </w:r>
            <w:r w:rsidR="00716567" w:rsidRPr="009D74A3">
              <w:rPr>
                <w:rFonts w:ascii="Times New Roman" w:hAnsi="Times New Roman" w:cs="Times New Roman"/>
                <w:sz w:val="24"/>
                <w:szCs w:val="24"/>
                <w:lang w:val="es-ES"/>
              </w:rPr>
              <w:t>,</w:t>
            </w:r>
            <w:r w:rsidRPr="009D74A3">
              <w:rPr>
                <w:rFonts w:ascii="Times New Roman" w:hAnsi="Times New Roman" w:cs="Times New Roman"/>
                <w:sz w:val="24"/>
                <w:szCs w:val="24"/>
                <w:lang w:val="es-ES"/>
              </w:rPr>
              <w:t>5 por mil, mientras que 12.149 (99,3%) lo hicieron con la del 10 por mil, se resalta que ningún inmueble liquid</w:t>
            </w:r>
            <w:r w:rsidR="00716567" w:rsidRPr="009D74A3">
              <w:rPr>
                <w:rFonts w:ascii="Times New Roman" w:hAnsi="Times New Roman" w:cs="Times New Roman"/>
                <w:sz w:val="24"/>
                <w:szCs w:val="24"/>
                <w:lang w:val="es-ES"/>
              </w:rPr>
              <w:t>ó</w:t>
            </w:r>
            <w:r w:rsidRPr="009D74A3">
              <w:rPr>
                <w:rFonts w:ascii="Times New Roman" w:hAnsi="Times New Roman" w:cs="Times New Roman"/>
                <w:sz w:val="24"/>
                <w:szCs w:val="24"/>
                <w:lang w:val="es-ES"/>
              </w:rPr>
              <w:t xml:space="preserve"> su impuesto con la tarifa de impacto ambiental medio para esta vigencia. </w:t>
            </w:r>
          </w:p>
          <w:p w14:paraId="3FC71F72" w14:textId="0E42BE5B" w:rsidR="00A94DF0" w:rsidRPr="009D74A3" w:rsidRDefault="00F03DA0" w:rsidP="008B29A2">
            <w:pPr>
              <w:contextualSpacing/>
              <w:jc w:val="both"/>
              <w:rPr>
                <w:rFonts w:ascii="Times New Roman" w:hAnsi="Times New Roman" w:cs="Times New Roman"/>
                <w:sz w:val="24"/>
                <w:szCs w:val="24"/>
              </w:rPr>
            </w:pPr>
            <w:r w:rsidRPr="009D74A3">
              <w:rPr>
                <w:rFonts w:ascii="Times New Roman" w:hAnsi="Times New Roman" w:cs="Times New Roman"/>
                <w:sz w:val="24"/>
                <w:szCs w:val="24"/>
                <w:lang w:val="es-ES"/>
              </w:rPr>
              <w:t xml:space="preserve"> </w:t>
            </w:r>
          </w:p>
          <w:p w14:paraId="550E37CC" w14:textId="77777777" w:rsidR="00A94DF0" w:rsidRPr="009D74A3" w:rsidRDefault="00A94DF0" w:rsidP="008B29A2">
            <w:pPr>
              <w:contextualSpacing/>
              <w:jc w:val="both"/>
              <w:rPr>
                <w:rFonts w:ascii="Times New Roman" w:hAnsi="Times New Roman" w:cs="Times New Roman"/>
                <w:sz w:val="24"/>
                <w:szCs w:val="24"/>
                <w:lang w:val="es-ES"/>
              </w:rPr>
            </w:pPr>
            <w:r w:rsidRPr="009D74A3">
              <w:rPr>
                <w:rFonts w:ascii="Times New Roman" w:hAnsi="Times New Roman" w:cs="Times New Roman"/>
                <w:sz w:val="24"/>
                <w:szCs w:val="24"/>
                <w:lang w:val="es-ES"/>
              </w:rPr>
              <w:t xml:space="preserve">Los predios que usan la tarifa de impacto bajo presentan un avalúo promedio de $20.306 millones, superando en $18.933 millones al promedio del avalúo de los predios con tarifa de 10 por mil que es de $1.374 millones. Estas diferencias son estructurales ya que la mediana del avalúo en los predios con tarifa baja es de $4.297 millones, mientras que la mediana de los que usan la tarifa alta es de $548 millones, incluso el predio con menor valor de tarifa baja es de $777 millones, superando al mínimo avalúo del 35% de los predios con mayor valor que usan la tarifa del 10. </w:t>
            </w:r>
          </w:p>
          <w:p w14:paraId="241CBEA0" w14:textId="77777777" w:rsidR="000A21D2" w:rsidRDefault="000A21D2" w:rsidP="009D74A3">
            <w:pPr>
              <w:contextualSpacing/>
              <w:jc w:val="both"/>
              <w:rPr>
                <w:rFonts w:ascii="Times New Roman" w:hAnsi="Times New Roman" w:cs="Times New Roman"/>
                <w:sz w:val="24"/>
                <w:szCs w:val="24"/>
                <w:lang w:val="es-ES"/>
              </w:rPr>
            </w:pPr>
          </w:p>
          <w:p w14:paraId="55CF3966" w14:textId="75BBC542" w:rsidR="009D74A3" w:rsidRPr="00913386" w:rsidRDefault="009D74A3" w:rsidP="009D74A3">
            <w:pPr>
              <w:contextualSpacing/>
              <w:jc w:val="both"/>
              <w:rPr>
                <w:rFonts w:ascii="Times New Roman" w:hAnsi="Times New Roman" w:cs="Times New Roman"/>
                <w:sz w:val="24"/>
                <w:szCs w:val="24"/>
              </w:rPr>
            </w:pPr>
            <w:r w:rsidRPr="14E02FFB">
              <w:rPr>
                <w:rFonts w:ascii="Times New Roman" w:hAnsi="Times New Roman" w:cs="Times New Roman"/>
                <w:sz w:val="24"/>
                <w:szCs w:val="24"/>
                <w:lang w:val="es-ES"/>
              </w:rPr>
              <w:t xml:space="preserve">Ahora bien, la propuesta de modificación tarifaria establece 4 grupos que dependerán </w:t>
            </w:r>
            <w:r w:rsidR="00604A2D">
              <w:rPr>
                <w:rFonts w:ascii="Times New Roman" w:hAnsi="Times New Roman" w:cs="Times New Roman"/>
                <w:sz w:val="24"/>
                <w:szCs w:val="24"/>
                <w:lang w:val="es-ES"/>
              </w:rPr>
              <w:t>de la base gravable</w:t>
            </w:r>
            <w:r w:rsidRPr="14E02FFB">
              <w:rPr>
                <w:rFonts w:ascii="Times New Roman" w:hAnsi="Times New Roman" w:cs="Times New Roman"/>
                <w:sz w:val="24"/>
                <w:szCs w:val="24"/>
                <w:lang w:val="es-ES"/>
              </w:rPr>
              <w:t xml:space="preserve"> del inmueble, dejando de lado la consideración del impacto ambiental sobre la cual se sustentan las tasas impositivas de los predios industriales actualmente. La asignación de los valores comienza en 8 por mil (inferior a la tarifa más baja actual) y llega hasta el 11 por mil. En la tabla </w:t>
            </w:r>
            <w:r w:rsidR="00EC3289">
              <w:rPr>
                <w:rFonts w:ascii="Times New Roman" w:hAnsi="Times New Roman" w:cs="Times New Roman"/>
                <w:sz w:val="24"/>
                <w:szCs w:val="24"/>
                <w:lang w:val="es-ES"/>
              </w:rPr>
              <w:t>2</w:t>
            </w:r>
            <w:r w:rsidRPr="14E02FFB">
              <w:rPr>
                <w:rFonts w:ascii="Times New Roman" w:hAnsi="Times New Roman" w:cs="Times New Roman"/>
                <w:sz w:val="24"/>
                <w:szCs w:val="24"/>
                <w:lang w:val="es-ES"/>
              </w:rPr>
              <w:t xml:space="preserve">4 se simulan los resultados de aplicar las cuatro tarifas sobre los 12.233 predios industriales que se registran en 2024. El resultado es que el 74% disminuyen su tarifa; 20% quedan con la misma alícuota y solo 5,3% aumentan. </w:t>
            </w:r>
          </w:p>
          <w:p w14:paraId="09D9D8B9" w14:textId="77777777" w:rsidR="009D74A3" w:rsidRPr="00EA0322" w:rsidRDefault="009D74A3" w:rsidP="009D74A3">
            <w:pPr>
              <w:contextualSpacing/>
              <w:jc w:val="both"/>
              <w:rPr>
                <w:rFonts w:ascii="Times New Roman" w:hAnsi="Times New Roman" w:cs="Times New Roman"/>
              </w:rPr>
            </w:pPr>
          </w:p>
          <w:p w14:paraId="055BDC72" w14:textId="5F1D8D4F" w:rsidR="009D74A3" w:rsidRPr="00473F76" w:rsidRDefault="009D74A3" w:rsidP="009D74A3">
            <w:pPr>
              <w:contextualSpacing/>
              <w:jc w:val="center"/>
              <w:rPr>
                <w:rFonts w:ascii="Times New Roman" w:hAnsi="Times New Roman" w:cs="Times New Roman"/>
                <w:b/>
              </w:rPr>
            </w:pPr>
            <w:r w:rsidRPr="00473F76">
              <w:rPr>
                <w:rFonts w:ascii="Times New Roman" w:hAnsi="Times New Roman" w:cs="Times New Roman"/>
                <w:b/>
              </w:rPr>
              <w:t xml:space="preserve">Tabla </w:t>
            </w:r>
            <w:r w:rsidR="00D07D87">
              <w:rPr>
                <w:rFonts w:ascii="Times New Roman" w:hAnsi="Times New Roman" w:cs="Times New Roman"/>
                <w:b/>
              </w:rPr>
              <w:t>24</w:t>
            </w:r>
          </w:p>
          <w:p w14:paraId="3024AD79" w14:textId="77777777" w:rsidR="009D74A3" w:rsidRPr="00EA0322" w:rsidRDefault="009D74A3" w:rsidP="009D74A3">
            <w:pPr>
              <w:contextualSpacing/>
              <w:jc w:val="center"/>
              <w:rPr>
                <w:rFonts w:ascii="Times New Roman" w:hAnsi="Times New Roman" w:cs="Times New Roman"/>
                <w:b/>
                <w:bCs/>
                <w:i/>
                <w:iCs/>
              </w:rPr>
            </w:pPr>
            <w:r w:rsidRPr="00EA0322">
              <w:rPr>
                <w:rFonts w:ascii="Times New Roman" w:hAnsi="Times New Roman" w:cs="Times New Roman"/>
                <w:b/>
                <w:bCs/>
                <w:lang w:val="es-ES"/>
              </w:rPr>
              <w:t>Propuesta de tarifas progresivas en los predios industriales.</w:t>
            </w:r>
          </w:p>
          <w:tbl>
            <w:tblPr>
              <w:tblW w:w="0" w:type="dxa"/>
              <w:jc w:val="center"/>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965"/>
              <w:gridCol w:w="1965"/>
              <w:gridCol w:w="705"/>
              <w:gridCol w:w="990"/>
              <w:gridCol w:w="1095"/>
            </w:tblGrid>
            <w:tr w:rsidR="009D74A3" w:rsidRPr="00EA0322" w14:paraId="0113F4B8" w14:textId="77777777" w:rsidTr="00740130">
              <w:trPr>
                <w:trHeight w:val="300"/>
                <w:jc w:val="center"/>
              </w:trPr>
              <w:tc>
                <w:tcPr>
                  <w:tcW w:w="6720" w:type="dxa"/>
                  <w:gridSpan w:val="5"/>
                  <w:tcBorders>
                    <w:top w:val="single" w:sz="6" w:space="0" w:color="auto"/>
                    <w:left w:val="single" w:sz="6" w:space="0" w:color="auto"/>
                    <w:bottom w:val="single" w:sz="6" w:space="0" w:color="auto"/>
                    <w:right w:val="single" w:sz="6" w:space="0" w:color="auto"/>
                  </w:tcBorders>
                  <w:shd w:val="clear" w:color="auto" w:fill="002060"/>
                  <w:vAlign w:val="center"/>
                  <w:hideMark/>
                </w:tcPr>
                <w:p w14:paraId="0A1FCD4F" w14:textId="77777777" w:rsidR="009D74A3" w:rsidRPr="005C5867" w:rsidRDefault="009D74A3" w:rsidP="009D74A3">
                  <w:pPr>
                    <w:pStyle w:val="Sinespaciado"/>
                    <w:contextualSpacing/>
                    <w:rPr>
                      <w:rFonts w:ascii="Times New Roman" w:hAnsi="Times New Roman" w:cs="Times New Roman"/>
                      <w:color w:val="FFFFFF" w:themeColor="background1"/>
                    </w:rPr>
                  </w:pPr>
                  <w:r w:rsidRPr="005C5867">
                    <w:rPr>
                      <w:rFonts w:ascii="Times New Roman" w:hAnsi="Times New Roman" w:cs="Times New Roman"/>
                      <w:color w:val="FFFFFF" w:themeColor="background1"/>
                    </w:rPr>
                    <w:t>Grupos de predios industriales según la BG (Avalúo)</w:t>
                  </w:r>
                  <w:r>
                    <w:rPr>
                      <w:rFonts w:ascii="Times New Roman" w:hAnsi="Times New Roman" w:cs="Times New Roman"/>
                      <w:color w:val="FFFFFF" w:themeColor="background1"/>
                    </w:rPr>
                    <w:t xml:space="preserve"> </w:t>
                  </w:r>
                </w:p>
              </w:tc>
            </w:tr>
            <w:tr w:rsidR="009D74A3" w:rsidRPr="00EA0322" w14:paraId="3D00490E" w14:textId="77777777" w:rsidTr="00740130">
              <w:trPr>
                <w:trHeight w:val="300"/>
                <w:jc w:val="center"/>
              </w:trPr>
              <w:tc>
                <w:tcPr>
                  <w:tcW w:w="1965" w:type="dxa"/>
                  <w:tcBorders>
                    <w:top w:val="nil"/>
                    <w:left w:val="single" w:sz="6" w:space="0" w:color="auto"/>
                    <w:bottom w:val="single" w:sz="6" w:space="0" w:color="auto"/>
                    <w:right w:val="single" w:sz="6" w:space="0" w:color="auto"/>
                  </w:tcBorders>
                  <w:shd w:val="clear" w:color="auto" w:fill="002060"/>
                  <w:vAlign w:val="center"/>
                  <w:hideMark/>
                </w:tcPr>
                <w:p w14:paraId="759FDFFA" w14:textId="77777777" w:rsidR="009D74A3" w:rsidRPr="005C5867" w:rsidRDefault="009D74A3" w:rsidP="009D74A3">
                  <w:pPr>
                    <w:pStyle w:val="Sinespaciado"/>
                    <w:contextualSpacing/>
                    <w:rPr>
                      <w:rFonts w:ascii="Times New Roman" w:hAnsi="Times New Roman" w:cs="Times New Roman"/>
                      <w:color w:val="FFFFFF" w:themeColor="background1"/>
                    </w:rPr>
                  </w:pPr>
                  <w:r w:rsidRPr="005C5867">
                    <w:rPr>
                      <w:rFonts w:ascii="Times New Roman" w:hAnsi="Times New Roman" w:cs="Times New Roman"/>
                      <w:color w:val="FFFFFF" w:themeColor="background1"/>
                    </w:rPr>
                    <w:t>Límite inferior</w:t>
                  </w:r>
                  <w:r>
                    <w:rPr>
                      <w:rFonts w:ascii="Times New Roman" w:hAnsi="Times New Roman" w:cs="Times New Roman"/>
                      <w:color w:val="FFFFFF" w:themeColor="background1"/>
                    </w:rPr>
                    <w:t xml:space="preserve"> </w:t>
                  </w:r>
                </w:p>
              </w:tc>
              <w:tc>
                <w:tcPr>
                  <w:tcW w:w="1965" w:type="dxa"/>
                  <w:tcBorders>
                    <w:top w:val="nil"/>
                    <w:left w:val="nil"/>
                    <w:bottom w:val="single" w:sz="6" w:space="0" w:color="auto"/>
                    <w:right w:val="single" w:sz="6" w:space="0" w:color="auto"/>
                  </w:tcBorders>
                  <w:shd w:val="clear" w:color="auto" w:fill="002060"/>
                  <w:vAlign w:val="center"/>
                  <w:hideMark/>
                </w:tcPr>
                <w:p w14:paraId="11606F50" w14:textId="77777777" w:rsidR="009D74A3" w:rsidRPr="005C5867" w:rsidRDefault="009D74A3" w:rsidP="009D74A3">
                  <w:pPr>
                    <w:pStyle w:val="Sinespaciado"/>
                    <w:contextualSpacing/>
                    <w:rPr>
                      <w:rFonts w:ascii="Times New Roman" w:hAnsi="Times New Roman" w:cs="Times New Roman"/>
                      <w:color w:val="FFFFFF" w:themeColor="background1"/>
                    </w:rPr>
                  </w:pPr>
                  <w:r w:rsidRPr="005C5867">
                    <w:rPr>
                      <w:rFonts w:ascii="Times New Roman" w:hAnsi="Times New Roman" w:cs="Times New Roman"/>
                      <w:color w:val="FFFFFF" w:themeColor="background1"/>
                    </w:rPr>
                    <w:t>Límite superior </w:t>
                  </w:r>
                </w:p>
              </w:tc>
              <w:tc>
                <w:tcPr>
                  <w:tcW w:w="705" w:type="dxa"/>
                  <w:tcBorders>
                    <w:top w:val="nil"/>
                    <w:left w:val="nil"/>
                    <w:bottom w:val="single" w:sz="6" w:space="0" w:color="auto"/>
                    <w:right w:val="single" w:sz="6" w:space="0" w:color="auto"/>
                  </w:tcBorders>
                  <w:shd w:val="clear" w:color="auto" w:fill="002060"/>
                  <w:vAlign w:val="center"/>
                  <w:hideMark/>
                </w:tcPr>
                <w:p w14:paraId="3B9B07E2" w14:textId="77777777" w:rsidR="009D74A3" w:rsidRPr="005C5867" w:rsidRDefault="009D74A3" w:rsidP="009D74A3">
                  <w:pPr>
                    <w:pStyle w:val="Sinespaciado"/>
                    <w:contextualSpacing/>
                    <w:rPr>
                      <w:rFonts w:ascii="Times New Roman" w:hAnsi="Times New Roman" w:cs="Times New Roman"/>
                      <w:color w:val="FFFFFF" w:themeColor="background1"/>
                    </w:rPr>
                  </w:pPr>
                  <w:r w:rsidRPr="005C5867">
                    <w:rPr>
                      <w:rFonts w:ascii="Times New Roman" w:hAnsi="Times New Roman" w:cs="Times New Roman"/>
                      <w:color w:val="FFFFFF" w:themeColor="background1"/>
                    </w:rPr>
                    <w:t>Tarifa</w:t>
                  </w:r>
                  <w:r>
                    <w:rPr>
                      <w:rFonts w:ascii="Times New Roman" w:hAnsi="Times New Roman" w:cs="Times New Roman"/>
                      <w:color w:val="FFFFFF" w:themeColor="background1"/>
                    </w:rPr>
                    <w:t xml:space="preserve"> </w:t>
                  </w:r>
                </w:p>
              </w:tc>
              <w:tc>
                <w:tcPr>
                  <w:tcW w:w="990" w:type="dxa"/>
                  <w:tcBorders>
                    <w:top w:val="nil"/>
                    <w:left w:val="nil"/>
                    <w:bottom w:val="single" w:sz="6" w:space="0" w:color="auto"/>
                    <w:right w:val="single" w:sz="6" w:space="0" w:color="auto"/>
                  </w:tcBorders>
                  <w:shd w:val="clear" w:color="auto" w:fill="002060"/>
                  <w:vAlign w:val="center"/>
                  <w:hideMark/>
                </w:tcPr>
                <w:p w14:paraId="458A4F4E" w14:textId="77777777" w:rsidR="009D74A3" w:rsidRPr="005C5867" w:rsidRDefault="009D74A3" w:rsidP="009D74A3">
                  <w:pPr>
                    <w:pStyle w:val="Sinespaciado"/>
                    <w:contextualSpacing/>
                    <w:rPr>
                      <w:rFonts w:ascii="Times New Roman" w:hAnsi="Times New Roman" w:cs="Times New Roman"/>
                      <w:color w:val="FFFFFF" w:themeColor="background1"/>
                    </w:rPr>
                  </w:pPr>
                  <w:r w:rsidRPr="005C5867">
                    <w:rPr>
                      <w:rFonts w:ascii="Times New Roman" w:hAnsi="Times New Roman" w:cs="Times New Roman"/>
                      <w:color w:val="FFFFFF" w:themeColor="background1"/>
                    </w:rPr>
                    <w:t>Predios</w:t>
                  </w:r>
                  <w:r>
                    <w:rPr>
                      <w:rFonts w:ascii="Times New Roman" w:hAnsi="Times New Roman" w:cs="Times New Roman"/>
                      <w:color w:val="FFFFFF" w:themeColor="background1"/>
                    </w:rPr>
                    <w:t xml:space="preserve"> </w:t>
                  </w:r>
                </w:p>
              </w:tc>
              <w:tc>
                <w:tcPr>
                  <w:tcW w:w="1080" w:type="dxa"/>
                  <w:tcBorders>
                    <w:top w:val="nil"/>
                    <w:left w:val="nil"/>
                    <w:bottom w:val="single" w:sz="6" w:space="0" w:color="auto"/>
                    <w:right w:val="single" w:sz="6" w:space="0" w:color="auto"/>
                  </w:tcBorders>
                  <w:shd w:val="clear" w:color="auto" w:fill="002060"/>
                  <w:vAlign w:val="center"/>
                  <w:hideMark/>
                </w:tcPr>
                <w:p w14:paraId="661133E2" w14:textId="77777777" w:rsidR="009D74A3" w:rsidRPr="005C5867" w:rsidRDefault="009D74A3" w:rsidP="009D74A3">
                  <w:pPr>
                    <w:pStyle w:val="Sinespaciado"/>
                    <w:contextualSpacing/>
                    <w:rPr>
                      <w:rFonts w:ascii="Times New Roman" w:hAnsi="Times New Roman" w:cs="Times New Roman"/>
                      <w:color w:val="FFFFFF" w:themeColor="background1"/>
                    </w:rPr>
                  </w:pPr>
                  <w:r w:rsidRPr="005C5867">
                    <w:rPr>
                      <w:rFonts w:ascii="Times New Roman" w:hAnsi="Times New Roman" w:cs="Times New Roman"/>
                      <w:color w:val="FFFFFF" w:themeColor="background1"/>
                    </w:rPr>
                    <w:t>% </w:t>
                  </w:r>
                </w:p>
              </w:tc>
            </w:tr>
            <w:tr w:rsidR="009D74A3" w:rsidRPr="00EA0322" w14:paraId="7B2352B4" w14:textId="77777777" w:rsidTr="00740130">
              <w:trPr>
                <w:trHeight w:val="300"/>
                <w:jc w:val="center"/>
              </w:trPr>
              <w:tc>
                <w:tcPr>
                  <w:tcW w:w="1965" w:type="dxa"/>
                  <w:tcBorders>
                    <w:top w:val="nil"/>
                    <w:left w:val="single" w:sz="6" w:space="0" w:color="auto"/>
                    <w:bottom w:val="single" w:sz="6" w:space="0" w:color="auto"/>
                    <w:right w:val="single" w:sz="6" w:space="0" w:color="auto"/>
                  </w:tcBorders>
                  <w:vAlign w:val="center"/>
                  <w:hideMark/>
                </w:tcPr>
                <w:p w14:paraId="4EFF83C3"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$ 0 </w:t>
                  </w:r>
                </w:p>
              </w:tc>
              <w:tc>
                <w:tcPr>
                  <w:tcW w:w="1965" w:type="dxa"/>
                  <w:tcBorders>
                    <w:top w:val="nil"/>
                    <w:left w:val="nil"/>
                    <w:bottom w:val="single" w:sz="6" w:space="0" w:color="auto"/>
                    <w:right w:val="nil"/>
                  </w:tcBorders>
                  <w:vAlign w:val="center"/>
                  <w:hideMark/>
                </w:tcPr>
                <w:p w14:paraId="3B6EBC56"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$ 508.008.000 </w:t>
                  </w:r>
                </w:p>
              </w:tc>
              <w:tc>
                <w:tcPr>
                  <w:tcW w:w="705" w:type="dxa"/>
                  <w:tcBorders>
                    <w:top w:val="nil"/>
                    <w:left w:val="single" w:sz="6" w:space="0" w:color="auto"/>
                    <w:bottom w:val="single" w:sz="6" w:space="0" w:color="auto"/>
                    <w:right w:val="single" w:sz="6" w:space="0" w:color="auto"/>
                  </w:tcBorders>
                  <w:vAlign w:val="center"/>
                  <w:hideMark/>
                </w:tcPr>
                <w:p w14:paraId="223C09AF"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8 </w:t>
                  </w:r>
                </w:p>
              </w:tc>
              <w:tc>
                <w:tcPr>
                  <w:tcW w:w="990" w:type="dxa"/>
                  <w:tcBorders>
                    <w:top w:val="nil"/>
                    <w:left w:val="nil"/>
                    <w:bottom w:val="single" w:sz="6" w:space="0" w:color="auto"/>
                    <w:right w:val="single" w:sz="6" w:space="0" w:color="auto"/>
                  </w:tcBorders>
                  <w:vAlign w:val="center"/>
                  <w:hideMark/>
                </w:tcPr>
                <w:p w14:paraId="744C3B43"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5.632 </w:t>
                  </w:r>
                </w:p>
              </w:tc>
              <w:tc>
                <w:tcPr>
                  <w:tcW w:w="1080" w:type="dxa"/>
                  <w:tcBorders>
                    <w:top w:val="nil"/>
                    <w:left w:val="nil"/>
                    <w:bottom w:val="single" w:sz="6" w:space="0" w:color="auto"/>
                    <w:right w:val="single" w:sz="6" w:space="0" w:color="auto"/>
                  </w:tcBorders>
                  <w:vAlign w:val="center"/>
                  <w:hideMark/>
                </w:tcPr>
                <w:p w14:paraId="2B8A7E7D"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46,0% </w:t>
                  </w:r>
                </w:p>
              </w:tc>
            </w:tr>
            <w:tr w:rsidR="009D74A3" w:rsidRPr="00EA0322" w14:paraId="056D5FE4" w14:textId="77777777" w:rsidTr="00740130">
              <w:trPr>
                <w:trHeight w:val="300"/>
                <w:jc w:val="center"/>
              </w:trPr>
              <w:tc>
                <w:tcPr>
                  <w:tcW w:w="1965" w:type="dxa"/>
                  <w:tcBorders>
                    <w:top w:val="nil"/>
                    <w:left w:val="single" w:sz="6" w:space="0" w:color="auto"/>
                    <w:bottom w:val="single" w:sz="6" w:space="0" w:color="auto"/>
                    <w:right w:val="single" w:sz="6" w:space="0" w:color="auto"/>
                  </w:tcBorders>
                  <w:vAlign w:val="center"/>
                  <w:hideMark/>
                </w:tcPr>
                <w:p w14:paraId="1528C6AB"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$ 508.008.000 </w:t>
                  </w:r>
                </w:p>
              </w:tc>
              <w:tc>
                <w:tcPr>
                  <w:tcW w:w="1965" w:type="dxa"/>
                  <w:tcBorders>
                    <w:top w:val="nil"/>
                    <w:left w:val="nil"/>
                    <w:bottom w:val="single" w:sz="6" w:space="0" w:color="auto"/>
                    <w:right w:val="nil"/>
                  </w:tcBorders>
                  <w:vAlign w:val="center"/>
                  <w:hideMark/>
                </w:tcPr>
                <w:p w14:paraId="585A4A96"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$ 985.210.500 </w:t>
                  </w:r>
                </w:p>
              </w:tc>
              <w:tc>
                <w:tcPr>
                  <w:tcW w:w="705" w:type="dxa"/>
                  <w:tcBorders>
                    <w:top w:val="nil"/>
                    <w:left w:val="single" w:sz="6" w:space="0" w:color="auto"/>
                    <w:bottom w:val="single" w:sz="6" w:space="0" w:color="auto"/>
                    <w:right w:val="single" w:sz="6" w:space="0" w:color="auto"/>
                  </w:tcBorders>
                  <w:vAlign w:val="center"/>
                  <w:hideMark/>
                </w:tcPr>
                <w:p w14:paraId="1AEC4CBD"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9 </w:t>
                  </w:r>
                </w:p>
              </w:tc>
              <w:tc>
                <w:tcPr>
                  <w:tcW w:w="990" w:type="dxa"/>
                  <w:tcBorders>
                    <w:top w:val="nil"/>
                    <w:left w:val="nil"/>
                    <w:bottom w:val="single" w:sz="6" w:space="0" w:color="auto"/>
                    <w:right w:val="single" w:sz="6" w:space="0" w:color="auto"/>
                  </w:tcBorders>
                  <w:vAlign w:val="center"/>
                  <w:hideMark/>
                </w:tcPr>
                <w:p w14:paraId="7648A5E1"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3.488 </w:t>
                  </w:r>
                </w:p>
              </w:tc>
              <w:tc>
                <w:tcPr>
                  <w:tcW w:w="1080" w:type="dxa"/>
                  <w:tcBorders>
                    <w:top w:val="nil"/>
                    <w:left w:val="nil"/>
                    <w:bottom w:val="single" w:sz="6" w:space="0" w:color="auto"/>
                    <w:right w:val="single" w:sz="6" w:space="0" w:color="auto"/>
                  </w:tcBorders>
                  <w:vAlign w:val="center"/>
                  <w:hideMark/>
                </w:tcPr>
                <w:p w14:paraId="5C10A3EB"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28,5% </w:t>
                  </w:r>
                </w:p>
              </w:tc>
            </w:tr>
            <w:tr w:rsidR="009D74A3" w:rsidRPr="00EA0322" w14:paraId="77D90632" w14:textId="77777777" w:rsidTr="00740130">
              <w:trPr>
                <w:trHeight w:val="300"/>
                <w:jc w:val="center"/>
              </w:trPr>
              <w:tc>
                <w:tcPr>
                  <w:tcW w:w="1965" w:type="dxa"/>
                  <w:tcBorders>
                    <w:top w:val="nil"/>
                    <w:left w:val="single" w:sz="6" w:space="0" w:color="auto"/>
                    <w:bottom w:val="single" w:sz="6" w:space="0" w:color="auto"/>
                    <w:right w:val="single" w:sz="6" w:space="0" w:color="auto"/>
                  </w:tcBorders>
                  <w:vAlign w:val="center"/>
                  <w:hideMark/>
                </w:tcPr>
                <w:p w14:paraId="5004686C"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$ 985.210.500 </w:t>
                  </w:r>
                </w:p>
              </w:tc>
              <w:tc>
                <w:tcPr>
                  <w:tcW w:w="1965" w:type="dxa"/>
                  <w:tcBorders>
                    <w:top w:val="nil"/>
                    <w:left w:val="nil"/>
                    <w:bottom w:val="single" w:sz="6" w:space="0" w:color="auto"/>
                    <w:right w:val="nil"/>
                  </w:tcBorders>
                  <w:vAlign w:val="center"/>
                  <w:hideMark/>
                </w:tcPr>
                <w:p w14:paraId="5426D2B9"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$ 4.302.767.600 </w:t>
                  </w:r>
                </w:p>
              </w:tc>
              <w:tc>
                <w:tcPr>
                  <w:tcW w:w="705" w:type="dxa"/>
                  <w:tcBorders>
                    <w:top w:val="nil"/>
                    <w:left w:val="single" w:sz="6" w:space="0" w:color="auto"/>
                    <w:bottom w:val="single" w:sz="6" w:space="0" w:color="auto"/>
                    <w:right w:val="single" w:sz="6" w:space="0" w:color="auto"/>
                  </w:tcBorders>
                  <w:vAlign w:val="center"/>
                  <w:hideMark/>
                </w:tcPr>
                <w:p w14:paraId="706ED4BA"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10 </w:t>
                  </w:r>
                </w:p>
              </w:tc>
              <w:tc>
                <w:tcPr>
                  <w:tcW w:w="990" w:type="dxa"/>
                  <w:tcBorders>
                    <w:top w:val="nil"/>
                    <w:left w:val="nil"/>
                    <w:bottom w:val="single" w:sz="6" w:space="0" w:color="auto"/>
                    <w:right w:val="single" w:sz="6" w:space="0" w:color="auto"/>
                  </w:tcBorders>
                  <w:vAlign w:val="center"/>
                  <w:hideMark/>
                </w:tcPr>
                <w:p w14:paraId="66E3D562"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2.502 </w:t>
                  </w:r>
                </w:p>
              </w:tc>
              <w:tc>
                <w:tcPr>
                  <w:tcW w:w="1080" w:type="dxa"/>
                  <w:tcBorders>
                    <w:top w:val="nil"/>
                    <w:left w:val="nil"/>
                    <w:bottom w:val="single" w:sz="6" w:space="0" w:color="auto"/>
                    <w:right w:val="single" w:sz="6" w:space="0" w:color="auto"/>
                  </w:tcBorders>
                  <w:vAlign w:val="center"/>
                  <w:hideMark/>
                </w:tcPr>
                <w:p w14:paraId="4D7E0D82"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20,5% </w:t>
                  </w:r>
                </w:p>
              </w:tc>
            </w:tr>
            <w:tr w:rsidR="009D74A3" w:rsidRPr="00EA0322" w14:paraId="21663F0F" w14:textId="77777777" w:rsidTr="00740130">
              <w:trPr>
                <w:trHeight w:val="300"/>
                <w:jc w:val="center"/>
              </w:trPr>
              <w:tc>
                <w:tcPr>
                  <w:tcW w:w="1965" w:type="dxa"/>
                  <w:tcBorders>
                    <w:top w:val="nil"/>
                    <w:left w:val="single" w:sz="6" w:space="0" w:color="auto"/>
                    <w:bottom w:val="single" w:sz="6" w:space="0" w:color="auto"/>
                    <w:right w:val="single" w:sz="6" w:space="0" w:color="auto"/>
                  </w:tcBorders>
                  <w:vAlign w:val="center"/>
                  <w:hideMark/>
                </w:tcPr>
                <w:p w14:paraId="5BCFA16D"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$ 4.302.767.600 </w:t>
                  </w:r>
                </w:p>
              </w:tc>
              <w:tc>
                <w:tcPr>
                  <w:tcW w:w="1965" w:type="dxa"/>
                  <w:tcBorders>
                    <w:top w:val="nil"/>
                    <w:left w:val="nil"/>
                    <w:bottom w:val="single" w:sz="6" w:space="0" w:color="auto"/>
                    <w:right w:val="nil"/>
                  </w:tcBorders>
                  <w:vAlign w:val="center"/>
                  <w:hideMark/>
                </w:tcPr>
                <w:p w14:paraId="4770B6C7"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 </w:t>
                  </w:r>
                </w:p>
              </w:tc>
              <w:tc>
                <w:tcPr>
                  <w:tcW w:w="705" w:type="dxa"/>
                  <w:tcBorders>
                    <w:top w:val="nil"/>
                    <w:left w:val="single" w:sz="6" w:space="0" w:color="auto"/>
                    <w:bottom w:val="single" w:sz="6" w:space="0" w:color="auto"/>
                    <w:right w:val="single" w:sz="6" w:space="0" w:color="auto"/>
                  </w:tcBorders>
                  <w:vAlign w:val="center"/>
                  <w:hideMark/>
                </w:tcPr>
                <w:p w14:paraId="4A20C483"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11 </w:t>
                  </w:r>
                </w:p>
              </w:tc>
              <w:tc>
                <w:tcPr>
                  <w:tcW w:w="990" w:type="dxa"/>
                  <w:tcBorders>
                    <w:top w:val="nil"/>
                    <w:left w:val="nil"/>
                    <w:bottom w:val="single" w:sz="6" w:space="0" w:color="auto"/>
                    <w:right w:val="single" w:sz="6" w:space="0" w:color="auto"/>
                  </w:tcBorders>
                  <w:vAlign w:val="center"/>
                  <w:hideMark/>
                </w:tcPr>
                <w:p w14:paraId="661FB5B9"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611 </w:t>
                  </w:r>
                </w:p>
              </w:tc>
              <w:tc>
                <w:tcPr>
                  <w:tcW w:w="1080" w:type="dxa"/>
                  <w:tcBorders>
                    <w:top w:val="nil"/>
                    <w:left w:val="nil"/>
                    <w:bottom w:val="single" w:sz="6" w:space="0" w:color="auto"/>
                    <w:right w:val="single" w:sz="6" w:space="0" w:color="auto"/>
                  </w:tcBorders>
                  <w:vAlign w:val="center"/>
                  <w:hideMark/>
                </w:tcPr>
                <w:p w14:paraId="698B55C4"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5,0% </w:t>
                  </w:r>
                </w:p>
              </w:tc>
            </w:tr>
            <w:tr w:rsidR="009D74A3" w:rsidRPr="00EA0322" w14:paraId="31B64F9F" w14:textId="77777777" w:rsidTr="00740130">
              <w:trPr>
                <w:trHeight w:val="300"/>
                <w:jc w:val="center"/>
              </w:trPr>
              <w:tc>
                <w:tcPr>
                  <w:tcW w:w="1965" w:type="dxa"/>
                  <w:tcBorders>
                    <w:top w:val="nil"/>
                    <w:left w:val="nil"/>
                    <w:bottom w:val="nil"/>
                    <w:right w:val="nil"/>
                  </w:tcBorders>
                  <w:vAlign w:val="center"/>
                  <w:hideMark/>
                </w:tcPr>
                <w:p w14:paraId="6A8DE9C7"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 </w:t>
                  </w:r>
                </w:p>
              </w:tc>
              <w:tc>
                <w:tcPr>
                  <w:tcW w:w="1965" w:type="dxa"/>
                  <w:tcBorders>
                    <w:top w:val="nil"/>
                    <w:left w:val="nil"/>
                    <w:bottom w:val="nil"/>
                    <w:right w:val="nil"/>
                  </w:tcBorders>
                  <w:vAlign w:val="center"/>
                  <w:hideMark/>
                </w:tcPr>
                <w:p w14:paraId="614E747F"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 </w:t>
                  </w:r>
                </w:p>
              </w:tc>
              <w:tc>
                <w:tcPr>
                  <w:tcW w:w="705" w:type="dxa"/>
                  <w:tcBorders>
                    <w:top w:val="nil"/>
                    <w:left w:val="single" w:sz="6" w:space="0" w:color="auto"/>
                    <w:bottom w:val="single" w:sz="6" w:space="0" w:color="auto"/>
                    <w:right w:val="single" w:sz="6" w:space="0" w:color="auto"/>
                  </w:tcBorders>
                  <w:vAlign w:val="center"/>
                  <w:hideMark/>
                </w:tcPr>
                <w:p w14:paraId="19D819FC"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Total</w:t>
                  </w:r>
                  <w:r>
                    <w:rPr>
                      <w:rFonts w:ascii="Times New Roman" w:hAnsi="Times New Roman" w:cs="Times New Roman"/>
                    </w:rPr>
                    <w:t xml:space="preserve"> </w:t>
                  </w:r>
                </w:p>
              </w:tc>
              <w:tc>
                <w:tcPr>
                  <w:tcW w:w="990" w:type="dxa"/>
                  <w:tcBorders>
                    <w:top w:val="nil"/>
                    <w:left w:val="nil"/>
                    <w:bottom w:val="single" w:sz="6" w:space="0" w:color="auto"/>
                    <w:right w:val="single" w:sz="6" w:space="0" w:color="auto"/>
                  </w:tcBorders>
                  <w:vAlign w:val="center"/>
                  <w:hideMark/>
                </w:tcPr>
                <w:p w14:paraId="126996F7"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12.233 </w:t>
                  </w:r>
                </w:p>
              </w:tc>
              <w:tc>
                <w:tcPr>
                  <w:tcW w:w="1080" w:type="dxa"/>
                  <w:tcBorders>
                    <w:top w:val="nil"/>
                    <w:left w:val="nil"/>
                    <w:bottom w:val="single" w:sz="6" w:space="0" w:color="auto"/>
                    <w:right w:val="single" w:sz="6" w:space="0" w:color="auto"/>
                  </w:tcBorders>
                  <w:vAlign w:val="center"/>
                  <w:hideMark/>
                </w:tcPr>
                <w:p w14:paraId="77D140F8" w14:textId="77777777" w:rsidR="009D74A3" w:rsidRPr="00EA0322" w:rsidRDefault="009D74A3" w:rsidP="009D74A3">
                  <w:pPr>
                    <w:pStyle w:val="Sinespaciado"/>
                    <w:contextualSpacing/>
                    <w:rPr>
                      <w:rFonts w:ascii="Times New Roman" w:hAnsi="Times New Roman" w:cs="Times New Roman"/>
                    </w:rPr>
                  </w:pPr>
                  <w:r w:rsidRPr="00EA0322">
                    <w:rPr>
                      <w:rFonts w:ascii="Times New Roman" w:hAnsi="Times New Roman" w:cs="Times New Roman"/>
                    </w:rPr>
                    <w:t>100,0% </w:t>
                  </w:r>
                </w:p>
              </w:tc>
            </w:tr>
          </w:tbl>
          <w:p w14:paraId="0E1FC056" w14:textId="39BC83B2" w:rsidR="009C6D5B" w:rsidRPr="00EA0322" w:rsidRDefault="00EA26E8" w:rsidP="00EA26E8">
            <w:pPr>
              <w:contextualSpacing/>
              <w:jc w:val="both"/>
              <w:rPr>
                <w:rFonts w:ascii="Times New Roman" w:hAnsi="Times New Roman" w:cs="Times New Roman"/>
              </w:rPr>
            </w:pPr>
            <w:r>
              <w:rPr>
                <w:rFonts w:ascii="Times New Roman" w:hAnsi="Times New Roman" w:cs="Times New Roman"/>
              </w:rPr>
              <w:t xml:space="preserve">                                   </w:t>
            </w:r>
            <w:r w:rsidR="009D74A3" w:rsidRPr="00EA0322">
              <w:rPr>
                <w:rFonts w:ascii="Times New Roman" w:hAnsi="Times New Roman" w:cs="Times New Roman"/>
              </w:rPr>
              <w:t> </w:t>
            </w:r>
            <w:r w:rsidR="009C6D5B" w:rsidRPr="14E02FFB">
              <w:rPr>
                <w:rFonts w:ascii="Times New Roman" w:hAnsi="Times New Roman" w:cs="Times New Roman"/>
                <w:b/>
                <w:bCs/>
                <w:lang w:val="es-MX"/>
              </w:rPr>
              <w:t>Fuente</w:t>
            </w:r>
            <w:r w:rsidR="009C6D5B" w:rsidRPr="14E02FFB">
              <w:rPr>
                <w:rFonts w:ascii="Times New Roman" w:hAnsi="Times New Roman" w:cs="Times New Roman"/>
                <w:lang w:val="es-MX"/>
              </w:rPr>
              <w:t xml:space="preserve">: </w:t>
            </w:r>
            <w:r w:rsidR="009C6D5B" w:rsidRPr="14E02FFB">
              <w:rPr>
                <w:rFonts w:ascii="Times New Roman" w:hAnsi="Times New Roman" w:cs="Times New Roman"/>
              </w:rPr>
              <w:t>Secretaría Distrital de Hacienda</w:t>
            </w:r>
            <w:r w:rsidR="009C6D5B">
              <w:rPr>
                <w:rFonts w:ascii="Times New Roman" w:hAnsi="Times New Roman" w:cs="Times New Roman"/>
              </w:rPr>
              <w:t xml:space="preserve">. </w:t>
            </w:r>
            <w:r w:rsidR="009C6D5B" w:rsidRPr="14E02FFB">
              <w:rPr>
                <w:rFonts w:ascii="Times New Roman" w:hAnsi="Times New Roman" w:cs="Times New Roman"/>
              </w:rPr>
              <w:t xml:space="preserve"> </w:t>
            </w:r>
          </w:p>
          <w:p w14:paraId="3A196566" w14:textId="73226733" w:rsidR="009D74A3" w:rsidRPr="00EA0322" w:rsidRDefault="009D74A3" w:rsidP="009D74A3">
            <w:pPr>
              <w:contextualSpacing/>
              <w:rPr>
                <w:rFonts w:ascii="Times New Roman" w:hAnsi="Times New Roman" w:cs="Times New Roman"/>
              </w:rPr>
            </w:pPr>
          </w:p>
          <w:p w14:paraId="7B53BD56" w14:textId="76001DCD" w:rsidR="009D74A3" w:rsidRDefault="009D74A3" w:rsidP="009D74A3">
            <w:pPr>
              <w:contextualSpacing/>
              <w:jc w:val="both"/>
              <w:rPr>
                <w:rFonts w:ascii="Times New Roman" w:hAnsi="Times New Roman" w:cs="Times New Roman"/>
                <w:sz w:val="24"/>
                <w:szCs w:val="24"/>
                <w:lang w:val="es-ES"/>
              </w:rPr>
            </w:pPr>
            <w:r w:rsidRPr="00913386">
              <w:rPr>
                <w:rFonts w:ascii="Times New Roman" w:hAnsi="Times New Roman" w:cs="Times New Roman"/>
                <w:sz w:val="24"/>
                <w:szCs w:val="24"/>
                <w:lang w:val="es-ES"/>
              </w:rPr>
              <w:t xml:space="preserve">Esta propuesta busca mejorar la progresividad de los predios industriales permitiendo que los inmuebles con menor </w:t>
            </w:r>
            <w:r w:rsidR="00604A2D">
              <w:rPr>
                <w:rFonts w:ascii="Times New Roman" w:hAnsi="Times New Roman" w:cs="Times New Roman"/>
                <w:sz w:val="24"/>
                <w:szCs w:val="24"/>
                <w:lang w:val="es-ES"/>
              </w:rPr>
              <w:t xml:space="preserve">base gravable </w:t>
            </w:r>
            <w:r w:rsidRPr="00913386">
              <w:rPr>
                <w:rFonts w:ascii="Times New Roman" w:hAnsi="Times New Roman" w:cs="Times New Roman"/>
                <w:sz w:val="24"/>
                <w:szCs w:val="24"/>
                <w:lang w:val="es-ES"/>
              </w:rPr>
              <w:t xml:space="preserve">aporten menos en comparación con aquellos predios que presentan valores superiores. La tabla </w:t>
            </w:r>
            <w:r w:rsidR="00EC3289">
              <w:rPr>
                <w:rFonts w:ascii="Times New Roman" w:hAnsi="Times New Roman" w:cs="Times New Roman"/>
                <w:sz w:val="24"/>
                <w:szCs w:val="24"/>
                <w:lang w:val="es-ES"/>
              </w:rPr>
              <w:t>25</w:t>
            </w:r>
            <w:r w:rsidRPr="00913386">
              <w:rPr>
                <w:rFonts w:ascii="Times New Roman" w:hAnsi="Times New Roman" w:cs="Times New Roman"/>
                <w:sz w:val="24"/>
                <w:szCs w:val="24"/>
                <w:lang w:val="es-ES"/>
              </w:rPr>
              <w:t xml:space="preserve"> muestra la modificación de los predios con el cambio de tarifa, evidenciando que el 42.9% y 50% de los predios con tarifa del 8.5% pasan a tarifas de 10% y 11% respectivamente, mientras que el 46</w:t>
            </w:r>
            <w:r>
              <w:rPr>
                <w:rFonts w:ascii="Times New Roman" w:hAnsi="Times New Roman" w:cs="Times New Roman"/>
                <w:sz w:val="24"/>
                <w:szCs w:val="24"/>
                <w:lang w:val="es-ES"/>
              </w:rPr>
              <w:t>,</w:t>
            </w:r>
            <w:r w:rsidRPr="00913386">
              <w:rPr>
                <w:rFonts w:ascii="Times New Roman" w:hAnsi="Times New Roman" w:cs="Times New Roman"/>
                <w:sz w:val="24"/>
                <w:szCs w:val="24"/>
                <w:lang w:val="es-ES"/>
              </w:rPr>
              <w:t>4% y 28</w:t>
            </w:r>
            <w:r>
              <w:rPr>
                <w:rFonts w:ascii="Times New Roman" w:hAnsi="Times New Roman" w:cs="Times New Roman"/>
                <w:sz w:val="24"/>
                <w:szCs w:val="24"/>
                <w:lang w:val="es-ES"/>
              </w:rPr>
              <w:t>,</w:t>
            </w:r>
            <w:r w:rsidRPr="00913386">
              <w:rPr>
                <w:rFonts w:ascii="Times New Roman" w:hAnsi="Times New Roman" w:cs="Times New Roman"/>
                <w:sz w:val="24"/>
                <w:szCs w:val="24"/>
                <w:lang w:val="es-ES"/>
              </w:rPr>
              <w:t>7% de los predios con tarifa de 10% pasan a tarifas de 8% y 9%o respectivamente. A pesar de que la propuesta disminuye la tarifa a la mayor cantidad de predios, ella presenta un aumento del impuesto en $3.264 millones de pesos en el año aproximadamente. </w:t>
            </w:r>
          </w:p>
          <w:p w14:paraId="3321FA29" w14:textId="569390CA" w:rsidR="009C3C4D" w:rsidRPr="009D74A3" w:rsidRDefault="009C3C4D" w:rsidP="008B29A2">
            <w:pPr>
              <w:contextualSpacing/>
              <w:jc w:val="both"/>
              <w:rPr>
                <w:rFonts w:ascii="Times New Roman" w:hAnsi="Times New Roman" w:cs="Times New Roman"/>
                <w:sz w:val="24"/>
                <w:szCs w:val="24"/>
                <w:lang w:val="es-ES"/>
              </w:rPr>
            </w:pPr>
          </w:p>
          <w:p w14:paraId="3986CAE4" w14:textId="7939D479" w:rsidR="009C3C4D" w:rsidRPr="009D74A3" w:rsidRDefault="00A94DF0" w:rsidP="009C3C4D">
            <w:pPr>
              <w:contextualSpacing/>
              <w:jc w:val="center"/>
              <w:rPr>
                <w:rFonts w:ascii="Times New Roman" w:hAnsi="Times New Roman" w:cs="Times New Roman"/>
                <w:b/>
              </w:rPr>
            </w:pPr>
            <w:r w:rsidRPr="009D74A3">
              <w:rPr>
                <w:rFonts w:ascii="Times New Roman" w:hAnsi="Times New Roman" w:cs="Times New Roman"/>
                <w:b/>
              </w:rPr>
              <w:t xml:space="preserve">Tabla </w:t>
            </w:r>
            <w:r w:rsidR="0033396A">
              <w:rPr>
                <w:rFonts w:ascii="Times New Roman" w:hAnsi="Times New Roman" w:cs="Times New Roman"/>
                <w:b/>
              </w:rPr>
              <w:t>25</w:t>
            </w:r>
          </w:p>
          <w:p w14:paraId="759734E6" w14:textId="53609AFD" w:rsidR="00A94DF0" w:rsidRPr="009D74A3" w:rsidRDefault="00A94DF0" w:rsidP="008B29A2">
            <w:pPr>
              <w:contextualSpacing/>
              <w:jc w:val="center"/>
              <w:rPr>
                <w:rFonts w:ascii="Times New Roman" w:hAnsi="Times New Roman" w:cs="Times New Roman"/>
                <w:b/>
                <w:bCs/>
                <w:lang w:val="es-ES"/>
              </w:rPr>
            </w:pPr>
            <w:r w:rsidRPr="009D74A3">
              <w:rPr>
                <w:rFonts w:ascii="Times New Roman" w:hAnsi="Times New Roman" w:cs="Times New Roman"/>
                <w:b/>
                <w:bCs/>
                <w:lang w:val="es-ES"/>
              </w:rPr>
              <w:t>Transición de los predios con la propuesta de cambio tarifario en los predios industriales.</w:t>
            </w:r>
          </w:p>
          <w:tbl>
            <w:tblPr>
              <w:tblW w:w="6532" w:type="dxa"/>
              <w:jc w:val="center"/>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141"/>
              <w:gridCol w:w="965"/>
              <w:gridCol w:w="1071"/>
              <w:gridCol w:w="1071"/>
              <w:gridCol w:w="965"/>
              <w:gridCol w:w="1319"/>
            </w:tblGrid>
            <w:tr w:rsidR="0058759F" w:rsidRPr="009D74A3" w14:paraId="4B70FC90" w14:textId="77777777" w:rsidTr="00B64FFB">
              <w:trPr>
                <w:trHeight w:val="300"/>
                <w:jc w:val="center"/>
              </w:trPr>
              <w:tc>
                <w:tcPr>
                  <w:tcW w:w="1141" w:type="dxa"/>
                  <w:vMerge w:val="restart"/>
                  <w:tcBorders>
                    <w:top w:val="single" w:sz="6" w:space="0" w:color="auto"/>
                    <w:left w:val="single" w:sz="6" w:space="0" w:color="auto"/>
                    <w:bottom w:val="single" w:sz="6" w:space="0" w:color="auto"/>
                    <w:right w:val="single" w:sz="6" w:space="0" w:color="auto"/>
                  </w:tcBorders>
                  <w:shd w:val="clear" w:color="auto" w:fill="002060"/>
                  <w:vAlign w:val="center"/>
                  <w:hideMark/>
                </w:tcPr>
                <w:p w14:paraId="44D55490" w14:textId="77777777" w:rsidR="00A94DF0" w:rsidRPr="009D74A3" w:rsidRDefault="00A94DF0" w:rsidP="008B29A2">
                  <w:pPr>
                    <w:pStyle w:val="Sinespaciado"/>
                    <w:contextualSpacing/>
                    <w:jc w:val="center"/>
                    <w:rPr>
                      <w:rFonts w:ascii="Times New Roman" w:hAnsi="Times New Roman" w:cs="Times New Roman"/>
                      <w:color w:val="FFFFFF" w:themeColor="background1"/>
                    </w:rPr>
                  </w:pPr>
                  <w:r w:rsidRPr="009D74A3">
                    <w:rPr>
                      <w:rFonts w:ascii="Times New Roman" w:hAnsi="Times New Roman" w:cs="Times New Roman"/>
                      <w:color w:val="FFFFFF" w:themeColor="background1"/>
                    </w:rPr>
                    <w:t>Tarifa actual</w:t>
                  </w:r>
                </w:p>
              </w:tc>
              <w:tc>
                <w:tcPr>
                  <w:tcW w:w="5391" w:type="dxa"/>
                  <w:gridSpan w:val="5"/>
                  <w:tcBorders>
                    <w:top w:val="single" w:sz="6" w:space="0" w:color="auto"/>
                    <w:left w:val="single" w:sz="6" w:space="0" w:color="auto"/>
                    <w:bottom w:val="single" w:sz="6" w:space="0" w:color="auto"/>
                    <w:right w:val="single" w:sz="6" w:space="0" w:color="auto"/>
                  </w:tcBorders>
                  <w:shd w:val="clear" w:color="auto" w:fill="002060"/>
                  <w:vAlign w:val="center"/>
                  <w:hideMark/>
                </w:tcPr>
                <w:p w14:paraId="4719FFA3" w14:textId="77777777" w:rsidR="00A94DF0" w:rsidRPr="009D74A3" w:rsidRDefault="00A94DF0" w:rsidP="008B29A2">
                  <w:pPr>
                    <w:pStyle w:val="Sinespaciado"/>
                    <w:contextualSpacing/>
                    <w:jc w:val="center"/>
                    <w:rPr>
                      <w:rFonts w:ascii="Times New Roman" w:hAnsi="Times New Roman" w:cs="Times New Roman"/>
                      <w:color w:val="FFFFFF" w:themeColor="background1"/>
                    </w:rPr>
                  </w:pPr>
                  <w:r w:rsidRPr="009D74A3">
                    <w:rPr>
                      <w:rFonts w:ascii="Times New Roman" w:hAnsi="Times New Roman" w:cs="Times New Roman"/>
                      <w:color w:val="FFFFFF" w:themeColor="background1"/>
                    </w:rPr>
                    <w:t>Nueva tarifa</w:t>
                  </w:r>
                </w:p>
              </w:tc>
            </w:tr>
            <w:tr w:rsidR="00CF5793" w:rsidRPr="009D74A3" w14:paraId="138D8A90" w14:textId="77777777" w:rsidTr="00B64FFB">
              <w:trPr>
                <w:trHeight w:val="300"/>
                <w:jc w:val="center"/>
              </w:trPr>
              <w:tc>
                <w:tcPr>
                  <w:tcW w:w="1141" w:type="dxa"/>
                  <w:vMerge/>
                  <w:vAlign w:val="center"/>
                  <w:hideMark/>
                </w:tcPr>
                <w:p w14:paraId="4895ECD0" w14:textId="77777777" w:rsidR="00A94DF0" w:rsidRPr="009D74A3" w:rsidRDefault="00A94DF0" w:rsidP="008B29A2">
                  <w:pPr>
                    <w:pStyle w:val="Sinespaciado"/>
                    <w:contextualSpacing/>
                    <w:jc w:val="center"/>
                    <w:rPr>
                      <w:rFonts w:ascii="Times New Roman" w:hAnsi="Times New Roman" w:cs="Times New Roman"/>
                      <w:color w:val="FFFFFF" w:themeColor="background1"/>
                    </w:rPr>
                  </w:pPr>
                </w:p>
              </w:tc>
              <w:tc>
                <w:tcPr>
                  <w:tcW w:w="965" w:type="dxa"/>
                  <w:tcBorders>
                    <w:top w:val="nil"/>
                    <w:left w:val="single" w:sz="6" w:space="0" w:color="auto"/>
                    <w:bottom w:val="nil"/>
                    <w:right w:val="single" w:sz="6" w:space="0" w:color="auto"/>
                  </w:tcBorders>
                  <w:shd w:val="clear" w:color="auto" w:fill="002060"/>
                  <w:vAlign w:val="center"/>
                  <w:hideMark/>
                </w:tcPr>
                <w:p w14:paraId="3AAAD2DC" w14:textId="77777777" w:rsidR="00A94DF0" w:rsidRPr="009D74A3" w:rsidRDefault="00A94DF0" w:rsidP="008B29A2">
                  <w:pPr>
                    <w:pStyle w:val="Sinespaciado"/>
                    <w:contextualSpacing/>
                    <w:jc w:val="center"/>
                    <w:rPr>
                      <w:rFonts w:ascii="Times New Roman" w:hAnsi="Times New Roman" w:cs="Times New Roman"/>
                      <w:color w:val="FFFFFF" w:themeColor="background1"/>
                    </w:rPr>
                  </w:pPr>
                  <w:r w:rsidRPr="009D74A3">
                    <w:rPr>
                      <w:rFonts w:ascii="Times New Roman" w:hAnsi="Times New Roman" w:cs="Times New Roman"/>
                      <w:color w:val="FFFFFF" w:themeColor="background1"/>
                    </w:rPr>
                    <w:t>8</w:t>
                  </w:r>
                </w:p>
              </w:tc>
              <w:tc>
                <w:tcPr>
                  <w:tcW w:w="1071" w:type="dxa"/>
                  <w:tcBorders>
                    <w:top w:val="nil"/>
                    <w:left w:val="nil"/>
                    <w:bottom w:val="nil"/>
                    <w:right w:val="single" w:sz="6" w:space="0" w:color="auto"/>
                  </w:tcBorders>
                  <w:shd w:val="clear" w:color="auto" w:fill="002060"/>
                  <w:vAlign w:val="center"/>
                  <w:hideMark/>
                </w:tcPr>
                <w:p w14:paraId="46681FF5" w14:textId="77777777" w:rsidR="00A94DF0" w:rsidRPr="009D74A3" w:rsidRDefault="00A94DF0" w:rsidP="008B29A2">
                  <w:pPr>
                    <w:pStyle w:val="Sinespaciado"/>
                    <w:contextualSpacing/>
                    <w:jc w:val="center"/>
                    <w:rPr>
                      <w:rFonts w:ascii="Times New Roman" w:hAnsi="Times New Roman" w:cs="Times New Roman"/>
                      <w:color w:val="FFFFFF" w:themeColor="background1"/>
                    </w:rPr>
                  </w:pPr>
                  <w:r w:rsidRPr="009D74A3">
                    <w:rPr>
                      <w:rFonts w:ascii="Times New Roman" w:hAnsi="Times New Roman" w:cs="Times New Roman"/>
                      <w:color w:val="FFFFFF" w:themeColor="background1"/>
                    </w:rPr>
                    <w:t>9</w:t>
                  </w:r>
                </w:p>
              </w:tc>
              <w:tc>
                <w:tcPr>
                  <w:tcW w:w="1071" w:type="dxa"/>
                  <w:tcBorders>
                    <w:top w:val="nil"/>
                    <w:left w:val="nil"/>
                    <w:bottom w:val="nil"/>
                    <w:right w:val="single" w:sz="6" w:space="0" w:color="auto"/>
                  </w:tcBorders>
                  <w:shd w:val="clear" w:color="auto" w:fill="002060"/>
                  <w:vAlign w:val="center"/>
                  <w:hideMark/>
                </w:tcPr>
                <w:p w14:paraId="239ED246" w14:textId="77777777" w:rsidR="00A94DF0" w:rsidRPr="009D74A3" w:rsidRDefault="00A94DF0" w:rsidP="008B29A2">
                  <w:pPr>
                    <w:pStyle w:val="Sinespaciado"/>
                    <w:contextualSpacing/>
                    <w:jc w:val="center"/>
                    <w:rPr>
                      <w:rFonts w:ascii="Times New Roman" w:hAnsi="Times New Roman" w:cs="Times New Roman"/>
                      <w:color w:val="FFFFFF" w:themeColor="background1"/>
                    </w:rPr>
                  </w:pPr>
                  <w:r w:rsidRPr="009D74A3">
                    <w:rPr>
                      <w:rFonts w:ascii="Times New Roman" w:hAnsi="Times New Roman" w:cs="Times New Roman"/>
                      <w:color w:val="FFFFFF" w:themeColor="background1"/>
                    </w:rPr>
                    <w:t>10</w:t>
                  </w:r>
                </w:p>
              </w:tc>
              <w:tc>
                <w:tcPr>
                  <w:tcW w:w="965" w:type="dxa"/>
                  <w:tcBorders>
                    <w:top w:val="nil"/>
                    <w:left w:val="nil"/>
                    <w:bottom w:val="nil"/>
                    <w:right w:val="nil"/>
                  </w:tcBorders>
                  <w:shd w:val="clear" w:color="auto" w:fill="002060"/>
                  <w:vAlign w:val="center"/>
                  <w:hideMark/>
                </w:tcPr>
                <w:p w14:paraId="1EF579DC" w14:textId="77777777" w:rsidR="00A94DF0" w:rsidRPr="009D74A3" w:rsidRDefault="00A94DF0" w:rsidP="008B29A2">
                  <w:pPr>
                    <w:pStyle w:val="Sinespaciado"/>
                    <w:contextualSpacing/>
                    <w:jc w:val="center"/>
                    <w:rPr>
                      <w:rFonts w:ascii="Times New Roman" w:hAnsi="Times New Roman" w:cs="Times New Roman"/>
                      <w:color w:val="FFFFFF" w:themeColor="background1"/>
                    </w:rPr>
                  </w:pPr>
                  <w:r w:rsidRPr="009D74A3">
                    <w:rPr>
                      <w:rFonts w:ascii="Times New Roman" w:hAnsi="Times New Roman" w:cs="Times New Roman"/>
                      <w:color w:val="FFFFFF" w:themeColor="background1"/>
                    </w:rPr>
                    <w:t>11</w:t>
                  </w:r>
                </w:p>
              </w:tc>
              <w:tc>
                <w:tcPr>
                  <w:tcW w:w="1319" w:type="dxa"/>
                  <w:tcBorders>
                    <w:top w:val="nil"/>
                    <w:left w:val="single" w:sz="6" w:space="0" w:color="auto"/>
                    <w:bottom w:val="nil"/>
                    <w:right w:val="single" w:sz="6" w:space="0" w:color="auto"/>
                  </w:tcBorders>
                  <w:shd w:val="clear" w:color="auto" w:fill="002060"/>
                  <w:vAlign w:val="center"/>
                  <w:hideMark/>
                </w:tcPr>
                <w:p w14:paraId="4A50A9C3" w14:textId="77777777" w:rsidR="00A94DF0" w:rsidRPr="009D74A3" w:rsidRDefault="00A94DF0" w:rsidP="008B29A2">
                  <w:pPr>
                    <w:pStyle w:val="Sinespaciado"/>
                    <w:contextualSpacing/>
                    <w:jc w:val="center"/>
                    <w:rPr>
                      <w:rFonts w:ascii="Times New Roman" w:hAnsi="Times New Roman" w:cs="Times New Roman"/>
                      <w:color w:val="FFFFFF" w:themeColor="background1"/>
                    </w:rPr>
                  </w:pPr>
                  <w:r w:rsidRPr="009D74A3">
                    <w:rPr>
                      <w:rFonts w:ascii="Times New Roman" w:hAnsi="Times New Roman" w:cs="Times New Roman"/>
                      <w:color w:val="FFFFFF" w:themeColor="background1"/>
                    </w:rPr>
                    <w:t>Total</w:t>
                  </w:r>
                </w:p>
              </w:tc>
            </w:tr>
            <w:tr w:rsidR="004A4D81" w:rsidRPr="009D74A3" w14:paraId="34E7E94D" w14:textId="77777777" w:rsidTr="00B64FFB">
              <w:trPr>
                <w:trHeight w:val="300"/>
                <w:jc w:val="center"/>
              </w:trPr>
              <w:tc>
                <w:tcPr>
                  <w:tcW w:w="1141" w:type="dxa"/>
                  <w:vMerge w:val="restart"/>
                  <w:tcBorders>
                    <w:top w:val="nil"/>
                    <w:left w:val="single" w:sz="6" w:space="0" w:color="auto"/>
                    <w:bottom w:val="single" w:sz="6" w:space="0" w:color="auto"/>
                    <w:right w:val="nil"/>
                  </w:tcBorders>
                  <w:vAlign w:val="center"/>
                  <w:hideMark/>
                </w:tcPr>
                <w:p w14:paraId="38097F4B"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8,5</w:t>
                  </w:r>
                </w:p>
              </w:tc>
              <w:tc>
                <w:tcPr>
                  <w:tcW w:w="965" w:type="dxa"/>
                  <w:tcBorders>
                    <w:top w:val="single" w:sz="6" w:space="0" w:color="auto"/>
                    <w:left w:val="single" w:sz="6" w:space="0" w:color="auto"/>
                    <w:bottom w:val="nil"/>
                    <w:right w:val="single" w:sz="6" w:space="0" w:color="auto"/>
                  </w:tcBorders>
                  <w:vAlign w:val="center"/>
                  <w:hideMark/>
                </w:tcPr>
                <w:p w14:paraId="5F6536F0"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0</w:t>
                  </w:r>
                </w:p>
              </w:tc>
              <w:tc>
                <w:tcPr>
                  <w:tcW w:w="1071" w:type="dxa"/>
                  <w:tcBorders>
                    <w:top w:val="single" w:sz="6" w:space="0" w:color="auto"/>
                    <w:left w:val="nil"/>
                    <w:bottom w:val="nil"/>
                    <w:right w:val="single" w:sz="6" w:space="0" w:color="auto"/>
                  </w:tcBorders>
                  <w:vAlign w:val="center"/>
                  <w:hideMark/>
                </w:tcPr>
                <w:p w14:paraId="48F97518"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6</w:t>
                  </w:r>
                </w:p>
              </w:tc>
              <w:tc>
                <w:tcPr>
                  <w:tcW w:w="1071" w:type="dxa"/>
                  <w:tcBorders>
                    <w:top w:val="single" w:sz="6" w:space="0" w:color="auto"/>
                    <w:left w:val="nil"/>
                    <w:bottom w:val="nil"/>
                    <w:right w:val="single" w:sz="6" w:space="0" w:color="auto"/>
                  </w:tcBorders>
                  <w:vAlign w:val="center"/>
                  <w:hideMark/>
                </w:tcPr>
                <w:p w14:paraId="250E06BE"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36</w:t>
                  </w:r>
                </w:p>
              </w:tc>
              <w:tc>
                <w:tcPr>
                  <w:tcW w:w="965" w:type="dxa"/>
                  <w:tcBorders>
                    <w:top w:val="single" w:sz="6" w:space="0" w:color="auto"/>
                    <w:left w:val="nil"/>
                    <w:bottom w:val="nil"/>
                    <w:right w:val="nil"/>
                  </w:tcBorders>
                  <w:vAlign w:val="center"/>
                  <w:hideMark/>
                </w:tcPr>
                <w:p w14:paraId="26256584"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42</w:t>
                  </w:r>
                </w:p>
              </w:tc>
              <w:tc>
                <w:tcPr>
                  <w:tcW w:w="1319" w:type="dxa"/>
                  <w:tcBorders>
                    <w:top w:val="single" w:sz="6" w:space="0" w:color="auto"/>
                    <w:left w:val="single" w:sz="6" w:space="0" w:color="auto"/>
                    <w:bottom w:val="nil"/>
                    <w:right w:val="single" w:sz="6" w:space="0" w:color="auto"/>
                  </w:tcBorders>
                  <w:vAlign w:val="center"/>
                  <w:hideMark/>
                </w:tcPr>
                <w:p w14:paraId="03B43F2A"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84</w:t>
                  </w:r>
                </w:p>
              </w:tc>
            </w:tr>
            <w:tr w:rsidR="004A4D81" w:rsidRPr="009D74A3" w14:paraId="56D0CEEE" w14:textId="77777777" w:rsidTr="00B64FFB">
              <w:trPr>
                <w:trHeight w:val="300"/>
                <w:jc w:val="center"/>
              </w:trPr>
              <w:tc>
                <w:tcPr>
                  <w:tcW w:w="1141" w:type="dxa"/>
                  <w:vMerge/>
                  <w:vAlign w:val="center"/>
                  <w:hideMark/>
                </w:tcPr>
                <w:p w14:paraId="3FEE0DE8" w14:textId="77777777" w:rsidR="00A94DF0" w:rsidRPr="009D74A3" w:rsidRDefault="00A94DF0" w:rsidP="008B29A2">
                  <w:pPr>
                    <w:pStyle w:val="Sinespaciado"/>
                    <w:contextualSpacing/>
                    <w:jc w:val="center"/>
                    <w:rPr>
                      <w:rFonts w:ascii="Times New Roman" w:hAnsi="Times New Roman" w:cs="Times New Roman"/>
                    </w:rPr>
                  </w:pPr>
                </w:p>
              </w:tc>
              <w:tc>
                <w:tcPr>
                  <w:tcW w:w="965" w:type="dxa"/>
                  <w:tcBorders>
                    <w:top w:val="nil"/>
                    <w:left w:val="single" w:sz="6" w:space="0" w:color="auto"/>
                    <w:bottom w:val="single" w:sz="6" w:space="0" w:color="auto"/>
                    <w:right w:val="single" w:sz="6" w:space="0" w:color="auto"/>
                  </w:tcBorders>
                  <w:vAlign w:val="center"/>
                  <w:hideMark/>
                </w:tcPr>
                <w:p w14:paraId="2A985C71"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0,0%</w:t>
                  </w:r>
                </w:p>
              </w:tc>
              <w:tc>
                <w:tcPr>
                  <w:tcW w:w="1071" w:type="dxa"/>
                  <w:tcBorders>
                    <w:top w:val="nil"/>
                    <w:left w:val="nil"/>
                    <w:bottom w:val="single" w:sz="6" w:space="0" w:color="auto"/>
                    <w:right w:val="single" w:sz="6" w:space="0" w:color="auto"/>
                  </w:tcBorders>
                  <w:vAlign w:val="center"/>
                  <w:hideMark/>
                </w:tcPr>
                <w:p w14:paraId="321F28C1"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7,1%</w:t>
                  </w:r>
                </w:p>
              </w:tc>
              <w:tc>
                <w:tcPr>
                  <w:tcW w:w="1071" w:type="dxa"/>
                  <w:tcBorders>
                    <w:top w:val="nil"/>
                    <w:left w:val="nil"/>
                    <w:bottom w:val="single" w:sz="6" w:space="0" w:color="auto"/>
                    <w:right w:val="single" w:sz="6" w:space="0" w:color="auto"/>
                  </w:tcBorders>
                  <w:vAlign w:val="center"/>
                  <w:hideMark/>
                </w:tcPr>
                <w:p w14:paraId="706B3573"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42,9%</w:t>
                  </w:r>
                </w:p>
              </w:tc>
              <w:tc>
                <w:tcPr>
                  <w:tcW w:w="965" w:type="dxa"/>
                  <w:tcBorders>
                    <w:top w:val="nil"/>
                    <w:left w:val="nil"/>
                    <w:bottom w:val="single" w:sz="6" w:space="0" w:color="auto"/>
                    <w:right w:val="nil"/>
                  </w:tcBorders>
                  <w:vAlign w:val="center"/>
                  <w:hideMark/>
                </w:tcPr>
                <w:p w14:paraId="5BEE659A"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50,0%</w:t>
                  </w:r>
                </w:p>
              </w:tc>
              <w:tc>
                <w:tcPr>
                  <w:tcW w:w="1319" w:type="dxa"/>
                  <w:tcBorders>
                    <w:top w:val="nil"/>
                    <w:left w:val="single" w:sz="6" w:space="0" w:color="auto"/>
                    <w:bottom w:val="single" w:sz="6" w:space="0" w:color="auto"/>
                    <w:right w:val="single" w:sz="6" w:space="0" w:color="auto"/>
                  </w:tcBorders>
                  <w:vAlign w:val="center"/>
                  <w:hideMark/>
                </w:tcPr>
                <w:p w14:paraId="63BCA347"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100,0%</w:t>
                  </w:r>
                </w:p>
              </w:tc>
            </w:tr>
            <w:tr w:rsidR="004A4D81" w:rsidRPr="009D74A3" w14:paraId="0E4B14B5" w14:textId="77777777" w:rsidTr="00B64FFB">
              <w:trPr>
                <w:trHeight w:val="300"/>
                <w:jc w:val="center"/>
              </w:trPr>
              <w:tc>
                <w:tcPr>
                  <w:tcW w:w="1141" w:type="dxa"/>
                  <w:vMerge w:val="restart"/>
                  <w:tcBorders>
                    <w:top w:val="nil"/>
                    <w:left w:val="single" w:sz="6" w:space="0" w:color="auto"/>
                    <w:bottom w:val="single" w:sz="6" w:space="0" w:color="auto"/>
                    <w:right w:val="nil"/>
                  </w:tcBorders>
                  <w:vAlign w:val="center"/>
                  <w:hideMark/>
                </w:tcPr>
                <w:p w14:paraId="239F6F22"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10</w:t>
                  </w:r>
                </w:p>
              </w:tc>
              <w:tc>
                <w:tcPr>
                  <w:tcW w:w="965" w:type="dxa"/>
                  <w:tcBorders>
                    <w:top w:val="nil"/>
                    <w:left w:val="single" w:sz="6" w:space="0" w:color="auto"/>
                    <w:bottom w:val="nil"/>
                    <w:right w:val="single" w:sz="6" w:space="0" w:color="auto"/>
                  </w:tcBorders>
                  <w:vAlign w:val="center"/>
                  <w:hideMark/>
                </w:tcPr>
                <w:p w14:paraId="367729B1"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5.632</w:t>
                  </w:r>
                </w:p>
              </w:tc>
              <w:tc>
                <w:tcPr>
                  <w:tcW w:w="1071" w:type="dxa"/>
                  <w:tcBorders>
                    <w:top w:val="nil"/>
                    <w:left w:val="nil"/>
                    <w:bottom w:val="nil"/>
                    <w:right w:val="single" w:sz="6" w:space="0" w:color="auto"/>
                  </w:tcBorders>
                  <w:vAlign w:val="center"/>
                  <w:hideMark/>
                </w:tcPr>
                <w:p w14:paraId="148749F0"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3.482</w:t>
                  </w:r>
                </w:p>
              </w:tc>
              <w:tc>
                <w:tcPr>
                  <w:tcW w:w="1071" w:type="dxa"/>
                  <w:tcBorders>
                    <w:top w:val="nil"/>
                    <w:left w:val="nil"/>
                    <w:bottom w:val="nil"/>
                    <w:right w:val="single" w:sz="6" w:space="0" w:color="auto"/>
                  </w:tcBorders>
                  <w:vAlign w:val="center"/>
                  <w:hideMark/>
                </w:tcPr>
                <w:p w14:paraId="252C3F7A"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2.466</w:t>
                  </w:r>
                </w:p>
              </w:tc>
              <w:tc>
                <w:tcPr>
                  <w:tcW w:w="965" w:type="dxa"/>
                  <w:tcBorders>
                    <w:top w:val="nil"/>
                    <w:left w:val="nil"/>
                    <w:bottom w:val="nil"/>
                    <w:right w:val="nil"/>
                  </w:tcBorders>
                  <w:vAlign w:val="center"/>
                  <w:hideMark/>
                </w:tcPr>
                <w:p w14:paraId="2D8BE325"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569</w:t>
                  </w:r>
                </w:p>
              </w:tc>
              <w:tc>
                <w:tcPr>
                  <w:tcW w:w="1319" w:type="dxa"/>
                  <w:tcBorders>
                    <w:top w:val="nil"/>
                    <w:left w:val="single" w:sz="6" w:space="0" w:color="auto"/>
                    <w:bottom w:val="nil"/>
                    <w:right w:val="single" w:sz="6" w:space="0" w:color="auto"/>
                  </w:tcBorders>
                  <w:vAlign w:val="center"/>
                  <w:hideMark/>
                </w:tcPr>
                <w:p w14:paraId="6A95C247"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12.149</w:t>
                  </w:r>
                </w:p>
              </w:tc>
            </w:tr>
            <w:tr w:rsidR="004A4D81" w:rsidRPr="009D74A3" w14:paraId="3930B96E" w14:textId="77777777" w:rsidTr="00B64FFB">
              <w:trPr>
                <w:trHeight w:val="300"/>
                <w:jc w:val="center"/>
              </w:trPr>
              <w:tc>
                <w:tcPr>
                  <w:tcW w:w="1141" w:type="dxa"/>
                  <w:vMerge/>
                  <w:vAlign w:val="center"/>
                  <w:hideMark/>
                </w:tcPr>
                <w:p w14:paraId="71662158" w14:textId="77777777" w:rsidR="00A94DF0" w:rsidRPr="009D74A3" w:rsidRDefault="00A94DF0" w:rsidP="008B29A2">
                  <w:pPr>
                    <w:pStyle w:val="Sinespaciado"/>
                    <w:contextualSpacing/>
                    <w:jc w:val="center"/>
                    <w:rPr>
                      <w:rFonts w:ascii="Times New Roman" w:hAnsi="Times New Roman" w:cs="Times New Roman"/>
                    </w:rPr>
                  </w:pPr>
                </w:p>
              </w:tc>
              <w:tc>
                <w:tcPr>
                  <w:tcW w:w="965" w:type="dxa"/>
                  <w:tcBorders>
                    <w:top w:val="nil"/>
                    <w:left w:val="single" w:sz="6" w:space="0" w:color="auto"/>
                    <w:bottom w:val="single" w:sz="6" w:space="0" w:color="auto"/>
                    <w:right w:val="single" w:sz="6" w:space="0" w:color="auto"/>
                  </w:tcBorders>
                  <w:vAlign w:val="center"/>
                  <w:hideMark/>
                </w:tcPr>
                <w:p w14:paraId="761A12A5"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46,4%</w:t>
                  </w:r>
                </w:p>
              </w:tc>
              <w:tc>
                <w:tcPr>
                  <w:tcW w:w="1071" w:type="dxa"/>
                  <w:tcBorders>
                    <w:top w:val="nil"/>
                    <w:left w:val="nil"/>
                    <w:bottom w:val="single" w:sz="6" w:space="0" w:color="auto"/>
                    <w:right w:val="single" w:sz="6" w:space="0" w:color="auto"/>
                  </w:tcBorders>
                  <w:vAlign w:val="center"/>
                  <w:hideMark/>
                </w:tcPr>
                <w:p w14:paraId="614A3083"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28,7%</w:t>
                  </w:r>
                </w:p>
              </w:tc>
              <w:tc>
                <w:tcPr>
                  <w:tcW w:w="1071" w:type="dxa"/>
                  <w:tcBorders>
                    <w:top w:val="nil"/>
                    <w:left w:val="nil"/>
                    <w:bottom w:val="single" w:sz="6" w:space="0" w:color="auto"/>
                    <w:right w:val="single" w:sz="6" w:space="0" w:color="auto"/>
                  </w:tcBorders>
                  <w:vAlign w:val="center"/>
                  <w:hideMark/>
                </w:tcPr>
                <w:p w14:paraId="7633F312"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20,3%</w:t>
                  </w:r>
                </w:p>
              </w:tc>
              <w:tc>
                <w:tcPr>
                  <w:tcW w:w="965" w:type="dxa"/>
                  <w:tcBorders>
                    <w:top w:val="nil"/>
                    <w:left w:val="nil"/>
                    <w:bottom w:val="single" w:sz="6" w:space="0" w:color="auto"/>
                    <w:right w:val="nil"/>
                  </w:tcBorders>
                  <w:vAlign w:val="center"/>
                  <w:hideMark/>
                </w:tcPr>
                <w:p w14:paraId="4200DF71"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4,7%</w:t>
                  </w:r>
                </w:p>
              </w:tc>
              <w:tc>
                <w:tcPr>
                  <w:tcW w:w="1319" w:type="dxa"/>
                  <w:tcBorders>
                    <w:top w:val="nil"/>
                    <w:left w:val="single" w:sz="6" w:space="0" w:color="auto"/>
                    <w:bottom w:val="single" w:sz="6" w:space="0" w:color="auto"/>
                    <w:right w:val="single" w:sz="6" w:space="0" w:color="auto"/>
                  </w:tcBorders>
                  <w:vAlign w:val="center"/>
                  <w:hideMark/>
                </w:tcPr>
                <w:p w14:paraId="3688CD17"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100,0%</w:t>
                  </w:r>
                </w:p>
              </w:tc>
            </w:tr>
            <w:tr w:rsidR="00A94DF0" w:rsidRPr="009D74A3" w14:paraId="2A2DBB95" w14:textId="77777777" w:rsidTr="00740130">
              <w:trPr>
                <w:trHeight w:val="300"/>
                <w:jc w:val="center"/>
              </w:trPr>
              <w:tc>
                <w:tcPr>
                  <w:tcW w:w="1141" w:type="dxa"/>
                  <w:tcBorders>
                    <w:top w:val="nil"/>
                    <w:left w:val="single" w:sz="6" w:space="0" w:color="auto"/>
                    <w:bottom w:val="single" w:sz="6" w:space="0" w:color="auto"/>
                    <w:right w:val="nil"/>
                  </w:tcBorders>
                  <w:vAlign w:val="center"/>
                  <w:hideMark/>
                </w:tcPr>
                <w:p w14:paraId="1D469524"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Total</w:t>
                  </w:r>
                </w:p>
              </w:tc>
              <w:tc>
                <w:tcPr>
                  <w:tcW w:w="965" w:type="dxa"/>
                  <w:tcBorders>
                    <w:top w:val="nil"/>
                    <w:left w:val="single" w:sz="6" w:space="0" w:color="auto"/>
                    <w:bottom w:val="single" w:sz="6" w:space="0" w:color="auto"/>
                    <w:right w:val="single" w:sz="6" w:space="0" w:color="auto"/>
                  </w:tcBorders>
                  <w:vAlign w:val="center"/>
                  <w:hideMark/>
                </w:tcPr>
                <w:p w14:paraId="37D45A4C"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5.632</w:t>
                  </w:r>
                </w:p>
              </w:tc>
              <w:tc>
                <w:tcPr>
                  <w:tcW w:w="1071" w:type="dxa"/>
                  <w:tcBorders>
                    <w:top w:val="nil"/>
                    <w:left w:val="nil"/>
                    <w:bottom w:val="single" w:sz="6" w:space="0" w:color="auto"/>
                    <w:right w:val="single" w:sz="6" w:space="0" w:color="auto"/>
                  </w:tcBorders>
                  <w:vAlign w:val="center"/>
                  <w:hideMark/>
                </w:tcPr>
                <w:p w14:paraId="6898F5BD"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3.488</w:t>
                  </w:r>
                </w:p>
              </w:tc>
              <w:tc>
                <w:tcPr>
                  <w:tcW w:w="1071" w:type="dxa"/>
                  <w:tcBorders>
                    <w:top w:val="nil"/>
                    <w:left w:val="nil"/>
                    <w:bottom w:val="single" w:sz="6" w:space="0" w:color="auto"/>
                    <w:right w:val="single" w:sz="6" w:space="0" w:color="auto"/>
                  </w:tcBorders>
                  <w:vAlign w:val="center"/>
                  <w:hideMark/>
                </w:tcPr>
                <w:p w14:paraId="4F185596"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2.502</w:t>
                  </w:r>
                </w:p>
              </w:tc>
              <w:tc>
                <w:tcPr>
                  <w:tcW w:w="965" w:type="dxa"/>
                  <w:tcBorders>
                    <w:top w:val="nil"/>
                    <w:left w:val="nil"/>
                    <w:bottom w:val="single" w:sz="6" w:space="0" w:color="auto"/>
                    <w:right w:val="nil"/>
                  </w:tcBorders>
                  <w:vAlign w:val="center"/>
                  <w:hideMark/>
                </w:tcPr>
                <w:p w14:paraId="739833FB"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611</w:t>
                  </w:r>
                </w:p>
              </w:tc>
              <w:tc>
                <w:tcPr>
                  <w:tcW w:w="1319" w:type="dxa"/>
                  <w:tcBorders>
                    <w:top w:val="nil"/>
                    <w:left w:val="single" w:sz="6" w:space="0" w:color="auto"/>
                    <w:bottom w:val="single" w:sz="6" w:space="0" w:color="auto"/>
                    <w:right w:val="single" w:sz="6" w:space="0" w:color="auto"/>
                  </w:tcBorders>
                  <w:vAlign w:val="center"/>
                  <w:hideMark/>
                </w:tcPr>
                <w:p w14:paraId="310F11E1" w14:textId="77777777" w:rsidR="00A94DF0" w:rsidRPr="009D74A3" w:rsidRDefault="00A94DF0" w:rsidP="008B29A2">
                  <w:pPr>
                    <w:pStyle w:val="Sinespaciado"/>
                    <w:contextualSpacing/>
                    <w:jc w:val="center"/>
                    <w:rPr>
                      <w:rFonts w:ascii="Times New Roman" w:hAnsi="Times New Roman" w:cs="Times New Roman"/>
                    </w:rPr>
                  </w:pPr>
                  <w:r w:rsidRPr="009D74A3">
                    <w:rPr>
                      <w:rFonts w:ascii="Times New Roman" w:hAnsi="Times New Roman" w:cs="Times New Roman"/>
                    </w:rPr>
                    <w:t>12.233</w:t>
                  </w:r>
                </w:p>
              </w:tc>
            </w:tr>
          </w:tbl>
          <w:p w14:paraId="37820A9D" w14:textId="795BDCB3" w:rsidR="00A94DF0" w:rsidRPr="009D74A3" w:rsidRDefault="00A94DF0" w:rsidP="008B29A2">
            <w:pPr>
              <w:contextualSpacing/>
              <w:rPr>
                <w:rFonts w:ascii="Times New Roman" w:hAnsi="Times New Roman" w:cs="Times New Roman"/>
                <w:i/>
                <w:iCs/>
              </w:rPr>
            </w:pPr>
            <w:r w:rsidRPr="009D74A3">
              <w:rPr>
                <w:rFonts w:ascii="Times New Roman" w:hAnsi="Times New Roman" w:cs="Times New Roman"/>
                <w:i/>
                <w:iCs/>
              </w:rPr>
              <w:t> </w:t>
            </w:r>
            <w:r w:rsidR="009C6D5B" w:rsidRPr="00EA0322">
              <w:rPr>
                <w:rFonts w:ascii="Times New Roman" w:hAnsi="Times New Roman" w:cs="Times New Roman"/>
              </w:rPr>
              <w:t> </w:t>
            </w:r>
            <w:r w:rsidR="00EA26E8">
              <w:rPr>
                <w:rFonts w:ascii="Times New Roman" w:hAnsi="Times New Roman" w:cs="Times New Roman"/>
              </w:rPr>
              <w:t xml:space="preserve">                                         </w:t>
            </w:r>
            <w:r w:rsidR="009C6D5B" w:rsidRPr="14E02FFB">
              <w:rPr>
                <w:rFonts w:ascii="Times New Roman" w:hAnsi="Times New Roman" w:cs="Times New Roman"/>
                <w:b/>
                <w:bCs/>
                <w:lang w:val="es-MX"/>
              </w:rPr>
              <w:t>Fuente</w:t>
            </w:r>
            <w:r w:rsidR="009C6D5B" w:rsidRPr="14E02FFB">
              <w:rPr>
                <w:rFonts w:ascii="Times New Roman" w:hAnsi="Times New Roman" w:cs="Times New Roman"/>
                <w:lang w:val="es-MX"/>
              </w:rPr>
              <w:t xml:space="preserve">: Cálculos propios </w:t>
            </w:r>
            <w:r w:rsidR="009C6D5B" w:rsidRPr="14E02FFB">
              <w:rPr>
                <w:rFonts w:ascii="Times New Roman" w:hAnsi="Times New Roman" w:cs="Times New Roman"/>
              </w:rPr>
              <w:t>Secretaría Distrital de Hacienda</w:t>
            </w:r>
            <w:r w:rsidR="009C6D5B">
              <w:rPr>
                <w:rFonts w:ascii="Times New Roman" w:hAnsi="Times New Roman" w:cs="Times New Roman"/>
              </w:rPr>
              <w:t>.</w:t>
            </w:r>
          </w:p>
          <w:p w14:paraId="12DDE774" w14:textId="77777777" w:rsidR="00A94DF0" w:rsidRPr="009D74A3" w:rsidRDefault="00A94DF0" w:rsidP="008B29A2">
            <w:pPr>
              <w:contextualSpacing/>
              <w:rPr>
                <w:rFonts w:ascii="Times New Roman" w:hAnsi="Times New Roman" w:cs="Times New Roman"/>
                <w:i/>
                <w:iCs/>
              </w:rPr>
            </w:pPr>
          </w:p>
          <w:p w14:paraId="66050C61" w14:textId="77777777" w:rsidR="00A94DF0" w:rsidRPr="009D74A3" w:rsidRDefault="00A94DF0">
            <w:pPr>
              <w:pStyle w:val="Ttulo3"/>
              <w:numPr>
                <w:ilvl w:val="2"/>
                <w:numId w:val="8"/>
              </w:numPr>
              <w:spacing w:before="0" w:after="0"/>
              <w:contextualSpacing/>
              <w:outlineLvl w:val="2"/>
              <w:rPr>
                <w:rFonts w:ascii="Times New Roman" w:hAnsi="Times New Roman" w:cs="Times New Roman"/>
                <w:b/>
                <w:bCs/>
                <w:color w:val="auto"/>
                <w:sz w:val="24"/>
                <w:szCs w:val="24"/>
              </w:rPr>
            </w:pPr>
            <w:r w:rsidRPr="009D74A3">
              <w:rPr>
                <w:rFonts w:ascii="Times New Roman" w:hAnsi="Times New Roman" w:cs="Times New Roman"/>
                <w:b/>
                <w:bCs/>
                <w:color w:val="auto"/>
                <w:sz w:val="24"/>
                <w:szCs w:val="24"/>
                <w:lang w:val="es-ES"/>
              </w:rPr>
              <w:t>Ampliación del número de tarifas para predios comerciales</w:t>
            </w:r>
            <w:r w:rsidRPr="009D74A3">
              <w:rPr>
                <w:rFonts w:ascii="Times New Roman" w:hAnsi="Times New Roman" w:cs="Times New Roman"/>
                <w:b/>
                <w:bCs/>
                <w:color w:val="auto"/>
                <w:sz w:val="24"/>
                <w:szCs w:val="24"/>
              </w:rPr>
              <w:t> </w:t>
            </w:r>
          </w:p>
          <w:p w14:paraId="6AB8CAC4" w14:textId="77777777" w:rsidR="00A94DF0" w:rsidRPr="009D74A3" w:rsidRDefault="00A94DF0" w:rsidP="008B29A2">
            <w:pPr>
              <w:contextualSpacing/>
              <w:jc w:val="both"/>
              <w:rPr>
                <w:rFonts w:ascii="Times New Roman" w:hAnsi="Times New Roman" w:cs="Times New Roman"/>
              </w:rPr>
            </w:pPr>
          </w:p>
          <w:p w14:paraId="4E479FC3" w14:textId="6E56816D" w:rsidR="00A94DF0" w:rsidRPr="009D74A3" w:rsidRDefault="00A94DF0" w:rsidP="008B29A2">
            <w:pPr>
              <w:contextualSpacing/>
              <w:jc w:val="both"/>
              <w:rPr>
                <w:rFonts w:ascii="Times New Roman" w:hAnsi="Times New Roman" w:cs="Times New Roman"/>
                <w:sz w:val="24"/>
                <w:szCs w:val="24"/>
              </w:rPr>
            </w:pPr>
            <w:r w:rsidRPr="009D74A3">
              <w:rPr>
                <w:rFonts w:ascii="Times New Roman" w:hAnsi="Times New Roman" w:cs="Times New Roman"/>
                <w:sz w:val="24"/>
                <w:szCs w:val="24"/>
                <w:lang w:val="es-ES"/>
              </w:rPr>
              <w:t>De acuerdo con el artículo 1° del Acuerdo 105 de 2003 los predios con uso comercial son aquellos en los que se ofrecen, transan o almacenan bienes y servicios. Así las cosas, en aplicación del artículo 1° del Acuerdo 648 de 2016 en concordancia con la resolución que actualiza los rangos de avalúo catastral para cada vigencia, se les aplica una tarifa de 8 o 9</w:t>
            </w:r>
            <w:r w:rsidR="00716567" w:rsidRPr="009D74A3">
              <w:rPr>
                <w:rFonts w:ascii="Times New Roman" w:hAnsi="Times New Roman" w:cs="Times New Roman"/>
                <w:sz w:val="24"/>
                <w:szCs w:val="24"/>
                <w:lang w:val="es-ES"/>
              </w:rPr>
              <w:t>,</w:t>
            </w:r>
            <w:r w:rsidRPr="009D74A3">
              <w:rPr>
                <w:rFonts w:ascii="Times New Roman" w:hAnsi="Times New Roman" w:cs="Times New Roman"/>
                <w:sz w:val="24"/>
                <w:szCs w:val="24"/>
                <w:lang w:val="es-ES"/>
              </w:rPr>
              <w:t>5 por mil, atendiendo su avalúo catastral.</w:t>
            </w:r>
            <w:r w:rsidR="00F03DA0" w:rsidRPr="009D74A3">
              <w:rPr>
                <w:rFonts w:ascii="Times New Roman" w:hAnsi="Times New Roman" w:cs="Times New Roman"/>
                <w:sz w:val="24"/>
                <w:szCs w:val="24"/>
                <w:lang w:val="es-ES"/>
              </w:rPr>
              <w:t xml:space="preserve"> </w:t>
            </w:r>
          </w:p>
          <w:p w14:paraId="2CC8DE86" w14:textId="77777777" w:rsidR="00A94DF0" w:rsidRPr="009D74A3" w:rsidRDefault="00A94DF0" w:rsidP="008B29A2">
            <w:pPr>
              <w:contextualSpacing/>
              <w:jc w:val="both"/>
              <w:rPr>
                <w:rFonts w:ascii="Times New Roman" w:hAnsi="Times New Roman" w:cs="Times New Roman"/>
                <w:sz w:val="24"/>
                <w:szCs w:val="24"/>
              </w:rPr>
            </w:pPr>
          </w:p>
          <w:p w14:paraId="310D76A0" w14:textId="0B1E70E1" w:rsidR="00A94DF0" w:rsidRPr="009D74A3" w:rsidRDefault="00A94DF0" w:rsidP="008B29A2">
            <w:pPr>
              <w:contextualSpacing/>
              <w:jc w:val="both"/>
              <w:rPr>
                <w:rFonts w:ascii="Times New Roman" w:hAnsi="Times New Roman" w:cs="Times New Roman"/>
                <w:sz w:val="24"/>
                <w:szCs w:val="24"/>
              </w:rPr>
            </w:pPr>
            <w:r w:rsidRPr="009D74A3">
              <w:rPr>
                <w:rFonts w:ascii="Times New Roman" w:hAnsi="Times New Roman" w:cs="Times New Roman"/>
                <w:sz w:val="24"/>
                <w:szCs w:val="24"/>
                <w:lang w:val="es-ES"/>
              </w:rPr>
              <w:t>Para la vigencia 2025 los predios con un avalúo catastral menor o igual a $330.180.000 tienen una tarifa de 8 por mil, mientras que los que tengan un valor superior aplicarán una tarifa de 9,5 por mil. Este umbral genera altas diferencias en la liquidación del impuesto, ya que un predio con avalúo de $330 millones aplica una tarifa de 8%</w:t>
            </w:r>
            <w:r w:rsidR="00716567" w:rsidRPr="009D74A3">
              <w:rPr>
                <w:rFonts w:ascii="Times New Roman" w:hAnsi="Times New Roman" w:cs="Times New Roman"/>
                <w:sz w:val="24"/>
                <w:szCs w:val="24"/>
                <w:lang w:val="es-ES"/>
              </w:rPr>
              <w:t>,</w:t>
            </w:r>
            <w:r w:rsidRPr="009D74A3">
              <w:rPr>
                <w:rFonts w:ascii="Times New Roman" w:hAnsi="Times New Roman" w:cs="Times New Roman"/>
                <w:sz w:val="24"/>
                <w:szCs w:val="24"/>
                <w:lang w:val="es-ES"/>
              </w:rPr>
              <w:t xml:space="preserve"> pagando $2.369.000 por concepto de impuesto predial, mientras que uno con avalúo de $335 millones, liquida su impuesto a una tarifa del 9,5%o, pagando $ 3.183.000.</w:t>
            </w:r>
            <w:r w:rsidR="00F03DA0" w:rsidRPr="009D74A3">
              <w:rPr>
                <w:rFonts w:ascii="Times New Roman" w:hAnsi="Times New Roman" w:cs="Times New Roman"/>
                <w:sz w:val="24"/>
                <w:szCs w:val="24"/>
                <w:lang w:val="es-ES"/>
              </w:rPr>
              <w:t xml:space="preserve"> </w:t>
            </w:r>
          </w:p>
          <w:p w14:paraId="6C8C9796" w14:textId="77777777" w:rsidR="00A94DF0" w:rsidRPr="009D74A3" w:rsidRDefault="00A94DF0" w:rsidP="008B29A2">
            <w:pPr>
              <w:contextualSpacing/>
              <w:jc w:val="both"/>
              <w:rPr>
                <w:rFonts w:ascii="Times New Roman" w:hAnsi="Times New Roman" w:cs="Times New Roman"/>
              </w:rPr>
            </w:pPr>
          </w:p>
          <w:p w14:paraId="68A04FEC" w14:textId="38D3FE33" w:rsidR="00A94DF0" w:rsidRPr="009D74A3" w:rsidRDefault="00A94DF0" w:rsidP="008B29A2">
            <w:pPr>
              <w:contextualSpacing/>
              <w:jc w:val="both"/>
              <w:rPr>
                <w:rFonts w:ascii="Times New Roman" w:hAnsi="Times New Roman" w:cs="Times New Roman"/>
                <w:sz w:val="24"/>
                <w:szCs w:val="24"/>
              </w:rPr>
            </w:pPr>
            <w:r w:rsidRPr="009D74A3">
              <w:rPr>
                <w:rFonts w:ascii="Times New Roman" w:hAnsi="Times New Roman" w:cs="Times New Roman"/>
                <w:sz w:val="24"/>
                <w:szCs w:val="24"/>
                <w:lang w:val="es-ES"/>
              </w:rPr>
              <w:t xml:space="preserve">Ahora bien, con el objeto de mejorar la progresividad del impuesto predial en los inmuebles de uso comercial se propone incorporar </w:t>
            </w:r>
            <w:r w:rsidR="00035F63">
              <w:rPr>
                <w:rFonts w:ascii="Times New Roman" w:hAnsi="Times New Roman" w:cs="Times New Roman"/>
                <w:sz w:val="24"/>
                <w:szCs w:val="24"/>
                <w:lang w:val="es-ES"/>
              </w:rPr>
              <w:t>7</w:t>
            </w:r>
            <w:r w:rsidRPr="009D74A3">
              <w:rPr>
                <w:rFonts w:ascii="Times New Roman" w:hAnsi="Times New Roman" w:cs="Times New Roman"/>
                <w:sz w:val="24"/>
                <w:szCs w:val="24"/>
                <w:lang w:val="es-ES"/>
              </w:rPr>
              <w:t xml:space="preserve"> tarifas que varíen de acuerdo con </w:t>
            </w:r>
            <w:r w:rsidR="00604A2D">
              <w:rPr>
                <w:rFonts w:ascii="Times New Roman" w:hAnsi="Times New Roman" w:cs="Times New Roman"/>
                <w:sz w:val="24"/>
                <w:szCs w:val="24"/>
                <w:lang w:val="es-ES"/>
              </w:rPr>
              <w:t>la base gravable</w:t>
            </w:r>
            <w:r w:rsidRPr="009D74A3">
              <w:rPr>
                <w:rFonts w:ascii="Times New Roman" w:hAnsi="Times New Roman" w:cs="Times New Roman"/>
                <w:sz w:val="24"/>
                <w:szCs w:val="24"/>
                <w:lang w:val="es-ES"/>
              </w:rPr>
              <w:t xml:space="preserve"> de los inmuebles, para ello las simulaciones y resultados que se presentan a continuación se realizaron con la información de la vigencia 2024 donde se registraron 286.234 predios con destino hacendario comercial.</w:t>
            </w:r>
            <w:r w:rsidR="00F03DA0" w:rsidRPr="009D74A3">
              <w:rPr>
                <w:rFonts w:ascii="Times New Roman" w:hAnsi="Times New Roman" w:cs="Times New Roman"/>
                <w:sz w:val="24"/>
                <w:szCs w:val="24"/>
                <w:lang w:val="es-ES"/>
              </w:rPr>
              <w:t xml:space="preserve"> </w:t>
            </w:r>
          </w:p>
          <w:p w14:paraId="69270971" w14:textId="77777777" w:rsidR="00A94DF0" w:rsidRPr="009D74A3" w:rsidRDefault="00A94DF0" w:rsidP="008B29A2">
            <w:pPr>
              <w:contextualSpacing/>
              <w:jc w:val="both"/>
              <w:rPr>
                <w:rFonts w:ascii="Times New Roman" w:hAnsi="Times New Roman" w:cs="Times New Roman"/>
                <w:sz w:val="24"/>
                <w:szCs w:val="24"/>
              </w:rPr>
            </w:pPr>
          </w:p>
          <w:p w14:paraId="19A225CB" w14:textId="603E05F0" w:rsidR="00A94DF0" w:rsidRPr="009D74A3" w:rsidRDefault="00A94DF0" w:rsidP="008B29A2">
            <w:pPr>
              <w:contextualSpacing/>
              <w:jc w:val="both"/>
              <w:rPr>
                <w:rFonts w:ascii="Times New Roman" w:hAnsi="Times New Roman" w:cs="Times New Roman"/>
                <w:sz w:val="24"/>
                <w:szCs w:val="24"/>
              </w:rPr>
            </w:pPr>
            <w:r w:rsidRPr="009D74A3">
              <w:rPr>
                <w:rFonts w:ascii="Times New Roman" w:hAnsi="Times New Roman" w:cs="Times New Roman"/>
                <w:sz w:val="24"/>
                <w:szCs w:val="24"/>
                <w:lang w:val="es-ES"/>
              </w:rPr>
              <w:t>Para esta vigencia 125.297 (43.8%) liquidaron su impuesto con la tarifa del 8 por mil (G1) y 160.234 (56,2%) con la del 9,5 (G2), teniendo grupos balanceados en cuanto a la cantidad de unidades. No obstante, el promedio y mediana del avalúo en G1 es de $155,4 millones y $157,0 millones respectivamente, mientras que el promedio y mediana en G2 es de $1.195,2 millones y $598 millones. Un promedio que duplica la mediana en G2 indica la presencia de predios con avalúos atípicos, y bastante dispersos en altos valores, donde el 20% de los predios con avalúo más alto se acerca a este promedio, generando inequidad y fortaleciendo la propuesta de progresividad en estos predios.</w:t>
            </w:r>
            <w:r w:rsidR="00F03DA0" w:rsidRPr="009D74A3">
              <w:rPr>
                <w:rFonts w:ascii="Times New Roman" w:hAnsi="Times New Roman" w:cs="Times New Roman"/>
                <w:sz w:val="24"/>
                <w:szCs w:val="24"/>
                <w:lang w:val="es-ES"/>
              </w:rPr>
              <w:t xml:space="preserve"> </w:t>
            </w:r>
          </w:p>
          <w:p w14:paraId="0F644E51" w14:textId="77777777" w:rsidR="00A94DF0" w:rsidRPr="009D74A3" w:rsidRDefault="00A94DF0" w:rsidP="008B29A2">
            <w:pPr>
              <w:contextualSpacing/>
              <w:jc w:val="both"/>
              <w:rPr>
                <w:rFonts w:ascii="Times New Roman" w:hAnsi="Times New Roman" w:cs="Times New Roman"/>
                <w:sz w:val="24"/>
                <w:szCs w:val="24"/>
              </w:rPr>
            </w:pPr>
          </w:p>
          <w:p w14:paraId="70FFC1E8" w14:textId="6E2A3A5D" w:rsidR="009C3C4D" w:rsidRPr="009D74A3" w:rsidRDefault="00A94DF0" w:rsidP="009C3C4D">
            <w:pPr>
              <w:contextualSpacing/>
              <w:jc w:val="center"/>
              <w:rPr>
                <w:rFonts w:ascii="Times New Roman" w:hAnsi="Times New Roman" w:cs="Times New Roman"/>
                <w:b/>
              </w:rPr>
            </w:pPr>
            <w:r w:rsidRPr="009D74A3">
              <w:rPr>
                <w:rFonts w:ascii="Times New Roman" w:hAnsi="Times New Roman" w:cs="Times New Roman"/>
                <w:b/>
              </w:rPr>
              <w:t xml:space="preserve">Tabla </w:t>
            </w:r>
            <w:r w:rsidR="007F77CF">
              <w:rPr>
                <w:rFonts w:ascii="Times New Roman" w:hAnsi="Times New Roman" w:cs="Times New Roman"/>
                <w:b/>
              </w:rPr>
              <w:t>26</w:t>
            </w:r>
          </w:p>
          <w:p w14:paraId="0A1663A9" w14:textId="76350681" w:rsidR="009D74A3" w:rsidRDefault="00A94DF0" w:rsidP="00FF5085">
            <w:pPr>
              <w:contextualSpacing/>
              <w:jc w:val="center"/>
              <w:rPr>
                <w:rFonts w:ascii="Times New Roman" w:hAnsi="Times New Roman" w:cs="Times New Roman"/>
                <w:b/>
                <w:bCs/>
                <w:lang w:val="es-ES"/>
              </w:rPr>
            </w:pPr>
            <w:r w:rsidRPr="009D74A3">
              <w:rPr>
                <w:rFonts w:ascii="Times New Roman" w:hAnsi="Times New Roman" w:cs="Times New Roman"/>
                <w:b/>
                <w:bCs/>
                <w:lang w:val="es-ES"/>
              </w:rPr>
              <w:t>Propuesta de progresividad en los predios comerciales</w:t>
            </w:r>
          </w:p>
          <w:tbl>
            <w:tblPr>
              <w:tblStyle w:val="Tablaconcuadrcula"/>
              <w:tblpPr w:leftFromText="180" w:rightFromText="180" w:vertAnchor="text" w:tblpXSpec="center" w:tblpY="1"/>
              <w:tblOverlap w:val="never"/>
              <w:tblW w:w="0" w:type="auto"/>
              <w:tblLayout w:type="fixed"/>
              <w:tblLook w:val="04A0" w:firstRow="1" w:lastRow="0" w:firstColumn="1" w:lastColumn="0" w:noHBand="0" w:noVBand="1"/>
            </w:tblPr>
            <w:tblGrid>
              <w:gridCol w:w="2207"/>
              <w:gridCol w:w="2207"/>
              <w:gridCol w:w="2207"/>
              <w:gridCol w:w="2207"/>
            </w:tblGrid>
            <w:tr w:rsidR="009D74A3" w:rsidRPr="00EA0322" w14:paraId="2190E07F" w14:textId="77777777" w:rsidTr="00740130">
              <w:trPr>
                <w:trHeight w:val="300"/>
              </w:trPr>
              <w:tc>
                <w:tcPr>
                  <w:tcW w:w="2207" w:type="dxa"/>
                  <w:vMerge w:val="restart"/>
                  <w:shd w:val="clear" w:color="auto" w:fill="002060"/>
                </w:tcPr>
                <w:p w14:paraId="5691632B" w14:textId="77777777" w:rsidR="009D74A3" w:rsidRPr="009D74A3" w:rsidRDefault="009D74A3" w:rsidP="009D74A3">
                  <w:pPr>
                    <w:ind w:right="49"/>
                    <w:contextualSpacing/>
                    <w:jc w:val="center"/>
                    <w:rPr>
                      <w:rFonts w:ascii="Times New Roman" w:hAnsi="Times New Roman" w:cs="Times New Roman"/>
                      <w:b/>
                      <w:iCs/>
                      <w:color w:val="000000" w:themeColor="text1"/>
                      <w:sz w:val="18"/>
                      <w:szCs w:val="18"/>
                    </w:rPr>
                  </w:pPr>
                  <w:r w:rsidRPr="009D74A3">
                    <w:rPr>
                      <w:rFonts w:ascii="Times New Roman" w:hAnsi="Times New Roman" w:cs="Times New Roman"/>
                      <w:b/>
                      <w:iCs/>
                      <w:color w:val="FFFFFF" w:themeColor="background1"/>
                      <w:sz w:val="18"/>
                      <w:szCs w:val="18"/>
                    </w:rPr>
                    <w:t>DESTINO HACENDARIO</w:t>
                  </w:r>
                </w:p>
              </w:tc>
              <w:tc>
                <w:tcPr>
                  <w:tcW w:w="4414" w:type="dxa"/>
                  <w:gridSpan w:val="2"/>
                  <w:shd w:val="clear" w:color="auto" w:fill="002060"/>
                </w:tcPr>
                <w:p w14:paraId="229645E9" w14:textId="77777777" w:rsidR="009D74A3" w:rsidRPr="009D74A3" w:rsidRDefault="009D74A3" w:rsidP="009D74A3">
                  <w:pPr>
                    <w:ind w:right="49"/>
                    <w:contextualSpacing/>
                    <w:jc w:val="center"/>
                    <w:rPr>
                      <w:rFonts w:ascii="Times New Roman" w:hAnsi="Times New Roman" w:cs="Times New Roman"/>
                      <w:b/>
                      <w:iCs/>
                      <w:color w:val="FFFFFF" w:themeColor="background1"/>
                      <w:sz w:val="18"/>
                      <w:szCs w:val="18"/>
                    </w:rPr>
                  </w:pPr>
                  <w:r w:rsidRPr="009D74A3">
                    <w:rPr>
                      <w:rFonts w:ascii="Times New Roman" w:hAnsi="Times New Roman" w:cs="Times New Roman"/>
                      <w:b/>
                      <w:iCs/>
                      <w:color w:val="FFFFFF" w:themeColor="background1"/>
                      <w:sz w:val="18"/>
                      <w:szCs w:val="18"/>
                    </w:rPr>
                    <w:t>BASE GRAVABLE</w:t>
                  </w:r>
                </w:p>
              </w:tc>
              <w:tc>
                <w:tcPr>
                  <w:tcW w:w="2207" w:type="dxa"/>
                  <w:vMerge w:val="restart"/>
                  <w:shd w:val="clear" w:color="auto" w:fill="002060"/>
                </w:tcPr>
                <w:p w14:paraId="7A04B496" w14:textId="77777777" w:rsidR="009D74A3" w:rsidRPr="009D74A3" w:rsidRDefault="009D74A3" w:rsidP="009D74A3">
                  <w:pPr>
                    <w:ind w:right="49"/>
                    <w:contextualSpacing/>
                    <w:jc w:val="center"/>
                    <w:rPr>
                      <w:rFonts w:ascii="Times New Roman" w:hAnsi="Times New Roman" w:cs="Times New Roman"/>
                      <w:b/>
                      <w:iCs/>
                      <w:color w:val="000000" w:themeColor="text1"/>
                      <w:sz w:val="18"/>
                      <w:szCs w:val="18"/>
                    </w:rPr>
                  </w:pPr>
                  <w:r w:rsidRPr="009D74A3">
                    <w:rPr>
                      <w:rFonts w:ascii="Times New Roman" w:hAnsi="Times New Roman" w:cs="Times New Roman"/>
                      <w:b/>
                      <w:iCs/>
                      <w:color w:val="FFFFFF" w:themeColor="background1"/>
                      <w:sz w:val="18"/>
                      <w:szCs w:val="18"/>
                    </w:rPr>
                    <w:t>TARIFA</w:t>
                  </w:r>
                </w:p>
              </w:tc>
            </w:tr>
            <w:tr w:rsidR="009D74A3" w:rsidRPr="00EA0322" w14:paraId="3337F4EB" w14:textId="77777777" w:rsidTr="00740130">
              <w:trPr>
                <w:trHeight w:val="300"/>
              </w:trPr>
              <w:tc>
                <w:tcPr>
                  <w:tcW w:w="2207" w:type="dxa"/>
                  <w:vMerge/>
                </w:tcPr>
                <w:p w14:paraId="4E01214E" w14:textId="77777777" w:rsidR="009D74A3" w:rsidRPr="009D74A3" w:rsidRDefault="009D74A3" w:rsidP="009D74A3">
                  <w:pPr>
                    <w:ind w:right="49"/>
                    <w:contextualSpacing/>
                    <w:jc w:val="center"/>
                    <w:rPr>
                      <w:rFonts w:ascii="Times New Roman" w:hAnsi="Times New Roman" w:cs="Times New Roman"/>
                      <w:b/>
                      <w:iCs/>
                      <w:color w:val="000000" w:themeColor="text1"/>
                      <w:sz w:val="18"/>
                      <w:szCs w:val="18"/>
                    </w:rPr>
                  </w:pPr>
                </w:p>
              </w:tc>
              <w:tc>
                <w:tcPr>
                  <w:tcW w:w="2207" w:type="dxa"/>
                  <w:shd w:val="clear" w:color="auto" w:fill="002060"/>
                </w:tcPr>
                <w:p w14:paraId="1C679DE1" w14:textId="77777777" w:rsidR="009D74A3" w:rsidRPr="009D74A3" w:rsidRDefault="009D74A3" w:rsidP="009D74A3">
                  <w:pPr>
                    <w:ind w:right="49"/>
                    <w:contextualSpacing/>
                    <w:jc w:val="center"/>
                    <w:rPr>
                      <w:rFonts w:ascii="Times New Roman" w:hAnsi="Times New Roman" w:cs="Times New Roman"/>
                      <w:b/>
                      <w:iCs/>
                      <w:color w:val="FFFFFF" w:themeColor="background1"/>
                      <w:sz w:val="18"/>
                      <w:szCs w:val="18"/>
                    </w:rPr>
                  </w:pPr>
                  <w:r w:rsidRPr="009D74A3">
                    <w:rPr>
                      <w:rFonts w:ascii="Times New Roman" w:hAnsi="Times New Roman" w:cs="Times New Roman"/>
                      <w:b/>
                      <w:iCs/>
                      <w:color w:val="FFFFFF" w:themeColor="background1"/>
                      <w:sz w:val="18"/>
                      <w:szCs w:val="18"/>
                    </w:rPr>
                    <w:t>DESDE</w:t>
                  </w:r>
                </w:p>
              </w:tc>
              <w:tc>
                <w:tcPr>
                  <w:tcW w:w="2207" w:type="dxa"/>
                  <w:shd w:val="clear" w:color="auto" w:fill="002060"/>
                </w:tcPr>
                <w:p w14:paraId="4E2093D5" w14:textId="77777777" w:rsidR="009D74A3" w:rsidRPr="009D74A3" w:rsidRDefault="009D74A3" w:rsidP="009D74A3">
                  <w:pPr>
                    <w:ind w:right="49"/>
                    <w:contextualSpacing/>
                    <w:jc w:val="center"/>
                    <w:rPr>
                      <w:rFonts w:ascii="Times New Roman" w:hAnsi="Times New Roman" w:cs="Times New Roman"/>
                      <w:b/>
                      <w:iCs/>
                      <w:color w:val="FFFFFF" w:themeColor="background1"/>
                      <w:sz w:val="18"/>
                      <w:szCs w:val="18"/>
                    </w:rPr>
                  </w:pPr>
                  <w:r w:rsidRPr="009D74A3">
                    <w:rPr>
                      <w:rFonts w:ascii="Times New Roman" w:hAnsi="Times New Roman" w:cs="Times New Roman"/>
                      <w:b/>
                      <w:iCs/>
                      <w:color w:val="FFFFFF" w:themeColor="background1"/>
                      <w:sz w:val="18"/>
                      <w:szCs w:val="18"/>
                    </w:rPr>
                    <w:t>HASTA</w:t>
                  </w:r>
                </w:p>
              </w:tc>
              <w:tc>
                <w:tcPr>
                  <w:tcW w:w="2207" w:type="dxa"/>
                  <w:vMerge/>
                </w:tcPr>
                <w:p w14:paraId="52D43D13" w14:textId="77777777" w:rsidR="009D74A3" w:rsidRPr="009D74A3" w:rsidRDefault="009D74A3" w:rsidP="009D74A3">
                  <w:pPr>
                    <w:ind w:right="49"/>
                    <w:contextualSpacing/>
                    <w:jc w:val="center"/>
                    <w:rPr>
                      <w:rFonts w:ascii="Times New Roman" w:hAnsi="Times New Roman" w:cs="Times New Roman"/>
                      <w:b/>
                      <w:iCs/>
                      <w:color w:val="000000" w:themeColor="text1"/>
                      <w:sz w:val="18"/>
                      <w:szCs w:val="18"/>
                    </w:rPr>
                  </w:pPr>
                </w:p>
              </w:tc>
            </w:tr>
            <w:tr w:rsidR="009D74A3" w:rsidRPr="00EA0322" w14:paraId="6CCDBC77" w14:textId="77777777" w:rsidTr="00740130">
              <w:trPr>
                <w:trHeight w:val="300"/>
              </w:trPr>
              <w:tc>
                <w:tcPr>
                  <w:tcW w:w="2207" w:type="dxa"/>
                  <w:vMerge w:val="restart"/>
                  <w:vAlign w:val="center"/>
                </w:tcPr>
                <w:p w14:paraId="04BBAE3F"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Comercial</w:t>
                  </w:r>
                </w:p>
              </w:tc>
              <w:tc>
                <w:tcPr>
                  <w:tcW w:w="2207" w:type="dxa"/>
                </w:tcPr>
                <w:p w14:paraId="2F185651"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0</w:t>
                  </w:r>
                </w:p>
              </w:tc>
              <w:tc>
                <w:tcPr>
                  <w:tcW w:w="2207" w:type="dxa"/>
                </w:tcPr>
                <w:p w14:paraId="53B43A71"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$384.844.000</w:t>
                  </w:r>
                </w:p>
              </w:tc>
              <w:tc>
                <w:tcPr>
                  <w:tcW w:w="2207" w:type="dxa"/>
                </w:tcPr>
                <w:p w14:paraId="4432D2CC"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8</w:t>
                  </w:r>
                </w:p>
              </w:tc>
            </w:tr>
            <w:tr w:rsidR="009D74A3" w:rsidRPr="00EA0322" w14:paraId="25A2E809" w14:textId="77777777" w:rsidTr="00740130">
              <w:trPr>
                <w:trHeight w:val="300"/>
              </w:trPr>
              <w:tc>
                <w:tcPr>
                  <w:tcW w:w="2207" w:type="dxa"/>
                  <w:vMerge/>
                  <w:vAlign w:val="center"/>
                </w:tcPr>
                <w:p w14:paraId="2BC411B3"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p>
              </w:tc>
              <w:tc>
                <w:tcPr>
                  <w:tcW w:w="2207" w:type="dxa"/>
                </w:tcPr>
                <w:p w14:paraId="1BE7CC3B"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$384.844.001</w:t>
                  </w:r>
                </w:p>
              </w:tc>
              <w:tc>
                <w:tcPr>
                  <w:tcW w:w="2207" w:type="dxa"/>
                </w:tcPr>
                <w:p w14:paraId="2692C2DC"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$864.223.000</w:t>
                  </w:r>
                </w:p>
              </w:tc>
              <w:tc>
                <w:tcPr>
                  <w:tcW w:w="2207" w:type="dxa"/>
                </w:tcPr>
                <w:p w14:paraId="674A3A13"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9</w:t>
                  </w:r>
                </w:p>
              </w:tc>
            </w:tr>
            <w:tr w:rsidR="009D74A3" w:rsidRPr="00EA0322" w14:paraId="68D399B5" w14:textId="77777777" w:rsidTr="00740130">
              <w:trPr>
                <w:trHeight w:val="300"/>
              </w:trPr>
              <w:tc>
                <w:tcPr>
                  <w:tcW w:w="2207" w:type="dxa"/>
                  <w:vMerge/>
                  <w:vAlign w:val="center"/>
                </w:tcPr>
                <w:p w14:paraId="75AC61C8"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p>
              </w:tc>
              <w:tc>
                <w:tcPr>
                  <w:tcW w:w="2207" w:type="dxa"/>
                </w:tcPr>
                <w:p w14:paraId="71301E8E"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$864.223.001</w:t>
                  </w:r>
                </w:p>
              </w:tc>
              <w:tc>
                <w:tcPr>
                  <w:tcW w:w="2207" w:type="dxa"/>
                </w:tcPr>
                <w:p w14:paraId="5E1112D0"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$1.612.401.000</w:t>
                  </w:r>
                </w:p>
              </w:tc>
              <w:tc>
                <w:tcPr>
                  <w:tcW w:w="2207" w:type="dxa"/>
                </w:tcPr>
                <w:p w14:paraId="500B9EB0"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10</w:t>
                  </w:r>
                </w:p>
              </w:tc>
            </w:tr>
            <w:tr w:rsidR="009D74A3" w:rsidRPr="00EA0322" w14:paraId="0A83D8D1" w14:textId="77777777" w:rsidTr="00740130">
              <w:trPr>
                <w:trHeight w:val="300"/>
              </w:trPr>
              <w:tc>
                <w:tcPr>
                  <w:tcW w:w="2207" w:type="dxa"/>
                  <w:vMerge/>
                  <w:vAlign w:val="center"/>
                </w:tcPr>
                <w:p w14:paraId="18BC9171"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p>
              </w:tc>
              <w:tc>
                <w:tcPr>
                  <w:tcW w:w="2207" w:type="dxa"/>
                </w:tcPr>
                <w:p w14:paraId="152469FB"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$1.612.401.001</w:t>
                  </w:r>
                </w:p>
              </w:tc>
              <w:tc>
                <w:tcPr>
                  <w:tcW w:w="2207" w:type="dxa"/>
                </w:tcPr>
                <w:p w14:paraId="31027210"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$2.763.285.000</w:t>
                  </w:r>
                </w:p>
              </w:tc>
              <w:tc>
                <w:tcPr>
                  <w:tcW w:w="2207" w:type="dxa"/>
                </w:tcPr>
                <w:p w14:paraId="45DEAC46"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11</w:t>
                  </w:r>
                </w:p>
              </w:tc>
            </w:tr>
            <w:tr w:rsidR="009D74A3" w:rsidRPr="00EA0322" w14:paraId="6248F8D9" w14:textId="77777777" w:rsidTr="00740130">
              <w:trPr>
                <w:trHeight w:val="300"/>
              </w:trPr>
              <w:tc>
                <w:tcPr>
                  <w:tcW w:w="2207" w:type="dxa"/>
                  <w:vMerge/>
                  <w:vAlign w:val="center"/>
                </w:tcPr>
                <w:p w14:paraId="7F21862A"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p>
              </w:tc>
              <w:tc>
                <w:tcPr>
                  <w:tcW w:w="2207" w:type="dxa"/>
                </w:tcPr>
                <w:p w14:paraId="4424FAF5"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$2.763.285.001</w:t>
                  </w:r>
                </w:p>
              </w:tc>
              <w:tc>
                <w:tcPr>
                  <w:tcW w:w="2207" w:type="dxa"/>
                </w:tcPr>
                <w:p w14:paraId="59BC7307"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$4.469.988.000</w:t>
                  </w:r>
                </w:p>
              </w:tc>
              <w:tc>
                <w:tcPr>
                  <w:tcW w:w="2207" w:type="dxa"/>
                </w:tcPr>
                <w:p w14:paraId="2D95AE35"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12</w:t>
                  </w:r>
                </w:p>
              </w:tc>
            </w:tr>
            <w:tr w:rsidR="009D74A3" w:rsidRPr="00EA0322" w14:paraId="321ED884" w14:textId="77777777" w:rsidTr="00740130">
              <w:trPr>
                <w:trHeight w:val="300"/>
              </w:trPr>
              <w:tc>
                <w:tcPr>
                  <w:tcW w:w="2207" w:type="dxa"/>
                  <w:vMerge/>
                  <w:vAlign w:val="center"/>
                </w:tcPr>
                <w:p w14:paraId="247F959E"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p>
              </w:tc>
              <w:tc>
                <w:tcPr>
                  <w:tcW w:w="2207" w:type="dxa"/>
                </w:tcPr>
                <w:p w14:paraId="4D9BA0BE"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$4.469.988.001</w:t>
                  </w:r>
                </w:p>
              </w:tc>
              <w:tc>
                <w:tcPr>
                  <w:tcW w:w="2207" w:type="dxa"/>
                </w:tcPr>
                <w:p w14:paraId="66728AC3"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$6.982.999.000</w:t>
                  </w:r>
                </w:p>
              </w:tc>
              <w:tc>
                <w:tcPr>
                  <w:tcW w:w="2207" w:type="dxa"/>
                </w:tcPr>
                <w:p w14:paraId="534250B4"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13</w:t>
                  </w:r>
                </w:p>
              </w:tc>
            </w:tr>
            <w:tr w:rsidR="009D74A3" w:rsidRPr="00EA0322" w14:paraId="6ECE4701" w14:textId="77777777" w:rsidTr="00740130">
              <w:trPr>
                <w:trHeight w:val="300"/>
              </w:trPr>
              <w:tc>
                <w:tcPr>
                  <w:tcW w:w="2207" w:type="dxa"/>
                  <w:vMerge/>
                  <w:vAlign w:val="center"/>
                </w:tcPr>
                <w:p w14:paraId="64651299"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p>
              </w:tc>
              <w:tc>
                <w:tcPr>
                  <w:tcW w:w="2207" w:type="dxa"/>
                </w:tcPr>
                <w:p w14:paraId="14875ED6"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Más de $6.982.999.000</w:t>
                  </w:r>
                </w:p>
              </w:tc>
              <w:tc>
                <w:tcPr>
                  <w:tcW w:w="2207" w:type="dxa"/>
                </w:tcPr>
                <w:p w14:paraId="284DF6C2"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p>
              </w:tc>
              <w:tc>
                <w:tcPr>
                  <w:tcW w:w="2207" w:type="dxa"/>
                </w:tcPr>
                <w:p w14:paraId="52004119" w14:textId="77777777" w:rsidR="009D74A3" w:rsidRPr="009D74A3" w:rsidRDefault="009D74A3" w:rsidP="009D74A3">
                  <w:pPr>
                    <w:ind w:right="49"/>
                    <w:contextualSpacing/>
                    <w:jc w:val="center"/>
                    <w:rPr>
                      <w:rFonts w:ascii="Times New Roman" w:hAnsi="Times New Roman" w:cs="Times New Roman"/>
                      <w:iCs/>
                      <w:color w:val="000000" w:themeColor="text1"/>
                      <w:sz w:val="18"/>
                      <w:szCs w:val="18"/>
                    </w:rPr>
                  </w:pPr>
                  <w:r w:rsidRPr="009D74A3">
                    <w:rPr>
                      <w:rFonts w:ascii="Times New Roman" w:hAnsi="Times New Roman" w:cs="Times New Roman"/>
                      <w:iCs/>
                      <w:color w:val="000000" w:themeColor="text1"/>
                      <w:sz w:val="18"/>
                      <w:szCs w:val="18"/>
                    </w:rPr>
                    <w:t>14</w:t>
                  </w:r>
                </w:p>
              </w:tc>
            </w:tr>
          </w:tbl>
          <w:p w14:paraId="6FD47FEB" w14:textId="463C4C0A" w:rsidR="009D74A3" w:rsidRDefault="009D74A3" w:rsidP="009D74A3">
            <w:pPr>
              <w:contextualSpacing/>
              <w:jc w:val="center"/>
              <w:rPr>
                <w:rFonts w:ascii="Times New Roman" w:hAnsi="Times New Roman" w:cs="Times New Roman"/>
                <w:b/>
                <w:bCs/>
                <w:lang w:val="es-ES"/>
              </w:rPr>
            </w:pPr>
          </w:p>
          <w:p w14:paraId="123DE43E" w14:textId="6B69D25F" w:rsidR="009D74A3" w:rsidRDefault="009D74A3" w:rsidP="009D74A3">
            <w:pPr>
              <w:contextualSpacing/>
              <w:jc w:val="center"/>
              <w:rPr>
                <w:rFonts w:ascii="Times New Roman" w:hAnsi="Times New Roman" w:cs="Times New Roman"/>
                <w:b/>
                <w:bCs/>
                <w:lang w:val="es-ES"/>
              </w:rPr>
            </w:pPr>
          </w:p>
          <w:p w14:paraId="55B87B06" w14:textId="77777777" w:rsidR="009D74A3" w:rsidRPr="009D74A3" w:rsidRDefault="009D74A3" w:rsidP="009D74A3">
            <w:pPr>
              <w:contextualSpacing/>
              <w:jc w:val="center"/>
              <w:rPr>
                <w:rFonts w:ascii="Times New Roman" w:hAnsi="Times New Roman" w:cs="Times New Roman"/>
                <w:sz w:val="24"/>
                <w:szCs w:val="24"/>
                <w:lang w:val="es-ES"/>
              </w:rPr>
            </w:pPr>
          </w:p>
          <w:p w14:paraId="23656EDC" w14:textId="77777777" w:rsidR="009D74A3" w:rsidRDefault="009D74A3" w:rsidP="008B29A2">
            <w:pPr>
              <w:contextualSpacing/>
              <w:jc w:val="both"/>
              <w:rPr>
                <w:rFonts w:ascii="Times New Roman" w:hAnsi="Times New Roman" w:cs="Times New Roman"/>
                <w:sz w:val="24"/>
                <w:szCs w:val="24"/>
                <w:lang w:val="es-ES"/>
              </w:rPr>
            </w:pPr>
          </w:p>
          <w:p w14:paraId="01A68F74" w14:textId="77777777" w:rsidR="009D74A3" w:rsidRDefault="009D74A3" w:rsidP="008B29A2">
            <w:pPr>
              <w:contextualSpacing/>
              <w:jc w:val="both"/>
              <w:rPr>
                <w:rFonts w:ascii="Times New Roman" w:hAnsi="Times New Roman" w:cs="Times New Roman"/>
                <w:sz w:val="24"/>
                <w:szCs w:val="24"/>
                <w:lang w:val="es-ES"/>
              </w:rPr>
            </w:pPr>
          </w:p>
          <w:p w14:paraId="61301F92" w14:textId="77777777" w:rsidR="009D74A3" w:rsidRDefault="009D74A3" w:rsidP="008B29A2">
            <w:pPr>
              <w:contextualSpacing/>
              <w:jc w:val="both"/>
              <w:rPr>
                <w:rFonts w:ascii="Times New Roman" w:hAnsi="Times New Roman" w:cs="Times New Roman"/>
                <w:sz w:val="24"/>
                <w:szCs w:val="24"/>
                <w:lang w:val="es-ES"/>
              </w:rPr>
            </w:pPr>
          </w:p>
          <w:p w14:paraId="1569AE89" w14:textId="77777777" w:rsidR="009D74A3" w:rsidRDefault="009D74A3" w:rsidP="008B29A2">
            <w:pPr>
              <w:contextualSpacing/>
              <w:jc w:val="both"/>
              <w:rPr>
                <w:rFonts w:ascii="Times New Roman" w:hAnsi="Times New Roman" w:cs="Times New Roman"/>
                <w:sz w:val="24"/>
                <w:szCs w:val="24"/>
                <w:lang w:val="es-ES"/>
              </w:rPr>
            </w:pPr>
          </w:p>
          <w:p w14:paraId="0B015F15" w14:textId="77777777" w:rsidR="009D74A3" w:rsidRDefault="009D74A3" w:rsidP="008B29A2">
            <w:pPr>
              <w:contextualSpacing/>
              <w:jc w:val="both"/>
              <w:rPr>
                <w:rFonts w:ascii="Times New Roman" w:hAnsi="Times New Roman" w:cs="Times New Roman"/>
                <w:sz w:val="24"/>
                <w:szCs w:val="24"/>
                <w:lang w:val="es-ES"/>
              </w:rPr>
            </w:pPr>
          </w:p>
          <w:p w14:paraId="518D117F" w14:textId="77777777" w:rsidR="009D74A3" w:rsidRDefault="009D74A3" w:rsidP="008B29A2">
            <w:pPr>
              <w:contextualSpacing/>
              <w:jc w:val="both"/>
              <w:rPr>
                <w:rFonts w:ascii="Times New Roman" w:hAnsi="Times New Roman" w:cs="Times New Roman"/>
                <w:sz w:val="24"/>
                <w:szCs w:val="24"/>
                <w:lang w:val="es-ES"/>
              </w:rPr>
            </w:pPr>
          </w:p>
          <w:p w14:paraId="1136B38F" w14:textId="77777777" w:rsidR="009D74A3" w:rsidRDefault="009D74A3" w:rsidP="008B29A2">
            <w:pPr>
              <w:contextualSpacing/>
              <w:jc w:val="both"/>
              <w:rPr>
                <w:rFonts w:ascii="Times New Roman" w:hAnsi="Times New Roman" w:cs="Times New Roman"/>
                <w:sz w:val="24"/>
                <w:szCs w:val="24"/>
                <w:lang w:val="es-ES"/>
              </w:rPr>
            </w:pPr>
          </w:p>
          <w:p w14:paraId="5661F5EF" w14:textId="289D5F1B" w:rsidR="00F06E66" w:rsidRPr="00F06E66" w:rsidRDefault="00F06E66" w:rsidP="00F06E66">
            <w:pPr>
              <w:contextualSpacing/>
              <w:jc w:val="center"/>
              <w:rPr>
                <w:rFonts w:ascii="Times New Roman" w:hAnsi="Times New Roman" w:cs="Times New Roman"/>
                <w:sz w:val="20"/>
                <w:szCs w:val="20"/>
              </w:rPr>
            </w:pPr>
            <w:r w:rsidRPr="00F06E66">
              <w:rPr>
                <w:rFonts w:ascii="Times New Roman" w:hAnsi="Times New Roman" w:cs="Times New Roman"/>
                <w:b/>
                <w:bCs/>
                <w:sz w:val="20"/>
                <w:szCs w:val="20"/>
                <w:lang w:val="es-MX"/>
              </w:rPr>
              <w:t>Fuente</w:t>
            </w:r>
            <w:r w:rsidRPr="00F06E66">
              <w:rPr>
                <w:rFonts w:ascii="Times New Roman" w:hAnsi="Times New Roman" w:cs="Times New Roman"/>
                <w:sz w:val="20"/>
                <w:szCs w:val="20"/>
                <w:lang w:val="es-MX"/>
              </w:rPr>
              <w:t xml:space="preserve">: </w:t>
            </w:r>
            <w:r w:rsidRPr="00F06E66">
              <w:rPr>
                <w:rFonts w:ascii="Times New Roman" w:hAnsi="Times New Roman" w:cs="Times New Roman"/>
                <w:sz w:val="20"/>
                <w:szCs w:val="20"/>
              </w:rPr>
              <w:t>Secretaría Distrital de Hacienda.</w:t>
            </w:r>
          </w:p>
          <w:p w14:paraId="378A7973" w14:textId="77777777" w:rsidR="00F06E66" w:rsidRDefault="00F06E66" w:rsidP="008B29A2">
            <w:pPr>
              <w:contextualSpacing/>
              <w:jc w:val="both"/>
              <w:rPr>
                <w:rFonts w:ascii="Times New Roman" w:hAnsi="Times New Roman" w:cs="Times New Roman"/>
                <w:sz w:val="24"/>
                <w:szCs w:val="24"/>
                <w:lang w:val="es-ES"/>
              </w:rPr>
            </w:pPr>
          </w:p>
          <w:p w14:paraId="32E1CDDB" w14:textId="7F994F77" w:rsidR="00A94DF0" w:rsidRPr="009D74A3" w:rsidRDefault="00A94DF0" w:rsidP="008B29A2">
            <w:pPr>
              <w:contextualSpacing/>
              <w:jc w:val="both"/>
              <w:rPr>
                <w:rFonts w:ascii="Times New Roman" w:hAnsi="Times New Roman" w:cs="Times New Roman"/>
                <w:sz w:val="24"/>
                <w:szCs w:val="24"/>
                <w:lang w:val="es-ES"/>
              </w:rPr>
            </w:pPr>
            <w:r w:rsidRPr="009D74A3">
              <w:rPr>
                <w:rFonts w:ascii="Times New Roman" w:hAnsi="Times New Roman" w:cs="Times New Roman"/>
                <w:sz w:val="24"/>
                <w:szCs w:val="24"/>
                <w:lang w:val="es-ES"/>
              </w:rPr>
              <w:t>De adoptarse las tarifas propuestas se generaría un incremento aproximado de $ 108 mil millones de pesos adicionales en el recaudo anual de la ciudad de Bogotá y traería consigo la disminución del tributo para 88 mil predios comerciales (31%), mantendría su nivel de tributación para para 141 mil predios (49%) y aumentaría el impuesto a 57 mil predios (20%), que serían los de mayor avaluó catastral.</w:t>
            </w:r>
            <w:r w:rsidRPr="009D74A3">
              <w:rPr>
                <w:rFonts w:ascii="Times New Roman" w:hAnsi="Times New Roman" w:cs="Times New Roman"/>
                <w:sz w:val="24"/>
                <w:szCs w:val="24"/>
              </w:rPr>
              <w:t> </w:t>
            </w:r>
          </w:p>
          <w:p w14:paraId="1D0FAF1A" w14:textId="77777777" w:rsidR="00F06E66" w:rsidRPr="009D74A3" w:rsidRDefault="00F06E66" w:rsidP="008B29A2">
            <w:pPr>
              <w:contextualSpacing/>
              <w:jc w:val="both"/>
              <w:rPr>
                <w:rFonts w:ascii="Times New Roman" w:hAnsi="Times New Roman" w:cs="Times New Roman"/>
              </w:rPr>
            </w:pPr>
          </w:p>
          <w:p w14:paraId="2202C688" w14:textId="16DCFD95" w:rsidR="009C3C4D" w:rsidRPr="009D74A3" w:rsidRDefault="00A94DF0" w:rsidP="009C3C4D">
            <w:pPr>
              <w:contextualSpacing/>
              <w:jc w:val="center"/>
              <w:rPr>
                <w:rFonts w:ascii="Times New Roman" w:hAnsi="Times New Roman" w:cs="Times New Roman"/>
                <w:b/>
              </w:rPr>
            </w:pPr>
            <w:r w:rsidRPr="009D74A3">
              <w:rPr>
                <w:rFonts w:ascii="Times New Roman" w:hAnsi="Times New Roman" w:cs="Times New Roman"/>
                <w:b/>
              </w:rPr>
              <w:t xml:space="preserve">Tabla </w:t>
            </w:r>
            <w:r w:rsidR="005C12F9" w:rsidRPr="009D74A3">
              <w:rPr>
                <w:rFonts w:ascii="Times New Roman" w:hAnsi="Times New Roman" w:cs="Times New Roman"/>
                <w:b/>
              </w:rPr>
              <w:t>2</w:t>
            </w:r>
            <w:r w:rsidR="007F77CF">
              <w:rPr>
                <w:rFonts w:ascii="Times New Roman" w:hAnsi="Times New Roman" w:cs="Times New Roman"/>
                <w:b/>
              </w:rPr>
              <w:t>7</w:t>
            </w:r>
          </w:p>
          <w:p w14:paraId="531661FC" w14:textId="6A823AD6" w:rsidR="009D74A3" w:rsidRPr="00FF5085" w:rsidRDefault="009C3C4D" w:rsidP="00FF5085">
            <w:pPr>
              <w:contextualSpacing/>
              <w:jc w:val="center"/>
              <w:rPr>
                <w:rFonts w:ascii="Times New Roman" w:hAnsi="Times New Roman" w:cs="Times New Roman"/>
                <w:b/>
                <w:bCs/>
                <w:lang w:val="es-ES"/>
              </w:rPr>
            </w:pPr>
            <w:r w:rsidRPr="009D74A3">
              <w:rPr>
                <w:rFonts w:ascii="Times New Roman" w:hAnsi="Times New Roman" w:cs="Times New Roman"/>
                <w:b/>
                <w:bCs/>
                <w:lang w:val="es-ES"/>
              </w:rPr>
              <w:t>T</w:t>
            </w:r>
            <w:r w:rsidR="00A94DF0" w:rsidRPr="009D74A3">
              <w:rPr>
                <w:rFonts w:ascii="Times New Roman" w:hAnsi="Times New Roman" w:cs="Times New Roman"/>
                <w:b/>
                <w:bCs/>
                <w:lang w:val="es-ES"/>
              </w:rPr>
              <w:t>ransición de los predios comerciales con la propuesta aprobada</w:t>
            </w:r>
          </w:p>
          <w:tbl>
            <w:tblPr>
              <w:tblW w:w="5880" w:type="dxa"/>
              <w:jc w:val="center"/>
              <w:tblLayout w:type="fixed"/>
              <w:tblCellMar>
                <w:left w:w="70" w:type="dxa"/>
                <w:right w:w="70" w:type="dxa"/>
              </w:tblCellMar>
              <w:tblLook w:val="04A0" w:firstRow="1" w:lastRow="0" w:firstColumn="1" w:lastColumn="0" w:noHBand="0" w:noVBand="1"/>
            </w:tblPr>
            <w:tblGrid>
              <w:gridCol w:w="980"/>
              <w:gridCol w:w="1018"/>
              <w:gridCol w:w="942"/>
              <w:gridCol w:w="1018"/>
              <w:gridCol w:w="942"/>
              <w:gridCol w:w="980"/>
            </w:tblGrid>
            <w:tr w:rsidR="004A4D81" w:rsidRPr="009D74A3" w14:paraId="639899F7" w14:textId="77777777" w:rsidTr="00B64FFB">
              <w:trPr>
                <w:trHeight w:val="290"/>
                <w:jc w:val="center"/>
              </w:trPr>
              <w:tc>
                <w:tcPr>
                  <w:tcW w:w="980" w:type="dxa"/>
                  <w:vMerge w:val="restart"/>
                  <w:tcBorders>
                    <w:top w:val="single" w:sz="4" w:space="0" w:color="auto"/>
                    <w:left w:val="single" w:sz="4" w:space="0" w:color="auto"/>
                    <w:bottom w:val="single" w:sz="4" w:space="0" w:color="auto"/>
                    <w:right w:val="single" w:sz="4" w:space="0" w:color="auto"/>
                  </w:tcBorders>
                  <w:shd w:val="clear" w:color="auto" w:fill="153D64"/>
                  <w:vAlign w:val="center"/>
                  <w:hideMark/>
                </w:tcPr>
                <w:p w14:paraId="1CB9DB4A" w14:textId="77777777" w:rsidR="009D74A3" w:rsidRPr="009D74A3" w:rsidRDefault="009D74A3" w:rsidP="009D74A3">
                  <w:pPr>
                    <w:spacing w:after="0" w:line="240" w:lineRule="auto"/>
                    <w:jc w:val="center"/>
                    <w:rPr>
                      <w:rFonts w:ascii="Times New Roman" w:eastAsia="Times New Roman" w:hAnsi="Times New Roman" w:cs="Times New Roman"/>
                      <w:color w:val="FFFFFF"/>
                      <w:sz w:val="16"/>
                      <w:szCs w:val="16"/>
                      <w:lang w:eastAsia="es-CO"/>
                    </w:rPr>
                  </w:pPr>
                  <w:r w:rsidRPr="009D74A3">
                    <w:rPr>
                      <w:rFonts w:ascii="Times New Roman" w:eastAsia="Times New Roman" w:hAnsi="Times New Roman" w:cs="Times New Roman"/>
                      <w:color w:val="FFFFFF"/>
                      <w:sz w:val="16"/>
                      <w:szCs w:val="16"/>
                      <w:lang w:eastAsia="es-CO"/>
                    </w:rPr>
                    <w:t xml:space="preserve">Nuevas tarifas </w:t>
                  </w:r>
                </w:p>
              </w:tc>
              <w:tc>
                <w:tcPr>
                  <w:tcW w:w="3920" w:type="dxa"/>
                  <w:gridSpan w:val="4"/>
                  <w:tcBorders>
                    <w:top w:val="single" w:sz="4" w:space="0" w:color="auto"/>
                    <w:left w:val="nil"/>
                    <w:bottom w:val="single" w:sz="4" w:space="0" w:color="auto"/>
                    <w:right w:val="single" w:sz="4" w:space="0" w:color="auto"/>
                  </w:tcBorders>
                  <w:shd w:val="clear" w:color="auto" w:fill="153D64"/>
                  <w:noWrap/>
                  <w:vAlign w:val="center"/>
                  <w:hideMark/>
                </w:tcPr>
                <w:p w14:paraId="211E5816" w14:textId="77777777" w:rsidR="009D74A3" w:rsidRPr="009D74A3" w:rsidRDefault="009D74A3" w:rsidP="009D74A3">
                  <w:pPr>
                    <w:spacing w:after="0" w:line="240" w:lineRule="auto"/>
                    <w:jc w:val="center"/>
                    <w:rPr>
                      <w:rFonts w:ascii="Times New Roman" w:eastAsia="Times New Roman" w:hAnsi="Times New Roman" w:cs="Times New Roman"/>
                      <w:color w:val="FFFFFF"/>
                      <w:sz w:val="16"/>
                      <w:szCs w:val="16"/>
                      <w:lang w:eastAsia="es-CO"/>
                    </w:rPr>
                  </w:pPr>
                  <w:r w:rsidRPr="009D74A3">
                    <w:rPr>
                      <w:rFonts w:ascii="Times New Roman" w:eastAsia="Times New Roman" w:hAnsi="Times New Roman" w:cs="Times New Roman"/>
                      <w:color w:val="FFFFFF"/>
                      <w:sz w:val="16"/>
                      <w:szCs w:val="16"/>
                      <w:lang w:eastAsia="es-CO"/>
                    </w:rPr>
                    <w:t>Tarifas actuales</w:t>
                  </w:r>
                </w:p>
              </w:tc>
              <w:tc>
                <w:tcPr>
                  <w:tcW w:w="980" w:type="dxa"/>
                  <w:vMerge w:val="restart"/>
                  <w:tcBorders>
                    <w:top w:val="single" w:sz="4" w:space="0" w:color="auto"/>
                    <w:left w:val="single" w:sz="4" w:space="0" w:color="auto"/>
                    <w:bottom w:val="single" w:sz="4" w:space="0" w:color="auto"/>
                    <w:right w:val="single" w:sz="4" w:space="0" w:color="auto"/>
                  </w:tcBorders>
                  <w:shd w:val="clear" w:color="auto" w:fill="153D64"/>
                  <w:vAlign w:val="center"/>
                  <w:hideMark/>
                </w:tcPr>
                <w:p w14:paraId="2426124B" w14:textId="77777777" w:rsidR="009D74A3" w:rsidRPr="009D74A3" w:rsidRDefault="009D74A3" w:rsidP="009D74A3">
                  <w:pPr>
                    <w:spacing w:after="0" w:line="240" w:lineRule="auto"/>
                    <w:jc w:val="center"/>
                    <w:rPr>
                      <w:rFonts w:ascii="Times New Roman" w:eastAsia="Times New Roman" w:hAnsi="Times New Roman" w:cs="Times New Roman"/>
                      <w:color w:val="FFFFFF"/>
                      <w:sz w:val="16"/>
                      <w:szCs w:val="16"/>
                      <w:lang w:eastAsia="es-CO"/>
                    </w:rPr>
                  </w:pPr>
                  <w:r w:rsidRPr="009D74A3">
                    <w:rPr>
                      <w:rFonts w:ascii="Times New Roman" w:eastAsia="Times New Roman" w:hAnsi="Times New Roman" w:cs="Times New Roman"/>
                      <w:color w:val="FFFFFF"/>
                      <w:sz w:val="16"/>
                      <w:szCs w:val="16"/>
                      <w:lang w:eastAsia="es-CO"/>
                    </w:rPr>
                    <w:t>Total general</w:t>
                  </w:r>
                </w:p>
              </w:tc>
            </w:tr>
            <w:tr w:rsidR="004A4D81" w:rsidRPr="009D74A3" w14:paraId="629BB140" w14:textId="77777777" w:rsidTr="00B64FFB">
              <w:trPr>
                <w:trHeight w:val="290"/>
                <w:jc w:val="center"/>
              </w:trPr>
              <w:tc>
                <w:tcPr>
                  <w:tcW w:w="980" w:type="dxa"/>
                  <w:vMerge/>
                  <w:vAlign w:val="center"/>
                  <w:hideMark/>
                </w:tcPr>
                <w:p w14:paraId="705786F3" w14:textId="77777777" w:rsidR="009D74A3" w:rsidRPr="009D74A3" w:rsidRDefault="009D74A3" w:rsidP="009D74A3">
                  <w:pPr>
                    <w:spacing w:after="0" w:line="240" w:lineRule="auto"/>
                    <w:rPr>
                      <w:rFonts w:ascii="Times New Roman" w:eastAsia="Times New Roman" w:hAnsi="Times New Roman" w:cs="Times New Roman"/>
                      <w:color w:val="FFFFFF"/>
                      <w:sz w:val="16"/>
                      <w:szCs w:val="16"/>
                      <w:lang w:eastAsia="es-CO"/>
                    </w:rPr>
                  </w:pPr>
                </w:p>
              </w:tc>
              <w:tc>
                <w:tcPr>
                  <w:tcW w:w="1018" w:type="dxa"/>
                  <w:tcBorders>
                    <w:top w:val="nil"/>
                    <w:left w:val="nil"/>
                    <w:bottom w:val="single" w:sz="4" w:space="0" w:color="auto"/>
                    <w:right w:val="single" w:sz="4" w:space="0" w:color="auto"/>
                  </w:tcBorders>
                  <w:shd w:val="clear" w:color="auto" w:fill="153D64"/>
                  <w:noWrap/>
                  <w:vAlign w:val="center"/>
                  <w:hideMark/>
                </w:tcPr>
                <w:p w14:paraId="68E0F988" w14:textId="77777777" w:rsidR="009D74A3" w:rsidRPr="009D74A3" w:rsidRDefault="009D74A3" w:rsidP="009D74A3">
                  <w:pPr>
                    <w:spacing w:after="0" w:line="240" w:lineRule="auto"/>
                    <w:jc w:val="center"/>
                    <w:rPr>
                      <w:rFonts w:ascii="Times New Roman" w:eastAsia="Times New Roman" w:hAnsi="Times New Roman" w:cs="Times New Roman"/>
                      <w:color w:val="FFFFFF"/>
                      <w:sz w:val="16"/>
                      <w:szCs w:val="16"/>
                      <w:lang w:eastAsia="es-CO"/>
                    </w:rPr>
                  </w:pPr>
                  <w:r w:rsidRPr="009D74A3">
                    <w:rPr>
                      <w:rFonts w:ascii="Times New Roman" w:eastAsia="Times New Roman" w:hAnsi="Times New Roman" w:cs="Times New Roman"/>
                      <w:color w:val="FFFFFF"/>
                      <w:sz w:val="16"/>
                      <w:szCs w:val="16"/>
                      <w:lang w:eastAsia="es-CO"/>
                    </w:rPr>
                    <w:t>8</w:t>
                  </w:r>
                </w:p>
              </w:tc>
              <w:tc>
                <w:tcPr>
                  <w:tcW w:w="942" w:type="dxa"/>
                  <w:tcBorders>
                    <w:top w:val="nil"/>
                    <w:left w:val="nil"/>
                    <w:bottom w:val="single" w:sz="4" w:space="0" w:color="auto"/>
                    <w:right w:val="single" w:sz="4" w:space="0" w:color="auto"/>
                  </w:tcBorders>
                  <w:shd w:val="clear" w:color="auto" w:fill="153D64"/>
                  <w:noWrap/>
                  <w:vAlign w:val="center"/>
                  <w:hideMark/>
                </w:tcPr>
                <w:p w14:paraId="19D1CDEB" w14:textId="77777777" w:rsidR="009D74A3" w:rsidRPr="009D74A3" w:rsidRDefault="009D74A3" w:rsidP="009D74A3">
                  <w:pPr>
                    <w:spacing w:after="0" w:line="240" w:lineRule="auto"/>
                    <w:jc w:val="center"/>
                    <w:rPr>
                      <w:rFonts w:ascii="Times New Roman" w:eastAsia="Times New Roman" w:hAnsi="Times New Roman" w:cs="Times New Roman"/>
                      <w:color w:val="FFFFFF"/>
                      <w:sz w:val="16"/>
                      <w:szCs w:val="16"/>
                      <w:lang w:eastAsia="es-CO"/>
                    </w:rPr>
                  </w:pPr>
                  <w:r w:rsidRPr="009D74A3">
                    <w:rPr>
                      <w:rFonts w:ascii="Times New Roman" w:eastAsia="Times New Roman" w:hAnsi="Times New Roman" w:cs="Times New Roman"/>
                      <w:color w:val="FFFFFF"/>
                      <w:sz w:val="16"/>
                      <w:szCs w:val="16"/>
                      <w:lang w:eastAsia="es-CO"/>
                    </w:rPr>
                    <w:t>%</w:t>
                  </w:r>
                </w:p>
              </w:tc>
              <w:tc>
                <w:tcPr>
                  <w:tcW w:w="1018" w:type="dxa"/>
                  <w:tcBorders>
                    <w:top w:val="nil"/>
                    <w:left w:val="nil"/>
                    <w:bottom w:val="single" w:sz="4" w:space="0" w:color="auto"/>
                    <w:right w:val="single" w:sz="4" w:space="0" w:color="auto"/>
                  </w:tcBorders>
                  <w:shd w:val="clear" w:color="auto" w:fill="153D64"/>
                  <w:noWrap/>
                  <w:vAlign w:val="center"/>
                  <w:hideMark/>
                </w:tcPr>
                <w:p w14:paraId="20D57F59" w14:textId="77777777" w:rsidR="009D74A3" w:rsidRPr="009D74A3" w:rsidRDefault="009D74A3" w:rsidP="009D74A3">
                  <w:pPr>
                    <w:spacing w:after="0" w:line="240" w:lineRule="auto"/>
                    <w:jc w:val="center"/>
                    <w:rPr>
                      <w:rFonts w:ascii="Times New Roman" w:eastAsia="Times New Roman" w:hAnsi="Times New Roman" w:cs="Times New Roman"/>
                      <w:color w:val="FFFFFF"/>
                      <w:sz w:val="16"/>
                      <w:szCs w:val="16"/>
                      <w:lang w:eastAsia="es-CO"/>
                    </w:rPr>
                  </w:pPr>
                  <w:r w:rsidRPr="009D74A3">
                    <w:rPr>
                      <w:rFonts w:ascii="Times New Roman" w:eastAsia="Times New Roman" w:hAnsi="Times New Roman" w:cs="Times New Roman"/>
                      <w:color w:val="FFFFFF"/>
                      <w:sz w:val="16"/>
                      <w:szCs w:val="16"/>
                      <w:lang w:eastAsia="es-CO"/>
                    </w:rPr>
                    <w:t>9,5</w:t>
                  </w:r>
                </w:p>
              </w:tc>
              <w:tc>
                <w:tcPr>
                  <w:tcW w:w="942" w:type="dxa"/>
                  <w:tcBorders>
                    <w:top w:val="nil"/>
                    <w:left w:val="nil"/>
                    <w:bottom w:val="single" w:sz="4" w:space="0" w:color="auto"/>
                    <w:right w:val="single" w:sz="4" w:space="0" w:color="auto"/>
                  </w:tcBorders>
                  <w:shd w:val="clear" w:color="auto" w:fill="153D64"/>
                  <w:noWrap/>
                  <w:vAlign w:val="center"/>
                  <w:hideMark/>
                </w:tcPr>
                <w:p w14:paraId="39833E0B" w14:textId="77777777" w:rsidR="009D74A3" w:rsidRPr="009D74A3" w:rsidRDefault="009D74A3" w:rsidP="009D74A3">
                  <w:pPr>
                    <w:spacing w:after="0" w:line="240" w:lineRule="auto"/>
                    <w:jc w:val="center"/>
                    <w:rPr>
                      <w:rFonts w:ascii="Times New Roman" w:eastAsia="Times New Roman" w:hAnsi="Times New Roman" w:cs="Times New Roman"/>
                      <w:color w:val="FFFFFF"/>
                      <w:sz w:val="16"/>
                      <w:szCs w:val="16"/>
                      <w:lang w:eastAsia="es-CO"/>
                    </w:rPr>
                  </w:pPr>
                  <w:r w:rsidRPr="009D74A3">
                    <w:rPr>
                      <w:rFonts w:ascii="Times New Roman" w:eastAsia="Times New Roman" w:hAnsi="Times New Roman" w:cs="Times New Roman"/>
                      <w:color w:val="FFFFFF"/>
                      <w:sz w:val="16"/>
                      <w:szCs w:val="16"/>
                      <w:lang w:eastAsia="es-CO"/>
                    </w:rPr>
                    <w:t>%</w:t>
                  </w:r>
                </w:p>
              </w:tc>
              <w:tc>
                <w:tcPr>
                  <w:tcW w:w="980" w:type="dxa"/>
                  <w:vMerge/>
                  <w:vAlign w:val="center"/>
                  <w:hideMark/>
                </w:tcPr>
                <w:p w14:paraId="7AEFF51F" w14:textId="77777777" w:rsidR="009D74A3" w:rsidRPr="009D74A3" w:rsidRDefault="009D74A3" w:rsidP="009D74A3">
                  <w:pPr>
                    <w:spacing w:after="0" w:line="240" w:lineRule="auto"/>
                    <w:rPr>
                      <w:rFonts w:ascii="Times New Roman" w:eastAsia="Times New Roman" w:hAnsi="Times New Roman" w:cs="Times New Roman"/>
                      <w:color w:val="FFFFFF"/>
                      <w:sz w:val="16"/>
                      <w:szCs w:val="16"/>
                      <w:lang w:eastAsia="es-CO"/>
                    </w:rPr>
                  </w:pPr>
                </w:p>
              </w:tc>
            </w:tr>
            <w:tr w:rsidR="009D74A3" w:rsidRPr="009D74A3" w14:paraId="7779933F" w14:textId="77777777" w:rsidTr="00740130">
              <w:trPr>
                <w:trHeight w:val="290"/>
                <w:jc w:val="center"/>
              </w:trPr>
              <w:tc>
                <w:tcPr>
                  <w:tcW w:w="980" w:type="dxa"/>
                  <w:tcBorders>
                    <w:top w:val="nil"/>
                    <w:left w:val="single" w:sz="4" w:space="0" w:color="auto"/>
                    <w:bottom w:val="single" w:sz="4" w:space="0" w:color="auto"/>
                    <w:right w:val="single" w:sz="4" w:space="0" w:color="auto"/>
                  </w:tcBorders>
                  <w:noWrap/>
                  <w:vAlign w:val="center"/>
                  <w:hideMark/>
                </w:tcPr>
                <w:p w14:paraId="09EBE25C"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8</w:t>
                  </w:r>
                </w:p>
              </w:tc>
              <w:tc>
                <w:tcPr>
                  <w:tcW w:w="1018" w:type="dxa"/>
                  <w:tcBorders>
                    <w:top w:val="nil"/>
                    <w:left w:val="nil"/>
                    <w:bottom w:val="single" w:sz="4" w:space="0" w:color="auto"/>
                    <w:right w:val="single" w:sz="4" w:space="0" w:color="auto"/>
                  </w:tcBorders>
                  <w:noWrap/>
                  <w:vAlign w:val="center"/>
                  <w:hideMark/>
                </w:tcPr>
                <w:p w14:paraId="39578B6F"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125.297</w:t>
                  </w:r>
                </w:p>
              </w:tc>
              <w:tc>
                <w:tcPr>
                  <w:tcW w:w="942" w:type="dxa"/>
                  <w:tcBorders>
                    <w:top w:val="nil"/>
                    <w:left w:val="nil"/>
                    <w:bottom w:val="single" w:sz="4" w:space="0" w:color="auto"/>
                    <w:right w:val="single" w:sz="4" w:space="0" w:color="auto"/>
                  </w:tcBorders>
                  <w:noWrap/>
                  <w:vAlign w:val="center"/>
                  <w:hideMark/>
                </w:tcPr>
                <w:p w14:paraId="6E8CFB03"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100,0%</w:t>
                  </w:r>
                </w:p>
              </w:tc>
              <w:tc>
                <w:tcPr>
                  <w:tcW w:w="1018" w:type="dxa"/>
                  <w:tcBorders>
                    <w:top w:val="nil"/>
                    <w:left w:val="nil"/>
                    <w:bottom w:val="single" w:sz="4" w:space="0" w:color="auto"/>
                    <w:right w:val="single" w:sz="4" w:space="0" w:color="auto"/>
                  </w:tcBorders>
                  <w:noWrap/>
                  <w:vAlign w:val="center"/>
                  <w:hideMark/>
                </w:tcPr>
                <w:p w14:paraId="31868C31"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19.668</w:t>
                  </w:r>
                </w:p>
              </w:tc>
              <w:tc>
                <w:tcPr>
                  <w:tcW w:w="942" w:type="dxa"/>
                  <w:tcBorders>
                    <w:top w:val="nil"/>
                    <w:left w:val="nil"/>
                    <w:bottom w:val="single" w:sz="4" w:space="0" w:color="auto"/>
                    <w:right w:val="single" w:sz="4" w:space="0" w:color="auto"/>
                  </w:tcBorders>
                  <w:noWrap/>
                  <w:vAlign w:val="center"/>
                  <w:hideMark/>
                </w:tcPr>
                <w:p w14:paraId="11BCEF12"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12,2%</w:t>
                  </w:r>
                </w:p>
              </w:tc>
              <w:tc>
                <w:tcPr>
                  <w:tcW w:w="980" w:type="dxa"/>
                  <w:tcBorders>
                    <w:top w:val="nil"/>
                    <w:left w:val="nil"/>
                    <w:bottom w:val="single" w:sz="4" w:space="0" w:color="auto"/>
                    <w:right w:val="single" w:sz="4" w:space="0" w:color="auto"/>
                  </w:tcBorders>
                  <w:noWrap/>
                  <w:vAlign w:val="center"/>
                  <w:hideMark/>
                </w:tcPr>
                <w:p w14:paraId="182C5305"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144.965</w:t>
                  </w:r>
                </w:p>
              </w:tc>
            </w:tr>
            <w:tr w:rsidR="009D74A3" w:rsidRPr="009D74A3" w14:paraId="04B67839" w14:textId="77777777" w:rsidTr="00740130">
              <w:trPr>
                <w:trHeight w:val="290"/>
                <w:jc w:val="center"/>
              </w:trPr>
              <w:tc>
                <w:tcPr>
                  <w:tcW w:w="980" w:type="dxa"/>
                  <w:tcBorders>
                    <w:top w:val="nil"/>
                    <w:left w:val="single" w:sz="4" w:space="0" w:color="auto"/>
                    <w:bottom w:val="single" w:sz="4" w:space="0" w:color="auto"/>
                    <w:right w:val="single" w:sz="4" w:space="0" w:color="auto"/>
                  </w:tcBorders>
                  <w:noWrap/>
                  <w:vAlign w:val="center"/>
                  <w:hideMark/>
                </w:tcPr>
                <w:p w14:paraId="0E12CD14"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9</w:t>
                  </w:r>
                </w:p>
              </w:tc>
              <w:tc>
                <w:tcPr>
                  <w:tcW w:w="1018" w:type="dxa"/>
                  <w:tcBorders>
                    <w:top w:val="nil"/>
                    <w:left w:val="nil"/>
                    <w:bottom w:val="single" w:sz="4" w:space="0" w:color="auto"/>
                    <w:right w:val="single" w:sz="4" w:space="0" w:color="auto"/>
                  </w:tcBorders>
                  <w:noWrap/>
                  <w:vAlign w:val="center"/>
                  <w:hideMark/>
                </w:tcPr>
                <w:p w14:paraId="02522F0B"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 </w:t>
                  </w:r>
                </w:p>
              </w:tc>
              <w:tc>
                <w:tcPr>
                  <w:tcW w:w="942" w:type="dxa"/>
                  <w:tcBorders>
                    <w:top w:val="nil"/>
                    <w:left w:val="nil"/>
                    <w:bottom w:val="single" w:sz="4" w:space="0" w:color="auto"/>
                    <w:right w:val="single" w:sz="4" w:space="0" w:color="auto"/>
                  </w:tcBorders>
                  <w:noWrap/>
                  <w:vAlign w:val="center"/>
                  <w:hideMark/>
                </w:tcPr>
                <w:p w14:paraId="25E36402"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0,0%</w:t>
                  </w:r>
                </w:p>
              </w:tc>
              <w:tc>
                <w:tcPr>
                  <w:tcW w:w="1018" w:type="dxa"/>
                  <w:tcBorders>
                    <w:top w:val="nil"/>
                    <w:left w:val="nil"/>
                    <w:bottom w:val="single" w:sz="4" w:space="0" w:color="auto"/>
                    <w:right w:val="single" w:sz="4" w:space="0" w:color="auto"/>
                  </w:tcBorders>
                  <w:noWrap/>
                  <w:vAlign w:val="center"/>
                  <w:hideMark/>
                </w:tcPr>
                <w:p w14:paraId="1F805E3F"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83.094</w:t>
                  </w:r>
                </w:p>
              </w:tc>
              <w:tc>
                <w:tcPr>
                  <w:tcW w:w="942" w:type="dxa"/>
                  <w:tcBorders>
                    <w:top w:val="nil"/>
                    <w:left w:val="nil"/>
                    <w:bottom w:val="single" w:sz="4" w:space="0" w:color="auto"/>
                    <w:right w:val="single" w:sz="4" w:space="0" w:color="auto"/>
                  </w:tcBorders>
                  <w:noWrap/>
                  <w:vAlign w:val="center"/>
                  <w:hideMark/>
                </w:tcPr>
                <w:p w14:paraId="1AAC663D"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51,6%</w:t>
                  </w:r>
                </w:p>
              </w:tc>
              <w:tc>
                <w:tcPr>
                  <w:tcW w:w="980" w:type="dxa"/>
                  <w:tcBorders>
                    <w:top w:val="nil"/>
                    <w:left w:val="nil"/>
                    <w:bottom w:val="single" w:sz="4" w:space="0" w:color="auto"/>
                    <w:right w:val="single" w:sz="4" w:space="0" w:color="auto"/>
                  </w:tcBorders>
                  <w:noWrap/>
                  <w:vAlign w:val="center"/>
                  <w:hideMark/>
                </w:tcPr>
                <w:p w14:paraId="62DAF359"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83.094</w:t>
                  </w:r>
                </w:p>
              </w:tc>
            </w:tr>
            <w:tr w:rsidR="009D74A3" w:rsidRPr="009D74A3" w14:paraId="36D066D5" w14:textId="77777777" w:rsidTr="00740130">
              <w:trPr>
                <w:trHeight w:val="290"/>
                <w:jc w:val="center"/>
              </w:trPr>
              <w:tc>
                <w:tcPr>
                  <w:tcW w:w="980" w:type="dxa"/>
                  <w:tcBorders>
                    <w:top w:val="nil"/>
                    <w:left w:val="single" w:sz="4" w:space="0" w:color="auto"/>
                    <w:bottom w:val="single" w:sz="4" w:space="0" w:color="auto"/>
                    <w:right w:val="single" w:sz="4" w:space="0" w:color="auto"/>
                  </w:tcBorders>
                  <w:noWrap/>
                  <w:vAlign w:val="center"/>
                  <w:hideMark/>
                </w:tcPr>
                <w:p w14:paraId="672EE2D8"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10</w:t>
                  </w:r>
                </w:p>
              </w:tc>
              <w:tc>
                <w:tcPr>
                  <w:tcW w:w="1018" w:type="dxa"/>
                  <w:tcBorders>
                    <w:top w:val="nil"/>
                    <w:left w:val="nil"/>
                    <w:bottom w:val="single" w:sz="4" w:space="0" w:color="auto"/>
                    <w:right w:val="single" w:sz="4" w:space="0" w:color="auto"/>
                  </w:tcBorders>
                  <w:noWrap/>
                  <w:vAlign w:val="center"/>
                  <w:hideMark/>
                </w:tcPr>
                <w:p w14:paraId="0CC164E5"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 </w:t>
                  </w:r>
                </w:p>
              </w:tc>
              <w:tc>
                <w:tcPr>
                  <w:tcW w:w="942" w:type="dxa"/>
                  <w:tcBorders>
                    <w:top w:val="nil"/>
                    <w:left w:val="nil"/>
                    <w:bottom w:val="single" w:sz="4" w:space="0" w:color="auto"/>
                    <w:right w:val="single" w:sz="4" w:space="0" w:color="auto"/>
                  </w:tcBorders>
                  <w:noWrap/>
                  <w:vAlign w:val="center"/>
                  <w:hideMark/>
                </w:tcPr>
                <w:p w14:paraId="7248524C"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0,0%</w:t>
                  </w:r>
                </w:p>
              </w:tc>
              <w:tc>
                <w:tcPr>
                  <w:tcW w:w="1018" w:type="dxa"/>
                  <w:tcBorders>
                    <w:top w:val="nil"/>
                    <w:left w:val="nil"/>
                    <w:bottom w:val="single" w:sz="4" w:space="0" w:color="auto"/>
                    <w:right w:val="single" w:sz="4" w:space="0" w:color="auto"/>
                  </w:tcBorders>
                  <w:noWrap/>
                  <w:vAlign w:val="center"/>
                  <w:hideMark/>
                </w:tcPr>
                <w:p w14:paraId="5B8A14C9"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34.227</w:t>
                  </w:r>
                </w:p>
              </w:tc>
              <w:tc>
                <w:tcPr>
                  <w:tcW w:w="942" w:type="dxa"/>
                  <w:tcBorders>
                    <w:top w:val="nil"/>
                    <w:left w:val="nil"/>
                    <w:bottom w:val="single" w:sz="4" w:space="0" w:color="auto"/>
                    <w:right w:val="single" w:sz="4" w:space="0" w:color="auto"/>
                  </w:tcBorders>
                  <w:noWrap/>
                  <w:vAlign w:val="center"/>
                  <w:hideMark/>
                </w:tcPr>
                <w:p w14:paraId="5B4C4181"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21,3%</w:t>
                  </w:r>
                </w:p>
              </w:tc>
              <w:tc>
                <w:tcPr>
                  <w:tcW w:w="980" w:type="dxa"/>
                  <w:tcBorders>
                    <w:top w:val="nil"/>
                    <w:left w:val="nil"/>
                    <w:bottom w:val="single" w:sz="4" w:space="0" w:color="auto"/>
                    <w:right w:val="single" w:sz="4" w:space="0" w:color="auto"/>
                  </w:tcBorders>
                  <w:noWrap/>
                  <w:vAlign w:val="center"/>
                  <w:hideMark/>
                </w:tcPr>
                <w:p w14:paraId="1779CD94"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34.227</w:t>
                  </w:r>
                </w:p>
              </w:tc>
            </w:tr>
            <w:tr w:rsidR="009D74A3" w:rsidRPr="009D74A3" w14:paraId="7ACB08F0" w14:textId="77777777" w:rsidTr="00740130">
              <w:trPr>
                <w:trHeight w:val="290"/>
                <w:jc w:val="center"/>
              </w:trPr>
              <w:tc>
                <w:tcPr>
                  <w:tcW w:w="980" w:type="dxa"/>
                  <w:tcBorders>
                    <w:top w:val="nil"/>
                    <w:left w:val="single" w:sz="4" w:space="0" w:color="auto"/>
                    <w:bottom w:val="single" w:sz="4" w:space="0" w:color="auto"/>
                    <w:right w:val="single" w:sz="4" w:space="0" w:color="auto"/>
                  </w:tcBorders>
                  <w:noWrap/>
                  <w:vAlign w:val="center"/>
                  <w:hideMark/>
                </w:tcPr>
                <w:p w14:paraId="7405B877"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11</w:t>
                  </w:r>
                </w:p>
              </w:tc>
              <w:tc>
                <w:tcPr>
                  <w:tcW w:w="1018" w:type="dxa"/>
                  <w:tcBorders>
                    <w:top w:val="nil"/>
                    <w:left w:val="nil"/>
                    <w:bottom w:val="single" w:sz="4" w:space="0" w:color="auto"/>
                    <w:right w:val="single" w:sz="4" w:space="0" w:color="auto"/>
                  </w:tcBorders>
                  <w:noWrap/>
                  <w:vAlign w:val="center"/>
                  <w:hideMark/>
                </w:tcPr>
                <w:p w14:paraId="1A82AB30"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 </w:t>
                  </w:r>
                </w:p>
              </w:tc>
              <w:tc>
                <w:tcPr>
                  <w:tcW w:w="942" w:type="dxa"/>
                  <w:tcBorders>
                    <w:top w:val="nil"/>
                    <w:left w:val="nil"/>
                    <w:bottom w:val="single" w:sz="4" w:space="0" w:color="auto"/>
                    <w:right w:val="single" w:sz="4" w:space="0" w:color="auto"/>
                  </w:tcBorders>
                  <w:noWrap/>
                  <w:vAlign w:val="center"/>
                  <w:hideMark/>
                </w:tcPr>
                <w:p w14:paraId="21EE10F4"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0,0%</w:t>
                  </w:r>
                </w:p>
              </w:tc>
              <w:tc>
                <w:tcPr>
                  <w:tcW w:w="1018" w:type="dxa"/>
                  <w:tcBorders>
                    <w:top w:val="nil"/>
                    <w:left w:val="nil"/>
                    <w:bottom w:val="single" w:sz="4" w:space="0" w:color="auto"/>
                    <w:right w:val="single" w:sz="4" w:space="0" w:color="auto"/>
                  </w:tcBorders>
                  <w:noWrap/>
                  <w:vAlign w:val="center"/>
                  <w:hideMark/>
                </w:tcPr>
                <w:p w14:paraId="450D232D"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12.476</w:t>
                  </w:r>
                </w:p>
              </w:tc>
              <w:tc>
                <w:tcPr>
                  <w:tcW w:w="942" w:type="dxa"/>
                  <w:tcBorders>
                    <w:top w:val="nil"/>
                    <w:left w:val="nil"/>
                    <w:bottom w:val="single" w:sz="4" w:space="0" w:color="auto"/>
                    <w:right w:val="single" w:sz="4" w:space="0" w:color="auto"/>
                  </w:tcBorders>
                  <w:noWrap/>
                  <w:vAlign w:val="center"/>
                  <w:hideMark/>
                </w:tcPr>
                <w:p w14:paraId="240B5A94"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7,8%</w:t>
                  </w:r>
                </w:p>
              </w:tc>
              <w:tc>
                <w:tcPr>
                  <w:tcW w:w="980" w:type="dxa"/>
                  <w:tcBorders>
                    <w:top w:val="nil"/>
                    <w:left w:val="nil"/>
                    <w:bottom w:val="single" w:sz="4" w:space="0" w:color="auto"/>
                    <w:right w:val="single" w:sz="4" w:space="0" w:color="auto"/>
                  </w:tcBorders>
                  <w:noWrap/>
                  <w:vAlign w:val="center"/>
                  <w:hideMark/>
                </w:tcPr>
                <w:p w14:paraId="629EA273"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12.476</w:t>
                  </w:r>
                </w:p>
              </w:tc>
            </w:tr>
            <w:tr w:rsidR="009D74A3" w:rsidRPr="009D74A3" w14:paraId="4439E760" w14:textId="77777777" w:rsidTr="00740130">
              <w:trPr>
                <w:trHeight w:val="290"/>
                <w:jc w:val="center"/>
              </w:trPr>
              <w:tc>
                <w:tcPr>
                  <w:tcW w:w="980" w:type="dxa"/>
                  <w:tcBorders>
                    <w:top w:val="nil"/>
                    <w:left w:val="single" w:sz="4" w:space="0" w:color="auto"/>
                    <w:bottom w:val="single" w:sz="4" w:space="0" w:color="auto"/>
                    <w:right w:val="single" w:sz="4" w:space="0" w:color="auto"/>
                  </w:tcBorders>
                  <w:noWrap/>
                  <w:vAlign w:val="center"/>
                  <w:hideMark/>
                </w:tcPr>
                <w:p w14:paraId="5A22E65B"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12</w:t>
                  </w:r>
                </w:p>
              </w:tc>
              <w:tc>
                <w:tcPr>
                  <w:tcW w:w="1018" w:type="dxa"/>
                  <w:tcBorders>
                    <w:top w:val="nil"/>
                    <w:left w:val="nil"/>
                    <w:bottom w:val="single" w:sz="4" w:space="0" w:color="auto"/>
                    <w:right w:val="single" w:sz="4" w:space="0" w:color="auto"/>
                  </w:tcBorders>
                  <w:noWrap/>
                  <w:vAlign w:val="center"/>
                  <w:hideMark/>
                </w:tcPr>
                <w:p w14:paraId="07EC24FA"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 </w:t>
                  </w:r>
                </w:p>
              </w:tc>
              <w:tc>
                <w:tcPr>
                  <w:tcW w:w="942" w:type="dxa"/>
                  <w:tcBorders>
                    <w:top w:val="nil"/>
                    <w:left w:val="nil"/>
                    <w:bottom w:val="single" w:sz="4" w:space="0" w:color="auto"/>
                    <w:right w:val="single" w:sz="4" w:space="0" w:color="auto"/>
                  </w:tcBorders>
                  <w:noWrap/>
                  <w:vAlign w:val="center"/>
                  <w:hideMark/>
                </w:tcPr>
                <w:p w14:paraId="09533E3A"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0,0%</w:t>
                  </w:r>
                </w:p>
              </w:tc>
              <w:tc>
                <w:tcPr>
                  <w:tcW w:w="1018" w:type="dxa"/>
                  <w:tcBorders>
                    <w:top w:val="nil"/>
                    <w:left w:val="nil"/>
                    <w:bottom w:val="single" w:sz="4" w:space="0" w:color="auto"/>
                    <w:right w:val="single" w:sz="4" w:space="0" w:color="auto"/>
                  </w:tcBorders>
                  <w:noWrap/>
                  <w:vAlign w:val="center"/>
                  <w:hideMark/>
                </w:tcPr>
                <w:p w14:paraId="5986DB69"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5.748</w:t>
                  </w:r>
                </w:p>
              </w:tc>
              <w:tc>
                <w:tcPr>
                  <w:tcW w:w="942" w:type="dxa"/>
                  <w:tcBorders>
                    <w:top w:val="nil"/>
                    <w:left w:val="nil"/>
                    <w:bottom w:val="single" w:sz="4" w:space="0" w:color="auto"/>
                    <w:right w:val="single" w:sz="4" w:space="0" w:color="auto"/>
                  </w:tcBorders>
                  <w:noWrap/>
                  <w:vAlign w:val="center"/>
                  <w:hideMark/>
                </w:tcPr>
                <w:p w14:paraId="259C28A8"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3,6%</w:t>
                  </w:r>
                </w:p>
              </w:tc>
              <w:tc>
                <w:tcPr>
                  <w:tcW w:w="980" w:type="dxa"/>
                  <w:tcBorders>
                    <w:top w:val="nil"/>
                    <w:left w:val="nil"/>
                    <w:bottom w:val="single" w:sz="4" w:space="0" w:color="auto"/>
                    <w:right w:val="single" w:sz="4" w:space="0" w:color="auto"/>
                  </w:tcBorders>
                  <w:noWrap/>
                  <w:vAlign w:val="center"/>
                  <w:hideMark/>
                </w:tcPr>
                <w:p w14:paraId="72D082E1"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5.748</w:t>
                  </w:r>
                </w:p>
              </w:tc>
            </w:tr>
            <w:tr w:rsidR="009D74A3" w:rsidRPr="009D74A3" w14:paraId="11A35611" w14:textId="77777777" w:rsidTr="00740130">
              <w:trPr>
                <w:trHeight w:val="290"/>
                <w:jc w:val="center"/>
              </w:trPr>
              <w:tc>
                <w:tcPr>
                  <w:tcW w:w="980" w:type="dxa"/>
                  <w:tcBorders>
                    <w:top w:val="nil"/>
                    <w:left w:val="single" w:sz="4" w:space="0" w:color="auto"/>
                    <w:bottom w:val="single" w:sz="4" w:space="0" w:color="auto"/>
                    <w:right w:val="single" w:sz="4" w:space="0" w:color="auto"/>
                  </w:tcBorders>
                  <w:noWrap/>
                  <w:vAlign w:val="center"/>
                  <w:hideMark/>
                </w:tcPr>
                <w:p w14:paraId="7C6E2E9B"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13</w:t>
                  </w:r>
                </w:p>
              </w:tc>
              <w:tc>
                <w:tcPr>
                  <w:tcW w:w="1018" w:type="dxa"/>
                  <w:tcBorders>
                    <w:top w:val="nil"/>
                    <w:left w:val="nil"/>
                    <w:bottom w:val="single" w:sz="4" w:space="0" w:color="auto"/>
                    <w:right w:val="single" w:sz="4" w:space="0" w:color="auto"/>
                  </w:tcBorders>
                  <w:noWrap/>
                  <w:vAlign w:val="center"/>
                  <w:hideMark/>
                </w:tcPr>
                <w:p w14:paraId="29FEDD42"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 </w:t>
                  </w:r>
                </w:p>
              </w:tc>
              <w:tc>
                <w:tcPr>
                  <w:tcW w:w="942" w:type="dxa"/>
                  <w:tcBorders>
                    <w:top w:val="nil"/>
                    <w:left w:val="nil"/>
                    <w:bottom w:val="single" w:sz="4" w:space="0" w:color="auto"/>
                    <w:right w:val="single" w:sz="4" w:space="0" w:color="auto"/>
                  </w:tcBorders>
                  <w:noWrap/>
                  <w:vAlign w:val="center"/>
                  <w:hideMark/>
                </w:tcPr>
                <w:p w14:paraId="317AE4A6"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0,0%</w:t>
                  </w:r>
                </w:p>
              </w:tc>
              <w:tc>
                <w:tcPr>
                  <w:tcW w:w="1018" w:type="dxa"/>
                  <w:tcBorders>
                    <w:top w:val="nil"/>
                    <w:left w:val="nil"/>
                    <w:bottom w:val="single" w:sz="4" w:space="0" w:color="auto"/>
                    <w:right w:val="single" w:sz="4" w:space="0" w:color="auto"/>
                  </w:tcBorders>
                  <w:noWrap/>
                  <w:vAlign w:val="center"/>
                  <w:hideMark/>
                </w:tcPr>
                <w:p w14:paraId="52A28C92"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2.861</w:t>
                  </w:r>
                </w:p>
              </w:tc>
              <w:tc>
                <w:tcPr>
                  <w:tcW w:w="942" w:type="dxa"/>
                  <w:tcBorders>
                    <w:top w:val="nil"/>
                    <w:left w:val="nil"/>
                    <w:bottom w:val="single" w:sz="4" w:space="0" w:color="auto"/>
                    <w:right w:val="single" w:sz="4" w:space="0" w:color="auto"/>
                  </w:tcBorders>
                  <w:noWrap/>
                  <w:vAlign w:val="center"/>
                  <w:hideMark/>
                </w:tcPr>
                <w:p w14:paraId="40F795D4"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1,8%</w:t>
                  </w:r>
                </w:p>
              </w:tc>
              <w:tc>
                <w:tcPr>
                  <w:tcW w:w="980" w:type="dxa"/>
                  <w:tcBorders>
                    <w:top w:val="nil"/>
                    <w:left w:val="nil"/>
                    <w:bottom w:val="single" w:sz="4" w:space="0" w:color="auto"/>
                    <w:right w:val="single" w:sz="4" w:space="0" w:color="auto"/>
                  </w:tcBorders>
                  <w:noWrap/>
                  <w:vAlign w:val="center"/>
                  <w:hideMark/>
                </w:tcPr>
                <w:p w14:paraId="753BC938"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2.861</w:t>
                  </w:r>
                </w:p>
              </w:tc>
            </w:tr>
            <w:tr w:rsidR="009D74A3" w:rsidRPr="009D74A3" w14:paraId="2B132A30" w14:textId="77777777" w:rsidTr="00740130">
              <w:trPr>
                <w:trHeight w:val="290"/>
                <w:jc w:val="center"/>
              </w:trPr>
              <w:tc>
                <w:tcPr>
                  <w:tcW w:w="980" w:type="dxa"/>
                  <w:tcBorders>
                    <w:top w:val="nil"/>
                    <w:left w:val="single" w:sz="4" w:space="0" w:color="auto"/>
                    <w:bottom w:val="single" w:sz="4" w:space="0" w:color="auto"/>
                    <w:right w:val="single" w:sz="4" w:space="0" w:color="auto"/>
                  </w:tcBorders>
                  <w:noWrap/>
                  <w:vAlign w:val="center"/>
                  <w:hideMark/>
                </w:tcPr>
                <w:p w14:paraId="4229933B"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14</w:t>
                  </w:r>
                </w:p>
              </w:tc>
              <w:tc>
                <w:tcPr>
                  <w:tcW w:w="1018" w:type="dxa"/>
                  <w:tcBorders>
                    <w:top w:val="nil"/>
                    <w:left w:val="nil"/>
                    <w:bottom w:val="single" w:sz="4" w:space="0" w:color="auto"/>
                    <w:right w:val="single" w:sz="4" w:space="0" w:color="auto"/>
                  </w:tcBorders>
                  <w:noWrap/>
                  <w:vAlign w:val="center"/>
                  <w:hideMark/>
                </w:tcPr>
                <w:p w14:paraId="50021C18"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 </w:t>
                  </w:r>
                </w:p>
              </w:tc>
              <w:tc>
                <w:tcPr>
                  <w:tcW w:w="942" w:type="dxa"/>
                  <w:tcBorders>
                    <w:top w:val="nil"/>
                    <w:left w:val="nil"/>
                    <w:bottom w:val="single" w:sz="4" w:space="0" w:color="auto"/>
                    <w:right w:val="single" w:sz="4" w:space="0" w:color="auto"/>
                  </w:tcBorders>
                  <w:noWrap/>
                  <w:vAlign w:val="center"/>
                  <w:hideMark/>
                </w:tcPr>
                <w:p w14:paraId="7BFCA081"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themeColor="text1"/>
                      <w:sz w:val="16"/>
                      <w:szCs w:val="16"/>
                      <w:lang w:eastAsia="es-CO"/>
                    </w:rPr>
                    <w:t>0,0%</w:t>
                  </w:r>
                </w:p>
              </w:tc>
              <w:tc>
                <w:tcPr>
                  <w:tcW w:w="1018" w:type="dxa"/>
                  <w:tcBorders>
                    <w:top w:val="nil"/>
                    <w:left w:val="nil"/>
                    <w:bottom w:val="single" w:sz="4" w:space="0" w:color="auto"/>
                    <w:right w:val="single" w:sz="4" w:space="0" w:color="auto"/>
                  </w:tcBorders>
                  <w:noWrap/>
                  <w:vAlign w:val="center"/>
                  <w:hideMark/>
                </w:tcPr>
                <w:p w14:paraId="25A66243"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2.863</w:t>
                  </w:r>
                </w:p>
              </w:tc>
              <w:tc>
                <w:tcPr>
                  <w:tcW w:w="942" w:type="dxa"/>
                  <w:tcBorders>
                    <w:top w:val="nil"/>
                    <w:left w:val="nil"/>
                    <w:bottom w:val="single" w:sz="4" w:space="0" w:color="auto"/>
                    <w:right w:val="single" w:sz="4" w:space="0" w:color="auto"/>
                  </w:tcBorders>
                  <w:noWrap/>
                  <w:vAlign w:val="center"/>
                  <w:hideMark/>
                </w:tcPr>
                <w:p w14:paraId="7B145F4E"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1,8%</w:t>
                  </w:r>
                </w:p>
              </w:tc>
              <w:tc>
                <w:tcPr>
                  <w:tcW w:w="980" w:type="dxa"/>
                  <w:tcBorders>
                    <w:top w:val="nil"/>
                    <w:left w:val="nil"/>
                    <w:bottom w:val="single" w:sz="4" w:space="0" w:color="auto"/>
                    <w:right w:val="single" w:sz="4" w:space="0" w:color="auto"/>
                  </w:tcBorders>
                  <w:noWrap/>
                  <w:vAlign w:val="center"/>
                  <w:hideMark/>
                </w:tcPr>
                <w:p w14:paraId="579931AA"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2.863</w:t>
                  </w:r>
                </w:p>
              </w:tc>
            </w:tr>
            <w:tr w:rsidR="009D74A3" w:rsidRPr="009D74A3" w14:paraId="1EE78731" w14:textId="77777777" w:rsidTr="00740130">
              <w:trPr>
                <w:trHeight w:val="290"/>
                <w:jc w:val="center"/>
              </w:trPr>
              <w:tc>
                <w:tcPr>
                  <w:tcW w:w="980" w:type="dxa"/>
                  <w:tcBorders>
                    <w:top w:val="nil"/>
                    <w:left w:val="single" w:sz="4" w:space="0" w:color="auto"/>
                    <w:bottom w:val="single" w:sz="4" w:space="0" w:color="auto"/>
                    <w:right w:val="single" w:sz="4" w:space="0" w:color="auto"/>
                  </w:tcBorders>
                  <w:noWrap/>
                  <w:vAlign w:val="center"/>
                  <w:hideMark/>
                </w:tcPr>
                <w:p w14:paraId="19464EB4"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 xml:space="preserve">Total </w:t>
                  </w:r>
                </w:p>
              </w:tc>
              <w:tc>
                <w:tcPr>
                  <w:tcW w:w="1018" w:type="dxa"/>
                  <w:tcBorders>
                    <w:top w:val="nil"/>
                    <w:left w:val="nil"/>
                    <w:bottom w:val="single" w:sz="4" w:space="0" w:color="auto"/>
                    <w:right w:val="single" w:sz="4" w:space="0" w:color="auto"/>
                  </w:tcBorders>
                  <w:noWrap/>
                  <w:vAlign w:val="center"/>
                  <w:hideMark/>
                </w:tcPr>
                <w:p w14:paraId="39460C02"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125.297</w:t>
                  </w:r>
                </w:p>
              </w:tc>
              <w:tc>
                <w:tcPr>
                  <w:tcW w:w="942" w:type="dxa"/>
                  <w:tcBorders>
                    <w:top w:val="nil"/>
                    <w:left w:val="nil"/>
                    <w:bottom w:val="single" w:sz="4" w:space="0" w:color="auto"/>
                    <w:right w:val="single" w:sz="4" w:space="0" w:color="auto"/>
                  </w:tcBorders>
                  <w:noWrap/>
                  <w:vAlign w:val="center"/>
                  <w:hideMark/>
                </w:tcPr>
                <w:p w14:paraId="4F47808B"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themeColor="text1"/>
                      <w:sz w:val="16"/>
                      <w:szCs w:val="16"/>
                      <w:lang w:eastAsia="es-CO"/>
                    </w:rPr>
                    <w:t>100,0%</w:t>
                  </w:r>
                </w:p>
              </w:tc>
              <w:tc>
                <w:tcPr>
                  <w:tcW w:w="1018" w:type="dxa"/>
                  <w:tcBorders>
                    <w:top w:val="nil"/>
                    <w:left w:val="nil"/>
                    <w:bottom w:val="single" w:sz="4" w:space="0" w:color="auto"/>
                    <w:right w:val="single" w:sz="4" w:space="0" w:color="auto"/>
                  </w:tcBorders>
                  <w:noWrap/>
                  <w:vAlign w:val="center"/>
                  <w:hideMark/>
                </w:tcPr>
                <w:p w14:paraId="051B29D8"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160.937</w:t>
                  </w:r>
                </w:p>
              </w:tc>
              <w:tc>
                <w:tcPr>
                  <w:tcW w:w="942" w:type="dxa"/>
                  <w:tcBorders>
                    <w:top w:val="nil"/>
                    <w:left w:val="nil"/>
                    <w:bottom w:val="single" w:sz="4" w:space="0" w:color="auto"/>
                    <w:right w:val="single" w:sz="4" w:space="0" w:color="auto"/>
                  </w:tcBorders>
                  <w:noWrap/>
                  <w:vAlign w:val="center"/>
                  <w:hideMark/>
                </w:tcPr>
                <w:p w14:paraId="7E20F2AC"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100,0%</w:t>
                  </w:r>
                </w:p>
              </w:tc>
              <w:tc>
                <w:tcPr>
                  <w:tcW w:w="980" w:type="dxa"/>
                  <w:tcBorders>
                    <w:top w:val="nil"/>
                    <w:left w:val="nil"/>
                    <w:bottom w:val="single" w:sz="4" w:space="0" w:color="auto"/>
                    <w:right w:val="single" w:sz="4" w:space="0" w:color="auto"/>
                  </w:tcBorders>
                  <w:noWrap/>
                  <w:vAlign w:val="center"/>
                  <w:hideMark/>
                </w:tcPr>
                <w:p w14:paraId="510A9AF5" w14:textId="77777777" w:rsidR="009D74A3" w:rsidRPr="009D74A3" w:rsidRDefault="009D74A3" w:rsidP="009D74A3">
                  <w:pPr>
                    <w:spacing w:after="0" w:line="240" w:lineRule="auto"/>
                    <w:jc w:val="center"/>
                    <w:rPr>
                      <w:rFonts w:ascii="Times New Roman" w:eastAsia="Times New Roman" w:hAnsi="Times New Roman" w:cs="Times New Roman"/>
                      <w:color w:val="000000"/>
                      <w:sz w:val="16"/>
                      <w:szCs w:val="16"/>
                      <w:lang w:eastAsia="es-CO"/>
                    </w:rPr>
                  </w:pPr>
                  <w:r w:rsidRPr="009D74A3">
                    <w:rPr>
                      <w:rFonts w:ascii="Times New Roman" w:eastAsia="Times New Roman" w:hAnsi="Times New Roman" w:cs="Times New Roman"/>
                      <w:color w:val="000000"/>
                      <w:sz w:val="16"/>
                      <w:szCs w:val="16"/>
                      <w:lang w:eastAsia="es-CO"/>
                    </w:rPr>
                    <w:t>286.234</w:t>
                  </w:r>
                </w:p>
              </w:tc>
            </w:tr>
          </w:tbl>
          <w:p w14:paraId="7DBD470B" w14:textId="77777777" w:rsidR="00F06E66" w:rsidRPr="00F06E66" w:rsidRDefault="00F06E66" w:rsidP="00F06E66">
            <w:pPr>
              <w:contextualSpacing/>
              <w:jc w:val="center"/>
              <w:rPr>
                <w:rFonts w:ascii="Times New Roman" w:hAnsi="Times New Roman" w:cs="Times New Roman"/>
                <w:sz w:val="20"/>
                <w:szCs w:val="20"/>
              </w:rPr>
            </w:pPr>
            <w:r w:rsidRPr="00F06E66">
              <w:rPr>
                <w:rFonts w:ascii="Times New Roman" w:hAnsi="Times New Roman" w:cs="Times New Roman"/>
                <w:b/>
                <w:bCs/>
                <w:sz w:val="20"/>
                <w:szCs w:val="20"/>
                <w:lang w:val="es-MX"/>
              </w:rPr>
              <w:t>Fuente</w:t>
            </w:r>
            <w:r w:rsidRPr="00F06E66">
              <w:rPr>
                <w:rFonts w:ascii="Times New Roman" w:hAnsi="Times New Roman" w:cs="Times New Roman"/>
                <w:sz w:val="20"/>
                <w:szCs w:val="20"/>
                <w:lang w:val="es-MX"/>
              </w:rPr>
              <w:t xml:space="preserve">: </w:t>
            </w:r>
            <w:r w:rsidRPr="00F06E66">
              <w:rPr>
                <w:rFonts w:ascii="Times New Roman" w:hAnsi="Times New Roman" w:cs="Times New Roman"/>
                <w:sz w:val="20"/>
                <w:szCs w:val="20"/>
              </w:rPr>
              <w:t>Secretaría Distrital de Hacienda.</w:t>
            </w:r>
          </w:p>
          <w:p w14:paraId="19E6D269" w14:textId="77777777" w:rsidR="00A94DF0" w:rsidRPr="009D74A3" w:rsidRDefault="00A94DF0" w:rsidP="009D74A3">
            <w:pPr>
              <w:contextualSpacing/>
              <w:rPr>
                <w:rFonts w:ascii="Times New Roman" w:hAnsi="Times New Roman" w:cs="Times New Roman"/>
              </w:rPr>
            </w:pPr>
          </w:p>
          <w:p w14:paraId="38D6A4BB" w14:textId="467F959C" w:rsidR="00A94DF0" w:rsidRPr="009D74A3" w:rsidRDefault="00A94DF0" w:rsidP="008B29A2">
            <w:pPr>
              <w:contextualSpacing/>
              <w:jc w:val="both"/>
              <w:rPr>
                <w:rFonts w:ascii="Times New Roman" w:hAnsi="Times New Roman" w:cs="Times New Roman"/>
                <w:sz w:val="24"/>
                <w:szCs w:val="24"/>
                <w:lang w:val="es-ES"/>
              </w:rPr>
            </w:pPr>
            <w:r w:rsidRPr="009D74A3">
              <w:rPr>
                <w:rFonts w:ascii="Times New Roman" w:hAnsi="Times New Roman" w:cs="Times New Roman"/>
                <w:sz w:val="24"/>
                <w:szCs w:val="24"/>
                <w:lang w:val="es-ES"/>
              </w:rPr>
              <w:t>Con la propuesta, la mayoría de los predios comerciales con tarifa de 8 por mil permanecen con su mismo valor de tarifa mientras que los predios que liquidan actualmente con la tarifa de 9,5 disminuyen su tarifa. De los predios que actualmente liquidan con el 8 por mil, el 83% permanecen en esta tarifa, mientras que el 17% aumentan 0,5 unidades. En el caso de los que liquidan con el 9,5 por mil, 36% disminuyen 1.5 unidades de tarifa, 20% una unidad y 18% 0.5 unidades. Sin embargo, el 5% de predios aumenta su tarifa en 3.5 unidades.</w:t>
            </w:r>
            <w:r w:rsidR="00F03DA0" w:rsidRPr="009D74A3">
              <w:rPr>
                <w:rFonts w:ascii="Times New Roman" w:hAnsi="Times New Roman" w:cs="Times New Roman"/>
                <w:sz w:val="24"/>
                <w:szCs w:val="24"/>
                <w:lang w:val="es-ES"/>
              </w:rPr>
              <w:t xml:space="preserve"> </w:t>
            </w:r>
          </w:p>
          <w:p w14:paraId="7571DA15" w14:textId="2B6DD1E7" w:rsidR="0B07C817" w:rsidRDefault="0B07C817" w:rsidP="0B07C817">
            <w:pPr>
              <w:contextualSpacing/>
              <w:jc w:val="both"/>
              <w:rPr>
                <w:rFonts w:ascii="Times New Roman" w:hAnsi="Times New Roman" w:cs="Times New Roman"/>
                <w:sz w:val="24"/>
                <w:szCs w:val="24"/>
                <w:lang w:val="es-ES"/>
              </w:rPr>
            </w:pPr>
          </w:p>
          <w:p w14:paraId="02A0F1E3" w14:textId="3B4948CF" w:rsidR="00300295" w:rsidRPr="009D74A3" w:rsidRDefault="00300295" w:rsidP="00300295">
            <w:pPr>
              <w:pStyle w:val="paragraph"/>
              <w:spacing w:before="0" w:beforeAutospacing="0" w:after="0" w:afterAutospacing="0"/>
              <w:jc w:val="center"/>
              <w:textAlignment w:val="baseline"/>
              <w:rPr>
                <w:i/>
                <w:iCs/>
                <w:color w:val="44546A"/>
                <w:sz w:val="32"/>
                <w:szCs w:val="32"/>
              </w:rPr>
            </w:pPr>
            <w:r w:rsidRPr="009D74A3">
              <w:rPr>
                <w:rStyle w:val="normaltextrun"/>
                <w:rFonts w:ascii="Times New Roman" w:hAnsi="Times New Roman" w:cs="Times New Roman"/>
                <w:b/>
                <w:bCs/>
              </w:rPr>
              <w:t xml:space="preserve">Gráfico </w:t>
            </w:r>
            <w:r>
              <w:rPr>
                <w:rStyle w:val="normaltextrun"/>
                <w:rFonts w:ascii="Times New Roman" w:hAnsi="Times New Roman" w:cs="Times New Roman"/>
                <w:b/>
                <w:bCs/>
              </w:rPr>
              <w:t>4</w:t>
            </w:r>
            <w:r w:rsidR="00730A8C">
              <w:rPr>
                <w:rStyle w:val="normaltextrun"/>
                <w:rFonts w:ascii="Times New Roman" w:hAnsi="Times New Roman" w:cs="Times New Roman"/>
                <w:b/>
                <w:bCs/>
              </w:rPr>
              <w:t>3</w:t>
            </w:r>
            <w:r w:rsidRPr="009D74A3">
              <w:rPr>
                <w:rStyle w:val="normaltextrun"/>
                <w:rFonts w:ascii="Times New Roman" w:hAnsi="Times New Roman" w:cs="Times New Roman"/>
                <w:b/>
                <w:bCs/>
              </w:rPr>
              <w:t>.</w:t>
            </w:r>
            <w:r w:rsidRPr="009D74A3">
              <w:rPr>
                <w:rStyle w:val="eop"/>
                <w:i/>
                <w:iCs/>
              </w:rPr>
              <w:t> </w:t>
            </w:r>
          </w:p>
          <w:p w14:paraId="736C526D" w14:textId="292F0C4C" w:rsidR="00300295" w:rsidRPr="009D74A3" w:rsidRDefault="00730A8C" w:rsidP="00300295">
            <w:pPr>
              <w:pStyle w:val="paragraph"/>
              <w:spacing w:before="0" w:beforeAutospacing="0" w:after="0" w:afterAutospacing="0"/>
              <w:jc w:val="center"/>
              <w:textAlignment w:val="baseline"/>
              <w:rPr>
                <w:i/>
                <w:iCs/>
                <w:color w:val="44546A"/>
                <w:sz w:val="32"/>
                <w:szCs w:val="32"/>
              </w:rPr>
            </w:pPr>
            <w:r>
              <w:rPr>
                <w:rStyle w:val="normaltextrun"/>
                <w:rFonts w:ascii="Times New Roman" w:hAnsi="Times New Roman" w:cs="Times New Roman"/>
                <w:b/>
                <w:bCs/>
              </w:rPr>
              <w:t>Distribución de l</w:t>
            </w:r>
            <w:r w:rsidR="00BB5EC8">
              <w:rPr>
                <w:rStyle w:val="normaltextrun"/>
                <w:rFonts w:ascii="Times New Roman" w:hAnsi="Times New Roman" w:cs="Times New Roman"/>
                <w:b/>
                <w:bCs/>
              </w:rPr>
              <w:t xml:space="preserve">os predios según el logaritmo de la base gravable y la </w:t>
            </w:r>
            <w:r w:rsidR="00D870C2">
              <w:rPr>
                <w:rStyle w:val="normaltextrun"/>
                <w:rFonts w:ascii="Times New Roman" w:hAnsi="Times New Roman" w:cs="Times New Roman"/>
                <w:b/>
                <w:bCs/>
              </w:rPr>
              <w:t xml:space="preserve">tarifa </w:t>
            </w:r>
            <w:r w:rsidR="004F52BA">
              <w:rPr>
                <w:rStyle w:val="normaltextrun"/>
                <w:rFonts w:ascii="Times New Roman" w:hAnsi="Times New Roman" w:cs="Times New Roman"/>
                <w:b/>
                <w:bCs/>
              </w:rPr>
              <w:t>propuesta</w:t>
            </w:r>
            <w:r w:rsidR="006D632A">
              <w:rPr>
                <w:rStyle w:val="normaltextrun"/>
                <w:rFonts w:ascii="Times New Roman" w:hAnsi="Times New Roman" w:cs="Times New Roman"/>
                <w:b/>
                <w:bCs/>
              </w:rPr>
              <w:t xml:space="preserve"> en el presenta acuerdo</w:t>
            </w:r>
            <w:r w:rsidR="00300295" w:rsidRPr="009D74A3">
              <w:rPr>
                <w:rStyle w:val="eop"/>
                <w:i/>
                <w:iCs/>
              </w:rPr>
              <w:t> </w:t>
            </w:r>
          </w:p>
          <w:p w14:paraId="04063447" w14:textId="77777777" w:rsidR="00300295" w:rsidRDefault="00300295" w:rsidP="0B07C817">
            <w:pPr>
              <w:contextualSpacing/>
              <w:jc w:val="both"/>
              <w:rPr>
                <w:rFonts w:ascii="Times New Roman" w:hAnsi="Times New Roman" w:cs="Times New Roman"/>
                <w:sz w:val="24"/>
                <w:szCs w:val="24"/>
                <w:lang w:val="es-ES"/>
              </w:rPr>
            </w:pPr>
          </w:p>
          <w:p w14:paraId="54728D8C" w14:textId="55D3B6F3" w:rsidR="00BF3911" w:rsidRDefault="00073029" w:rsidP="00126E0F">
            <w:pPr>
              <w:contextualSpacing/>
              <w:jc w:val="center"/>
              <w:rPr>
                <w:rFonts w:ascii="Times New Roman" w:hAnsi="Times New Roman" w:cs="Times New Roman"/>
                <w:sz w:val="24"/>
                <w:szCs w:val="24"/>
                <w:lang w:val="es-ES"/>
              </w:rPr>
            </w:pPr>
            <w:r w:rsidRPr="00073029">
              <w:rPr>
                <w:rFonts w:ascii="Times New Roman" w:hAnsi="Times New Roman" w:cs="Times New Roman"/>
                <w:noProof/>
                <w:sz w:val="24"/>
                <w:szCs w:val="24"/>
                <w:lang w:eastAsia="es-CO"/>
              </w:rPr>
              <w:drawing>
                <wp:inline distT="0" distB="0" distL="0" distR="0" wp14:anchorId="3228E73A" wp14:editId="20854B53">
                  <wp:extent cx="3746500" cy="3333750"/>
                  <wp:effectExtent l="0" t="0" r="6350" b="0"/>
                  <wp:docPr id="1625399091"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5399091" name=""/>
                          <pic:cNvPicPr/>
                        </pic:nvPicPr>
                        <pic:blipFill>
                          <a:blip r:embed="rId68"/>
                          <a:stretch>
                            <a:fillRect/>
                          </a:stretch>
                        </pic:blipFill>
                        <pic:spPr>
                          <a:xfrm>
                            <a:off x="0" y="0"/>
                            <a:ext cx="3746695" cy="3333924"/>
                          </a:xfrm>
                          <a:prstGeom prst="rect">
                            <a:avLst/>
                          </a:prstGeom>
                        </pic:spPr>
                      </pic:pic>
                    </a:graphicData>
                  </a:graphic>
                </wp:inline>
              </w:drawing>
            </w:r>
          </w:p>
          <w:p w14:paraId="12B155FD" w14:textId="77777777" w:rsidR="00703310" w:rsidRDefault="00703310" w:rsidP="0B07C817">
            <w:pPr>
              <w:contextualSpacing/>
              <w:jc w:val="both"/>
              <w:rPr>
                <w:rFonts w:ascii="Times New Roman" w:hAnsi="Times New Roman" w:cs="Times New Roman"/>
                <w:sz w:val="24"/>
                <w:szCs w:val="24"/>
                <w:lang w:val="es-ES"/>
              </w:rPr>
            </w:pPr>
          </w:p>
          <w:p w14:paraId="5F0DFFD2" w14:textId="51F6434F" w:rsidR="00703310" w:rsidRDefault="00791D7D" w:rsidP="0B07C817">
            <w:pPr>
              <w:contextualSpacing/>
              <w:jc w:val="both"/>
              <w:rPr>
                <w:rFonts w:ascii="Times New Roman" w:hAnsi="Times New Roman" w:cs="Times New Roman"/>
                <w:sz w:val="24"/>
                <w:szCs w:val="24"/>
                <w:lang w:val="es-ES"/>
              </w:rPr>
            </w:pPr>
            <w:r w:rsidRPr="00126E0F">
              <w:rPr>
                <w:rFonts w:ascii="Times New Roman" w:hAnsi="Times New Roman" w:cs="Times New Roman"/>
                <w:sz w:val="24"/>
                <w:szCs w:val="24"/>
              </w:rPr>
              <w:t xml:space="preserve">Los </w:t>
            </w:r>
            <w:r w:rsidR="00807E38" w:rsidRPr="00126E0F">
              <w:rPr>
                <w:rFonts w:ascii="Times New Roman" w:hAnsi="Times New Roman" w:cs="Times New Roman"/>
                <w:sz w:val="24"/>
                <w:szCs w:val="24"/>
              </w:rPr>
              <w:t>ajustes</w:t>
            </w:r>
            <w:r w:rsidR="0039514B" w:rsidRPr="00126E0F">
              <w:rPr>
                <w:rFonts w:ascii="Times New Roman" w:hAnsi="Times New Roman" w:cs="Times New Roman"/>
                <w:sz w:val="24"/>
                <w:szCs w:val="24"/>
              </w:rPr>
              <w:t xml:space="preserve"> </w:t>
            </w:r>
            <w:r w:rsidR="00ED1D19" w:rsidRPr="00126E0F">
              <w:rPr>
                <w:rFonts w:ascii="Times New Roman" w:hAnsi="Times New Roman" w:cs="Times New Roman"/>
                <w:sz w:val="24"/>
                <w:szCs w:val="24"/>
              </w:rPr>
              <w:t xml:space="preserve">en las tarifas del impuesto </w:t>
            </w:r>
            <w:r w:rsidRPr="00126E0F">
              <w:rPr>
                <w:rFonts w:ascii="Times New Roman" w:hAnsi="Times New Roman" w:cs="Times New Roman"/>
                <w:sz w:val="24"/>
                <w:szCs w:val="24"/>
              </w:rPr>
              <w:t xml:space="preserve">predial </w:t>
            </w:r>
            <w:r w:rsidR="00807E38" w:rsidRPr="00126E0F">
              <w:rPr>
                <w:rFonts w:ascii="Times New Roman" w:hAnsi="Times New Roman" w:cs="Times New Roman"/>
                <w:sz w:val="24"/>
                <w:szCs w:val="24"/>
              </w:rPr>
              <w:t>reflejan un enfoque más progresivo, especialmente</w:t>
            </w:r>
            <w:r w:rsidR="00034C5A" w:rsidRPr="00126E0F">
              <w:rPr>
                <w:rFonts w:ascii="Times New Roman" w:hAnsi="Times New Roman" w:cs="Times New Roman"/>
                <w:sz w:val="24"/>
                <w:szCs w:val="24"/>
              </w:rPr>
              <w:t xml:space="preserve"> en los inmuebles comerciales e industriales</w:t>
            </w:r>
            <w:r w:rsidR="00807E38" w:rsidRPr="00126E0F">
              <w:rPr>
                <w:rFonts w:ascii="Times New Roman" w:hAnsi="Times New Roman" w:cs="Times New Roman"/>
                <w:sz w:val="24"/>
                <w:szCs w:val="24"/>
              </w:rPr>
              <w:t>,</w:t>
            </w:r>
            <w:r w:rsidR="00034C5A" w:rsidRPr="00126E0F">
              <w:rPr>
                <w:rFonts w:ascii="Times New Roman" w:hAnsi="Times New Roman" w:cs="Times New Roman"/>
                <w:sz w:val="24"/>
                <w:szCs w:val="24"/>
              </w:rPr>
              <w:t xml:space="preserve"> </w:t>
            </w:r>
            <w:r w:rsidR="007367EA" w:rsidRPr="00126E0F">
              <w:rPr>
                <w:rFonts w:ascii="Times New Roman" w:hAnsi="Times New Roman" w:cs="Times New Roman"/>
                <w:sz w:val="24"/>
                <w:szCs w:val="24"/>
              </w:rPr>
              <w:t xml:space="preserve">donde se </w:t>
            </w:r>
            <w:r w:rsidR="00807E38" w:rsidRPr="00126E0F">
              <w:rPr>
                <w:rFonts w:ascii="Times New Roman" w:hAnsi="Times New Roman" w:cs="Times New Roman"/>
                <w:sz w:val="24"/>
                <w:szCs w:val="24"/>
              </w:rPr>
              <w:t>atenúan</w:t>
            </w:r>
            <w:r w:rsidR="007367EA" w:rsidRPr="00126E0F">
              <w:rPr>
                <w:rFonts w:ascii="Times New Roman" w:hAnsi="Times New Roman" w:cs="Times New Roman"/>
                <w:sz w:val="24"/>
                <w:szCs w:val="24"/>
              </w:rPr>
              <w:t xml:space="preserve"> los </w:t>
            </w:r>
            <w:r w:rsidR="00807E38" w:rsidRPr="00126E0F">
              <w:rPr>
                <w:rFonts w:ascii="Times New Roman" w:hAnsi="Times New Roman" w:cs="Times New Roman"/>
                <w:sz w:val="24"/>
                <w:szCs w:val="24"/>
              </w:rPr>
              <w:t>incrementos abruptos</w:t>
            </w:r>
            <w:r w:rsidR="00007C98" w:rsidRPr="00126E0F">
              <w:rPr>
                <w:rFonts w:ascii="Times New Roman" w:hAnsi="Times New Roman" w:cs="Times New Roman"/>
                <w:sz w:val="24"/>
                <w:szCs w:val="24"/>
              </w:rPr>
              <w:t xml:space="preserve"> y </w:t>
            </w:r>
            <w:r w:rsidR="000A69D7" w:rsidRPr="00126E0F">
              <w:rPr>
                <w:rFonts w:ascii="Times New Roman" w:hAnsi="Times New Roman" w:cs="Times New Roman"/>
                <w:sz w:val="24"/>
                <w:szCs w:val="24"/>
              </w:rPr>
              <w:t xml:space="preserve">se </w:t>
            </w:r>
            <w:r w:rsidR="00807E38" w:rsidRPr="00126E0F">
              <w:rPr>
                <w:rFonts w:ascii="Times New Roman" w:hAnsi="Times New Roman" w:cs="Times New Roman"/>
                <w:sz w:val="24"/>
                <w:szCs w:val="24"/>
              </w:rPr>
              <w:t>refuerza</w:t>
            </w:r>
            <w:r w:rsidR="00792E49" w:rsidRPr="00126E0F">
              <w:rPr>
                <w:rFonts w:ascii="Times New Roman" w:hAnsi="Times New Roman" w:cs="Times New Roman"/>
                <w:sz w:val="24"/>
                <w:szCs w:val="24"/>
              </w:rPr>
              <w:t xml:space="preserve"> el principio de equidad</w:t>
            </w:r>
            <w:r w:rsidR="00007C98" w:rsidRPr="00126E0F">
              <w:rPr>
                <w:rFonts w:ascii="Times New Roman" w:hAnsi="Times New Roman" w:cs="Times New Roman"/>
                <w:sz w:val="24"/>
                <w:szCs w:val="24"/>
              </w:rPr>
              <w:t xml:space="preserve"> </w:t>
            </w:r>
            <w:r w:rsidR="00807E38" w:rsidRPr="00126E0F">
              <w:rPr>
                <w:rFonts w:ascii="Times New Roman" w:hAnsi="Times New Roman" w:cs="Times New Roman"/>
                <w:sz w:val="24"/>
                <w:szCs w:val="24"/>
              </w:rPr>
              <w:t xml:space="preserve">frente a </w:t>
            </w:r>
            <w:r w:rsidR="000A69D7" w:rsidRPr="00126E0F">
              <w:rPr>
                <w:rFonts w:ascii="Times New Roman" w:hAnsi="Times New Roman" w:cs="Times New Roman"/>
                <w:sz w:val="24"/>
                <w:szCs w:val="24"/>
              </w:rPr>
              <w:t>las liquidaciones</w:t>
            </w:r>
            <w:r w:rsidR="00ED1D19" w:rsidRPr="00126E0F">
              <w:rPr>
                <w:rFonts w:ascii="Times New Roman" w:hAnsi="Times New Roman" w:cs="Times New Roman"/>
                <w:sz w:val="24"/>
                <w:szCs w:val="24"/>
              </w:rPr>
              <w:t xml:space="preserve"> </w:t>
            </w:r>
            <w:r w:rsidR="00807E38" w:rsidRPr="00126E0F">
              <w:rPr>
                <w:rFonts w:ascii="Times New Roman" w:hAnsi="Times New Roman" w:cs="Times New Roman"/>
                <w:sz w:val="24"/>
                <w:szCs w:val="24"/>
              </w:rPr>
              <w:t>aplicadas a</w:t>
            </w:r>
            <w:r w:rsidR="00ED1D19" w:rsidRPr="00126E0F">
              <w:rPr>
                <w:rFonts w:ascii="Times New Roman" w:hAnsi="Times New Roman" w:cs="Times New Roman"/>
                <w:sz w:val="24"/>
                <w:szCs w:val="24"/>
              </w:rPr>
              <w:t xml:space="preserve"> los </w:t>
            </w:r>
            <w:r w:rsidR="00807E38" w:rsidRPr="00126E0F">
              <w:rPr>
                <w:rFonts w:ascii="Times New Roman" w:hAnsi="Times New Roman" w:cs="Times New Roman"/>
                <w:sz w:val="24"/>
                <w:szCs w:val="24"/>
              </w:rPr>
              <w:t xml:space="preserve">predios </w:t>
            </w:r>
            <w:r w:rsidR="000A69D7" w:rsidRPr="00126E0F">
              <w:rPr>
                <w:rFonts w:ascii="Times New Roman" w:hAnsi="Times New Roman" w:cs="Times New Roman"/>
                <w:sz w:val="24"/>
                <w:szCs w:val="24"/>
              </w:rPr>
              <w:t>residenciales</w:t>
            </w:r>
            <w:r w:rsidR="00807E38" w:rsidRPr="00126E0F">
              <w:rPr>
                <w:rFonts w:ascii="Times New Roman" w:hAnsi="Times New Roman" w:cs="Times New Roman"/>
                <w:sz w:val="24"/>
                <w:szCs w:val="24"/>
              </w:rPr>
              <w:t>,</w:t>
            </w:r>
            <w:r w:rsidR="00B56515" w:rsidRPr="00126E0F">
              <w:rPr>
                <w:rFonts w:ascii="Times New Roman" w:hAnsi="Times New Roman" w:cs="Times New Roman"/>
                <w:sz w:val="24"/>
                <w:szCs w:val="24"/>
              </w:rPr>
              <w:t xml:space="preserve"> </w:t>
            </w:r>
            <w:r w:rsidR="000A69D7" w:rsidRPr="00126E0F">
              <w:rPr>
                <w:rFonts w:ascii="Times New Roman" w:hAnsi="Times New Roman" w:cs="Times New Roman"/>
                <w:sz w:val="24"/>
                <w:szCs w:val="24"/>
              </w:rPr>
              <w:t>como</w:t>
            </w:r>
            <w:r w:rsidR="00ED1D19" w:rsidRPr="00126E0F">
              <w:rPr>
                <w:rFonts w:ascii="Times New Roman" w:hAnsi="Times New Roman" w:cs="Times New Roman"/>
                <w:sz w:val="24"/>
                <w:szCs w:val="24"/>
              </w:rPr>
              <w:t xml:space="preserve"> </w:t>
            </w:r>
            <w:r w:rsidR="00E438E6" w:rsidRPr="00126E0F">
              <w:rPr>
                <w:rFonts w:ascii="Times New Roman" w:hAnsi="Times New Roman" w:cs="Times New Roman"/>
                <w:sz w:val="24"/>
                <w:szCs w:val="24"/>
              </w:rPr>
              <w:t xml:space="preserve">se </w:t>
            </w:r>
            <w:r w:rsidR="00807E38" w:rsidRPr="00126E0F">
              <w:rPr>
                <w:rFonts w:ascii="Times New Roman" w:hAnsi="Times New Roman" w:cs="Times New Roman"/>
                <w:sz w:val="24"/>
                <w:szCs w:val="24"/>
              </w:rPr>
              <w:t>evidencia</w:t>
            </w:r>
            <w:r w:rsidR="000A69D7" w:rsidRPr="00126E0F">
              <w:rPr>
                <w:rFonts w:ascii="Times New Roman" w:hAnsi="Times New Roman" w:cs="Times New Roman"/>
                <w:sz w:val="24"/>
                <w:szCs w:val="24"/>
              </w:rPr>
              <w:t xml:space="preserve"> en la </w:t>
            </w:r>
            <w:r w:rsidR="00807E38" w:rsidRPr="00126E0F">
              <w:rPr>
                <w:rFonts w:ascii="Times New Roman" w:hAnsi="Times New Roman" w:cs="Times New Roman"/>
                <w:sz w:val="24"/>
                <w:szCs w:val="24"/>
              </w:rPr>
              <w:t>gráfica</w:t>
            </w:r>
            <w:r w:rsidR="000A69D7" w:rsidRPr="00126E0F">
              <w:rPr>
                <w:rFonts w:ascii="Times New Roman" w:hAnsi="Times New Roman" w:cs="Times New Roman"/>
                <w:sz w:val="24"/>
                <w:szCs w:val="24"/>
              </w:rPr>
              <w:t xml:space="preserve"> </w:t>
            </w:r>
            <w:r w:rsidR="00CC13FA" w:rsidRPr="00126E0F">
              <w:rPr>
                <w:rFonts w:ascii="Times New Roman" w:hAnsi="Times New Roman" w:cs="Times New Roman"/>
                <w:sz w:val="24"/>
                <w:szCs w:val="24"/>
              </w:rPr>
              <w:t>43</w:t>
            </w:r>
            <w:r w:rsidR="00E90BAF" w:rsidRPr="00126E0F">
              <w:rPr>
                <w:rFonts w:ascii="Times New Roman" w:hAnsi="Times New Roman" w:cs="Times New Roman"/>
                <w:sz w:val="24"/>
                <w:szCs w:val="24"/>
              </w:rPr>
              <w:t xml:space="preserve">. </w:t>
            </w:r>
            <w:r w:rsidR="00807E38" w:rsidRPr="00126E0F">
              <w:rPr>
                <w:rFonts w:ascii="Times New Roman" w:hAnsi="Times New Roman" w:cs="Times New Roman"/>
                <w:sz w:val="24"/>
                <w:szCs w:val="24"/>
              </w:rPr>
              <w:t>Asimismo,</w:t>
            </w:r>
            <w:r w:rsidR="00E90BAF" w:rsidRPr="00126E0F">
              <w:rPr>
                <w:rFonts w:ascii="Times New Roman" w:hAnsi="Times New Roman" w:cs="Times New Roman"/>
                <w:sz w:val="24"/>
                <w:szCs w:val="24"/>
              </w:rPr>
              <w:t xml:space="preserve"> se </w:t>
            </w:r>
            <w:r w:rsidR="00807E38" w:rsidRPr="00126E0F">
              <w:rPr>
                <w:rFonts w:ascii="Times New Roman" w:hAnsi="Times New Roman" w:cs="Times New Roman"/>
                <w:sz w:val="24"/>
                <w:szCs w:val="24"/>
              </w:rPr>
              <w:t xml:space="preserve">observa una reducción en </w:t>
            </w:r>
            <w:r w:rsidR="00436F35" w:rsidRPr="00126E0F">
              <w:rPr>
                <w:rFonts w:ascii="Times New Roman" w:hAnsi="Times New Roman" w:cs="Times New Roman"/>
                <w:sz w:val="24"/>
                <w:szCs w:val="24"/>
              </w:rPr>
              <w:t>las tarifas</w:t>
            </w:r>
            <w:r w:rsidR="00E438E6" w:rsidRPr="00126E0F">
              <w:rPr>
                <w:rFonts w:ascii="Times New Roman" w:hAnsi="Times New Roman" w:cs="Times New Roman"/>
                <w:sz w:val="24"/>
                <w:szCs w:val="24"/>
              </w:rPr>
              <w:t xml:space="preserve"> </w:t>
            </w:r>
            <w:r w:rsidR="00807E38" w:rsidRPr="00126E0F">
              <w:rPr>
                <w:rFonts w:ascii="Times New Roman" w:hAnsi="Times New Roman" w:cs="Times New Roman"/>
                <w:sz w:val="24"/>
                <w:szCs w:val="24"/>
              </w:rPr>
              <w:t>para los</w:t>
            </w:r>
            <w:r w:rsidR="00E438E6" w:rsidRPr="00126E0F">
              <w:rPr>
                <w:rFonts w:ascii="Times New Roman" w:hAnsi="Times New Roman" w:cs="Times New Roman"/>
                <w:sz w:val="24"/>
                <w:szCs w:val="24"/>
              </w:rPr>
              <w:t xml:space="preserve"> </w:t>
            </w:r>
            <w:r w:rsidR="00436F35" w:rsidRPr="00126E0F">
              <w:rPr>
                <w:rFonts w:ascii="Times New Roman" w:hAnsi="Times New Roman" w:cs="Times New Roman"/>
                <w:sz w:val="24"/>
                <w:szCs w:val="24"/>
              </w:rPr>
              <w:t>predios rurales con vocación agropecuaria.</w:t>
            </w:r>
          </w:p>
          <w:p w14:paraId="1CAD5E1D" w14:textId="77777777" w:rsidR="00A94DF0" w:rsidRPr="009D74A3" w:rsidRDefault="00A94DF0" w:rsidP="008B29A2">
            <w:pPr>
              <w:contextualSpacing/>
              <w:jc w:val="both"/>
              <w:rPr>
                <w:rFonts w:ascii="Times New Roman" w:hAnsi="Times New Roman" w:cs="Times New Roman"/>
              </w:rPr>
            </w:pPr>
            <w:r w:rsidRPr="009D74A3">
              <w:rPr>
                <w:rFonts w:ascii="Times New Roman" w:hAnsi="Times New Roman" w:cs="Times New Roman"/>
              </w:rPr>
              <w:t> </w:t>
            </w:r>
          </w:p>
          <w:p w14:paraId="420043C5" w14:textId="10036B29" w:rsidR="00A94DF0" w:rsidRPr="009D74A3" w:rsidRDefault="00A66BB7">
            <w:pPr>
              <w:pStyle w:val="Ttulo3"/>
              <w:numPr>
                <w:ilvl w:val="1"/>
                <w:numId w:val="8"/>
              </w:numPr>
              <w:spacing w:before="0" w:after="0"/>
              <w:contextualSpacing/>
              <w:jc w:val="both"/>
              <w:outlineLvl w:val="2"/>
              <w:rPr>
                <w:rFonts w:ascii="Times New Roman" w:hAnsi="Times New Roman" w:cs="Times New Roman"/>
                <w:b/>
                <w:bCs/>
                <w:color w:val="auto"/>
                <w:sz w:val="24"/>
                <w:szCs w:val="24"/>
                <w:lang w:val="es-ES"/>
              </w:rPr>
            </w:pPr>
            <w:bookmarkStart w:id="3" w:name="_Toc201047964"/>
            <w:bookmarkStart w:id="4" w:name="_Hlk202438299"/>
            <w:r>
              <w:rPr>
                <w:rFonts w:ascii="Times New Roman" w:hAnsi="Times New Roman" w:cs="Times New Roman"/>
                <w:b/>
                <w:bCs/>
                <w:color w:val="auto"/>
                <w:sz w:val="24"/>
                <w:szCs w:val="24"/>
                <w:lang w:val="es-ES"/>
              </w:rPr>
              <w:t xml:space="preserve"> </w:t>
            </w:r>
            <w:r w:rsidR="00A94DF0" w:rsidRPr="009D74A3">
              <w:rPr>
                <w:rFonts w:ascii="Times New Roman" w:hAnsi="Times New Roman" w:cs="Times New Roman"/>
                <w:b/>
                <w:bCs/>
                <w:color w:val="auto"/>
                <w:sz w:val="24"/>
                <w:szCs w:val="24"/>
                <w:lang w:val="es-ES"/>
              </w:rPr>
              <w:t>Alumbrado público</w:t>
            </w:r>
            <w:bookmarkEnd w:id="3"/>
          </w:p>
          <w:bookmarkEnd w:id="4"/>
          <w:p w14:paraId="1F34B01D" w14:textId="77777777" w:rsidR="00A94DF0" w:rsidRPr="009D74A3" w:rsidRDefault="00A94DF0" w:rsidP="008B29A2">
            <w:pPr>
              <w:contextualSpacing/>
              <w:rPr>
                <w:rFonts w:ascii="Times New Roman" w:hAnsi="Times New Roman" w:cs="Times New Roman"/>
                <w:lang w:val="es-ES"/>
              </w:rPr>
            </w:pPr>
          </w:p>
          <w:p w14:paraId="43551051" w14:textId="77777777" w:rsidR="00A94DF0" w:rsidRPr="009D74A3" w:rsidRDefault="00A94DF0" w:rsidP="00A94DF0">
            <w:pPr>
              <w:pStyle w:val="NormalWeb"/>
              <w:spacing w:before="0" w:beforeAutospacing="0" w:after="0" w:afterAutospacing="0"/>
              <w:contextualSpacing/>
              <w:jc w:val="both"/>
              <w:rPr>
                <w:rFonts w:eastAsiaTheme="minorEastAsia"/>
                <w:lang w:val="es-MX"/>
              </w:rPr>
            </w:pPr>
            <w:r w:rsidRPr="009D74A3">
              <w:rPr>
                <w:rFonts w:eastAsiaTheme="minorEastAsia"/>
                <w:lang w:val="es-MX"/>
              </w:rPr>
              <w:t>Con el propósito de garantizar la sostenibilidad financiera del servicio de alumbrado público, y atendiendo a los principios de equidad, eficiencia y capacidad de pago, se propone la adopción de un impuesto al alumbrado público a partir de una estructura tarifaria diferencial por tipo de usuario, nivel socioeconómico y mercado (regulado o no regulado), con tarifas entre el 7 % y el 10 %, dependiendo del sector. Según los cálculos presentados:</w:t>
            </w:r>
          </w:p>
          <w:p w14:paraId="315FCDB7" w14:textId="77777777" w:rsidR="00A94DF0" w:rsidRPr="009D74A3" w:rsidRDefault="00A94DF0" w:rsidP="00A94DF0">
            <w:pPr>
              <w:pStyle w:val="NormalWeb"/>
              <w:spacing w:before="0" w:beforeAutospacing="0" w:after="0" w:afterAutospacing="0"/>
              <w:contextualSpacing/>
              <w:jc w:val="both"/>
              <w:rPr>
                <w:rFonts w:eastAsiaTheme="minorEastAsia"/>
                <w:lang w:val="es-MX"/>
              </w:rPr>
            </w:pPr>
          </w:p>
          <w:p w14:paraId="02979A16" w14:textId="77777777" w:rsidR="00703310" w:rsidRPr="00703310" w:rsidRDefault="00703310" w:rsidP="00740130">
            <w:pPr>
              <w:pStyle w:val="NormalWeb"/>
              <w:numPr>
                <w:ilvl w:val="0"/>
                <w:numId w:val="1"/>
              </w:numPr>
              <w:ind w:left="426"/>
              <w:contextualSpacing/>
              <w:jc w:val="both"/>
              <w:rPr>
                <w:rFonts w:eastAsiaTheme="minorEastAsia"/>
                <w:lang w:val="es-CO"/>
              </w:rPr>
            </w:pPr>
            <w:r w:rsidRPr="00703310">
              <w:rPr>
                <w:rFonts w:eastAsiaTheme="minorEastAsia"/>
                <w:lang w:val="es-MX"/>
              </w:rPr>
              <w:t>La aplicación del impuesto permitiría recaudar aproximadamente $374.215 millones anuales, cifra que cubre la totalidad del costo básico sin modernización que asciende a $297.880 millones, compuesto principalmente por: Suministro de energía ($110.769 millones), Administración, operación y mantenimiento – AOM ($41.248 millones) y Pago por uso de activos de terceros ($146.732 millones).</w:t>
            </w:r>
            <w:r w:rsidRPr="00703310">
              <w:rPr>
                <w:rFonts w:eastAsiaTheme="minorEastAsia"/>
                <w:lang w:val="es-CO"/>
              </w:rPr>
              <w:t> </w:t>
            </w:r>
          </w:p>
          <w:p w14:paraId="0CFEE6AF" w14:textId="77777777" w:rsidR="00703310" w:rsidRPr="00703310" w:rsidRDefault="00703310" w:rsidP="00740130">
            <w:pPr>
              <w:pStyle w:val="NormalWeb"/>
              <w:numPr>
                <w:ilvl w:val="0"/>
                <w:numId w:val="1"/>
              </w:numPr>
              <w:ind w:left="426"/>
              <w:contextualSpacing/>
              <w:jc w:val="both"/>
              <w:rPr>
                <w:rFonts w:eastAsiaTheme="minorEastAsia"/>
                <w:lang w:val="es-CO"/>
              </w:rPr>
            </w:pPr>
            <w:r w:rsidRPr="00703310">
              <w:rPr>
                <w:rFonts w:eastAsiaTheme="minorEastAsia"/>
                <w:lang w:val="es-CO"/>
              </w:rPr>
              <w:t>Asimismo, cubriría el c</w:t>
            </w:r>
            <w:r w:rsidRPr="00703310">
              <w:rPr>
                <w:rFonts w:eastAsiaTheme="minorEastAsia"/>
                <w:lang w:val="es-MX"/>
              </w:rPr>
              <w:t>osto por expansión, modernización y telegestión que asciende a $75.643 millones adicionales, incluyendo inversiones en: Modernización ($33.820 millones), Expansión ($14.000 millones), Telegestión ($10.000 millones), AOM asociado a activos nuevos ($3.081 millones) e Interventoría del servicio ($14.366 millones).</w:t>
            </w:r>
            <w:r w:rsidRPr="00703310">
              <w:rPr>
                <w:rFonts w:eastAsiaTheme="minorEastAsia"/>
                <w:lang w:val="es-CO"/>
              </w:rPr>
              <w:t> </w:t>
            </w:r>
          </w:p>
          <w:p w14:paraId="29E46CE4" w14:textId="77777777" w:rsidR="00703310" w:rsidRPr="00703310" w:rsidRDefault="00703310" w:rsidP="00740130">
            <w:pPr>
              <w:pStyle w:val="NormalWeb"/>
              <w:numPr>
                <w:ilvl w:val="0"/>
                <w:numId w:val="1"/>
              </w:numPr>
              <w:ind w:left="426"/>
              <w:contextualSpacing/>
              <w:jc w:val="both"/>
              <w:rPr>
                <w:rFonts w:eastAsiaTheme="minorEastAsia"/>
                <w:lang w:val="es-MX"/>
              </w:rPr>
            </w:pPr>
            <w:r w:rsidRPr="00703310">
              <w:rPr>
                <w:rFonts w:eastAsiaTheme="minorEastAsia"/>
                <w:lang w:val="es-MX"/>
              </w:rPr>
              <w:t>El universo de usuarios que pagaría este tributo es de 809 mil contribuyentes, lo que permite una base amplia de financiación y favorece un esquema de distribución equitativa del costo.</w:t>
            </w:r>
          </w:p>
          <w:p w14:paraId="4D664B6D" w14:textId="77777777" w:rsidR="00A94DF0" w:rsidRPr="009D74A3" w:rsidRDefault="00A94DF0" w:rsidP="00A94DF0">
            <w:pPr>
              <w:pStyle w:val="NormalWeb"/>
              <w:spacing w:before="0" w:beforeAutospacing="0" w:after="0" w:afterAutospacing="0"/>
              <w:contextualSpacing/>
              <w:jc w:val="both"/>
              <w:rPr>
                <w:rFonts w:eastAsiaTheme="minorEastAsia"/>
                <w:lang w:val="es-MX"/>
              </w:rPr>
            </w:pPr>
          </w:p>
          <w:p w14:paraId="68687E65" w14:textId="77777777" w:rsidR="00A94DF0" w:rsidRPr="009D74A3" w:rsidRDefault="00A94DF0" w:rsidP="00A94DF0">
            <w:pPr>
              <w:pStyle w:val="NormalWeb"/>
              <w:spacing w:before="0" w:beforeAutospacing="0" w:after="0" w:afterAutospacing="0"/>
              <w:contextualSpacing/>
              <w:jc w:val="both"/>
              <w:rPr>
                <w:rFonts w:eastAsiaTheme="minorEastAsia"/>
                <w:lang w:val="es-MX"/>
              </w:rPr>
            </w:pPr>
            <w:r w:rsidRPr="009D74A3">
              <w:rPr>
                <w:rFonts w:eastAsiaTheme="minorEastAsia"/>
                <w:lang w:val="es-MX"/>
              </w:rPr>
              <w:t>La estructura propuesta es la siguiente:</w:t>
            </w:r>
          </w:p>
          <w:p w14:paraId="48F079C4" w14:textId="77777777" w:rsidR="00EC1155" w:rsidRDefault="00EC1155" w:rsidP="005C12F9">
            <w:pPr>
              <w:contextualSpacing/>
              <w:jc w:val="center"/>
              <w:rPr>
                <w:rFonts w:ascii="Times New Roman" w:hAnsi="Times New Roman" w:cs="Times New Roman"/>
                <w:b/>
              </w:rPr>
            </w:pPr>
            <w:bookmarkStart w:id="5" w:name="_Toc200118821"/>
          </w:p>
          <w:p w14:paraId="437271C4" w14:textId="68995B34" w:rsidR="005C12F9" w:rsidRPr="009D74A3" w:rsidRDefault="00A94DF0" w:rsidP="005C12F9">
            <w:pPr>
              <w:contextualSpacing/>
              <w:jc w:val="center"/>
              <w:rPr>
                <w:rFonts w:ascii="Times New Roman" w:hAnsi="Times New Roman" w:cs="Times New Roman"/>
                <w:b/>
              </w:rPr>
            </w:pPr>
            <w:r w:rsidRPr="009D74A3">
              <w:rPr>
                <w:rFonts w:ascii="Times New Roman" w:hAnsi="Times New Roman" w:cs="Times New Roman"/>
                <w:b/>
              </w:rPr>
              <w:t xml:space="preserve">Tabla </w:t>
            </w:r>
            <w:r w:rsidR="005C12F9" w:rsidRPr="009D74A3">
              <w:rPr>
                <w:rFonts w:ascii="Times New Roman" w:hAnsi="Times New Roman" w:cs="Times New Roman"/>
                <w:b/>
              </w:rPr>
              <w:t>2</w:t>
            </w:r>
            <w:r w:rsidR="00F808FF">
              <w:rPr>
                <w:rFonts w:ascii="Times New Roman" w:hAnsi="Times New Roman" w:cs="Times New Roman"/>
                <w:b/>
              </w:rPr>
              <w:t>8</w:t>
            </w:r>
          </w:p>
          <w:p w14:paraId="3F820D86" w14:textId="32425386" w:rsidR="00A94DF0" w:rsidRPr="009D74A3" w:rsidRDefault="00A94DF0" w:rsidP="005C12F9">
            <w:pPr>
              <w:pStyle w:val="Descripcin"/>
              <w:keepNext/>
              <w:spacing w:after="0"/>
              <w:contextualSpacing/>
              <w:jc w:val="center"/>
              <w:rPr>
                <w:rFonts w:ascii="Times New Roman" w:hAnsi="Times New Roman" w:cs="Times New Roman"/>
                <w:b/>
                <w:i w:val="0"/>
                <w:color w:val="auto"/>
                <w:sz w:val="22"/>
                <w:szCs w:val="22"/>
              </w:rPr>
            </w:pPr>
            <w:r w:rsidRPr="009D74A3">
              <w:rPr>
                <w:rFonts w:ascii="Times New Roman" w:hAnsi="Times New Roman" w:cs="Times New Roman"/>
                <w:b/>
                <w:i w:val="0"/>
                <w:color w:val="auto"/>
                <w:sz w:val="22"/>
                <w:szCs w:val="22"/>
              </w:rPr>
              <w:t>Propuesta Impuesto al alumbrado público</w:t>
            </w:r>
            <w:bookmarkEnd w:id="5"/>
          </w:p>
          <w:tbl>
            <w:tblPr>
              <w:tblStyle w:val="Tablaconcuadrcula"/>
              <w:tblW w:w="0" w:type="auto"/>
              <w:jc w:val="center"/>
              <w:tblLayout w:type="fixed"/>
              <w:tblLook w:val="04A0" w:firstRow="1" w:lastRow="0" w:firstColumn="1" w:lastColumn="0" w:noHBand="0" w:noVBand="1"/>
            </w:tblPr>
            <w:tblGrid>
              <w:gridCol w:w="1407"/>
              <w:gridCol w:w="3148"/>
              <w:gridCol w:w="1075"/>
              <w:gridCol w:w="2078"/>
            </w:tblGrid>
            <w:tr w:rsidR="00A94DF0" w:rsidRPr="009D74A3" w14:paraId="40A38D29" w14:textId="77777777" w:rsidTr="00740130">
              <w:trPr>
                <w:trHeight w:val="316"/>
                <w:jc w:val="center"/>
              </w:trPr>
              <w:tc>
                <w:tcPr>
                  <w:tcW w:w="1407" w:type="dxa"/>
                  <w:shd w:val="clear" w:color="auto" w:fill="002060"/>
                  <w:hideMark/>
                </w:tcPr>
                <w:p w14:paraId="7B4D9EF9" w14:textId="77777777" w:rsidR="00A94DF0" w:rsidRPr="009D74A3" w:rsidRDefault="00A94DF0" w:rsidP="00A94DF0">
                  <w:pPr>
                    <w:contextualSpacing/>
                    <w:jc w:val="both"/>
                    <w:rPr>
                      <w:rFonts w:ascii="Times New Roman" w:eastAsiaTheme="minorEastAsia" w:hAnsi="Times New Roman" w:cs="Times New Roman"/>
                      <w:b/>
                      <w:lang w:val="es-MX"/>
                    </w:rPr>
                  </w:pPr>
                  <w:r w:rsidRPr="009D74A3">
                    <w:rPr>
                      <w:rFonts w:ascii="Times New Roman" w:eastAsiaTheme="minorEastAsia" w:hAnsi="Times New Roman" w:cs="Times New Roman"/>
                      <w:b/>
                      <w:lang w:val="es-MX"/>
                    </w:rPr>
                    <w:t>Mercado</w:t>
                  </w:r>
                </w:p>
              </w:tc>
              <w:tc>
                <w:tcPr>
                  <w:tcW w:w="3148" w:type="dxa"/>
                  <w:shd w:val="clear" w:color="auto" w:fill="002060"/>
                  <w:hideMark/>
                </w:tcPr>
                <w:p w14:paraId="6BD8B9BB" w14:textId="77777777" w:rsidR="00A94DF0" w:rsidRPr="009D74A3" w:rsidRDefault="00A94DF0" w:rsidP="00A94DF0">
                  <w:pPr>
                    <w:contextualSpacing/>
                    <w:jc w:val="both"/>
                    <w:rPr>
                      <w:rFonts w:ascii="Times New Roman" w:eastAsiaTheme="minorEastAsia" w:hAnsi="Times New Roman" w:cs="Times New Roman"/>
                      <w:b/>
                      <w:lang w:val="es-MX"/>
                    </w:rPr>
                  </w:pPr>
                  <w:r w:rsidRPr="009D74A3">
                    <w:rPr>
                      <w:rFonts w:ascii="Times New Roman" w:eastAsiaTheme="minorEastAsia" w:hAnsi="Times New Roman" w:cs="Times New Roman"/>
                      <w:b/>
                      <w:lang w:val="es-MX"/>
                    </w:rPr>
                    <w:t>Sector</w:t>
                  </w:r>
                </w:p>
              </w:tc>
              <w:tc>
                <w:tcPr>
                  <w:tcW w:w="1075" w:type="dxa"/>
                  <w:shd w:val="clear" w:color="auto" w:fill="002060"/>
                  <w:hideMark/>
                </w:tcPr>
                <w:p w14:paraId="745A1DC3" w14:textId="77777777" w:rsidR="00A94DF0" w:rsidRPr="009D74A3" w:rsidRDefault="00A94DF0" w:rsidP="00A94DF0">
                  <w:pPr>
                    <w:contextualSpacing/>
                    <w:jc w:val="both"/>
                    <w:rPr>
                      <w:rFonts w:ascii="Times New Roman" w:eastAsiaTheme="minorEastAsia" w:hAnsi="Times New Roman" w:cs="Times New Roman"/>
                      <w:b/>
                      <w:lang w:val="es-MX"/>
                    </w:rPr>
                  </w:pPr>
                  <w:r w:rsidRPr="009D74A3">
                    <w:rPr>
                      <w:rFonts w:ascii="Times New Roman" w:eastAsiaTheme="minorEastAsia" w:hAnsi="Times New Roman" w:cs="Times New Roman"/>
                      <w:b/>
                      <w:lang w:val="es-MX"/>
                    </w:rPr>
                    <w:t>Tarifa</w:t>
                  </w:r>
                </w:p>
              </w:tc>
              <w:tc>
                <w:tcPr>
                  <w:tcW w:w="2078" w:type="dxa"/>
                  <w:shd w:val="clear" w:color="auto" w:fill="002060"/>
                  <w:hideMark/>
                </w:tcPr>
                <w:p w14:paraId="4034B228" w14:textId="77777777" w:rsidR="00A94DF0" w:rsidRPr="009D74A3" w:rsidRDefault="00A94DF0" w:rsidP="00A94DF0">
                  <w:pPr>
                    <w:contextualSpacing/>
                    <w:jc w:val="both"/>
                    <w:rPr>
                      <w:rFonts w:ascii="Times New Roman" w:eastAsiaTheme="minorEastAsia" w:hAnsi="Times New Roman" w:cs="Times New Roman"/>
                      <w:b/>
                      <w:lang w:val="es-MX"/>
                    </w:rPr>
                  </w:pPr>
                  <w:r w:rsidRPr="009D74A3">
                    <w:rPr>
                      <w:rFonts w:ascii="Times New Roman" w:eastAsiaTheme="minorEastAsia" w:hAnsi="Times New Roman" w:cs="Times New Roman"/>
                      <w:b/>
                      <w:lang w:val="es-MX"/>
                    </w:rPr>
                    <w:t>Recaudo estimado</w:t>
                  </w:r>
                </w:p>
              </w:tc>
            </w:tr>
            <w:tr w:rsidR="00A94DF0" w:rsidRPr="009D74A3" w14:paraId="3D910D7B" w14:textId="77777777" w:rsidTr="00740130">
              <w:trPr>
                <w:trHeight w:val="316"/>
                <w:jc w:val="center"/>
              </w:trPr>
              <w:tc>
                <w:tcPr>
                  <w:tcW w:w="1407" w:type="dxa"/>
                  <w:hideMark/>
                </w:tcPr>
                <w:p w14:paraId="5D6B358F" w14:textId="77777777" w:rsidR="00A94DF0" w:rsidRPr="009D74A3" w:rsidRDefault="00A94DF0" w:rsidP="00A94DF0">
                  <w:pPr>
                    <w:contextualSpacing/>
                    <w:jc w:val="both"/>
                    <w:rPr>
                      <w:rFonts w:ascii="Times New Roman" w:eastAsiaTheme="minorEastAsia" w:hAnsi="Times New Roman" w:cs="Times New Roman"/>
                      <w:lang w:val="es-MX"/>
                    </w:rPr>
                  </w:pPr>
                  <w:r w:rsidRPr="009D74A3">
                    <w:rPr>
                      <w:rFonts w:ascii="Times New Roman" w:eastAsiaTheme="minorEastAsia" w:hAnsi="Times New Roman" w:cs="Times New Roman"/>
                      <w:lang w:val="es-MX"/>
                    </w:rPr>
                    <w:t>Regulado</w:t>
                  </w:r>
                </w:p>
              </w:tc>
              <w:tc>
                <w:tcPr>
                  <w:tcW w:w="3148" w:type="dxa"/>
                  <w:hideMark/>
                </w:tcPr>
                <w:p w14:paraId="74F29CB7" w14:textId="77777777" w:rsidR="00A94DF0" w:rsidRPr="009D74A3" w:rsidRDefault="00A94DF0" w:rsidP="00A94DF0">
                  <w:pPr>
                    <w:contextualSpacing/>
                    <w:jc w:val="both"/>
                    <w:rPr>
                      <w:rFonts w:ascii="Times New Roman" w:eastAsiaTheme="minorEastAsia" w:hAnsi="Times New Roman" w:cs="Times New Roman"/>
                      <w:lang w:val="es-MX"/>
                    </w:rPr>
                  </w:pPr>
                  <w:r w:rsidRPr="009D74A3">
                    <w:rPr>
                      <w:rFonts w:ascii="Times New Roman" w:eastAsiaTheme="minorEastAsia" w:hAnsi="Times New Roman" w:cs="Times New Roman"/>
                      <w:lang w:val="es-MX"/>
                    </w:rPr>
                    <w:t>Residencial Est. 4 a 6</w:t>
                  </w:r>
                </w:p>
              </w:tc>
              <w:tc>
                <w:tcPr>
                  <w:tcW w:w="1075" w:type="dxa"/>
                  <w:hideMark/>
                </w:tcPr>
                <w:p w14:paraId="1A731CA8" w14:textId="77777777" w:rsidR="00A94DF0" w:rsidRPr="009D74A3" w:rsidRDefault="00A94DF0" w:rsidP="00A94DF0">
                  <w:pPr>
                    <w:contextualSpacing/>
                    <w:jc w:val="both"/>
                    <w:rPr>
                      <w:rFonts w:ascii="Times New Roman" w:eastAsiaTheme="minorEastAsia" w:hAnsi="Times New Roman" w:cs="Times New Roman"/>
                      <w:lang w:val="es-MX"/>
                    </w:rPr>
                  </w:pPr>
                  <w:r w:rsidRPr="009D74A3">
                    <w:rPr>
                      <w:rFonts w:ascii="Times New Roman" w:eastAsiaTheme="minorEastAsia" w:hAnsi="Times New Roman" w:cs="Times New Roman"/>
                      <w:lang w:val="es-MX"/>
                    </w:rPr>
                    <w:t>7 %–9 %</w:t>
                  </w:r>
                </w:p>
              </w:tc>
              <w:tc>
                <w:tcPr>
                  <w:tcW w:w="2078" w:type="dxa"/>
                  <w:hideMark/>
                </w:tcPr>
                <w:p w14:paraId="4D1F1C64" w14:textId="77777777" w:rsidR="00A94DF0" w:rsidRPr="009D74A3" w:rsidRDefault="00A94DF0" w:rsidP="00A94DF0">
                  <w:pPr>
                    <w:contextualSpacing/>
                    <w:jc w:val="both"/>
                    <w:rPr>
                      <w:rFonts w:ascii="Times New Roman" w:eastAsiaTheme="minorEastAsia" w:hAnsi="Times New Roman" w:cs="Times New Roman"/>
                      <w:lang w:val="es-MX"/>
                    </w:rPr>
                  </w:pPr>
                  <w:r w:rsidRPr="009D74A3">
                    <w:rPr>
                      <w:rFonts w:ascii="Times New Roman" w:eastAsiaTheme="minorEastAsia" w:hAnsi="Times New Roman" w:cs="Times New Roman"/>
                      <w:lang w:val="es-MX"/>
                    </w:rPr>
                    <w:t>$70.097 millones</w:t>
                  </w:r>
                </w:p>
              </w:tc>
            </w:tr>
            <w:tr w:rsidR="00A94DF0" w:rsidRPr="009D74A3" w14:paraId="7475CDE5" w14:textId="77777777" w:rsidTr="00740130">
              <w:trPr>
                <w:trHeight w:val="316"/>
                <w:jc w:val="center"/>
              </w:trPr>
              <w:tc>
                <w:tcPr>
                  <w:tcW w:w="1407" w:type="dxa"/>
                  <w:hideMark/>
                </w:tcPr>
                <w:p w14:paraId="00BF09C5" w14:textId="77777777" w:rsidR="00A94DF0" w:rsidRPr="009D74A3" w:rsidRDefault="00A94DF0" w:rsidP="00A94DF0">
                  <w:pPr>
                    <w:contextualSpacing/>
                    <w:jc w:val="both"/>
                    <w:rPr>
                      <w:rFonts w:ascii="Times New Roman" w:eastAsiaTheme="minorEastAsia" w:hAnsi="Times New Roman" w:cs="Times New Roman"/>
                      <w:lang w:val="es-MX"/>
                    </w:rPr>
                  </w:pPr>
                  <w:r w:rsidRPr="009D74A3">
                    <w:rPr>
                      <w:rFonts w:ascii="Times New Roman" w:eastAsiaTheme="minorEastAsia" w:hAnsi="Times New Roman" w:cs="Times New Roman"/>
                      <w:lang w:val="es-MX"/>
                    </w:rPr>
                    <w:t>Regulado</w:t>
                  </w:r>
                </w:p>
              </w:tc>
              <w:tc>
                <w:tcPr>
                  <w:tcW w:w="3148" w:type="dxa"/>
                  <w:hideMark/>
                </w:tcPr>
                <w:p w14:paraId="3BE67520" w14:textId="77777777" w:rsidR="00A94DF0" w:rsidRPr="009D74A3" w:rsidRDefault="00A94DF0" w:rsidP="00A94DF0">
                  <w:pPr>
                    <w:contextualSpacing/>
                    <w:jc w:val="both"/>
                    <w:rPr>
                      <w:rFonts w:ascii="Times New Roman" w:eastAsiaTheme="minorEastAsia" w:hAnsi="Times New Roman" w:cs="Times New Roman"/>
                      <w:lang w:val="es-MX"/>
                    </w:rPr>
                  </w:pPr>
                  <w:r w:rsidRPr="009D74A3">
                    <w:rPr>
                      <w:rFonts w:ascii="Times New Roman" w:eastAsiaTheme="minorEastAsia" w:hAnsi="Times New Roman" w:cs="Times New Roman"/>
                      <w:lang w:val="es-MX"/>
                    </w:rPr>
                    <w:t>Comercial / Industrial / Oficial</w:t>
                  </w:r>
                </w:p>
              </w:tc>
              <w:tc>
                <w:tcPr>
                  <w:tcW w:w="1075" w:type="dxa"/>
                  <w:hideMark/>
                </w:tcPr>
                <w:p w14:paraId="13282D10" w14:textId="77777777" w:rsidR="00A94DF0" w:rsidRPr="009D74A3" w:rsidRDefault="00A94DF0" w:rsidP="00A94DF0">
                  <w:pPr>
                    <w:contextualSpacing/>
                    <w:jc w:val="both"/>
                    <w:rPr>
                      <w:rFonts w:ascii="Times New Roman" w:eastAsiaTheme="minorEastAsia" w:hAnsi="Times New Roman" w:cs="Times New Roman"/>
                      <w:lang w:val="es-MX"/>
                    </w:rPr>
                  </w:pPr>
                  <w:r w:rsidRPr="009D74A3">
                    <w:rPr>
                      <w:rFonts w:ascii="Times New Roman" w:eastAsiaTheme="minorEastAsia" w:hAnsi="Times New Roman" w:cs="Times New Roman"/>
                      <w:lang w:val="es-MX"/>
                    </w:rPr>
                    <w:t>10 %</w:t>
                  </w:r>
                </w:p>
              </w:tc>
              <w:tc>
                <w:tcPr>
                  <w:tcW w:w="2078" w:type="dxa"/>
                  <w:hideMark/>
                </w:tcPr>
                <w:p w14:paraId="075574FD" w14:textId="77777777" w:rsidR="00A94DF0" w:rsidRPr="009D74A3" w:rsidRDefault="00A94DF0" w:rsidP="00A94DF0">
                  <w:pPr>
                    <w:contextualSpacing/>
                    <w:jc w:val="both"/>
                    <w:rPr>
                      <w:rFonts w:ascii="Times New Roman" w:eastAsiaTheme="minorEastAsia" w:hAnsi="Times New Roman" w:cs="Times New Roman"/>
                      <w:lang w:val="es-MX"/>
                    </w:rPr>
                  </w:pPr>
                  <w:r w:rsidRPr="009D74A3">
                    <w:rPr>
                      <w:rFonts w:ascii="Times New Roman" w:eastAsiaTheme="minorEastAsia" w:hAnsi="Times New Roman" w:cs="Times New Roman"/>
                      <w:lang w:val="es-MX"/>
                    </w:rPr>
                    <w:t>$227.021 millones</w:t>
                  </w:r>
                </w:p>
              </w:tc>
            </w:tr>
            <w:tr w:rsidR="00A94DF0" w:rsidRPr="009D74A3" w14:paraId="7AB0A73B" w14:textId="77777777" w:rsidTr="00740130">
              <w:trPr>
                <w:trHeight w:val="316"/>
                <w:jc w:val="center"/>
              </w:trPr>
              <w:tc>
                <w:tcPr>
                  <w:tcW w:w="1407" w:type="dxa"/>
                  <w:hideMark/>
                </w:tcPr>
                <w:p w14:paraId="6668CF0A" w14:textId="77777777" w:rsidR="00A94DF0" w:rsidRPr="009D74A3" w:rsidRDefault="00A94DF0" w:rsidP="00A94DF0">
                  <w:pPr>
                    <w:contextualSpacing/>
                    <w:jc w:val="both"/>
                    <w:rPr>
                      <w:rFonts w:ascii="Times New Roman" w:eastAsiaTheme="minorEastAsia" w:hAnsi="Times New Roman" w:cs="Times New Roman"/>
                      <w:lang w:val="es-MX"/>
                    </w:rPr>
                  </w:pPr>
                  <w:r w:rsidRPr="009D74A3">
                    <w:rPr>
                      <w:rFonts w:ascii="Times New Roman" w:eastAsiaTheme="minorEastAsia" w:hAnsi="Times New Roman" w:cs="Times New Roman"/>
                      <w:lang w:val="es-MX"/>
                    </w:rPr>
                    <w:t>No regulado</w:t>
                  </w:r>
                </w:p>
              </w:tc>
              <w:tc>
                <w:tcPr>
                  <w:tcW w:w="3148" w:type="dxa"/>
                  <w:hideMark/>
                </w:tcPr>
                <w:p w14:paraId="5DDB8E6B" w14:textId="77777777" w:rsidR="00A94DF0" w:rsidRPr="009D74A3" w:rsidRDefault="00A94DF0" w:rsidP="00A94DF0">
                  <w:pPr>
                    <w:contextualSpacing/>
                    <w:jc w:val="both"/>
                    <w:rPr>
                      <w:rFonts w:ascii="Times New Roman" w:eastAsiaTheme="minorEastAsia" w:hAnsi="Times New Roman" w:cs="Times New Roman"/>
                      <w:lang w:val="es-MX"/>
                    </w:rPr>
                  </w:pPr>
                  <w:r w:rsidRPr="009D74A3">
                    <w:rPr>
                      <w:rFonts w:ascii="Times New Roman" w:eastAsiaTheme="minorEastAsia" w:hAnsi="Times New Roman" w:cs="Times New Roman"/>
                      <w:lang w:val="es-MX"/>
                    </w:rPr>
                    <w:t>Comercial / Industrial / Oficial</w:t>
                  </w:r>
                </w:p>
              </w:tc>
              <w:tc>
                <w:tcPr>
                  <w:tcW w:w="1075" w:type="dxa"/>
                  <w:hideMark/>
                </w:tcPr>
                <w:p w14:paraId="4AF38C44" w14:textId="77777777" w:rsidR="00A94DF0" w:rsidRPr="009D74A3" w:rsidRDefault="00A94DF0" w:rsidP="00A94DF0">
                  <w:pPr>
                    <w:contextualSpacing/>
                    <w:jc w:val="both"/>
                    <w:rPr>
                      <w:rFonts w:ascii="Times New Roman" w:eastAsiaTheme="minorEastAsia" w:hAnsi="Times New Roman" w:cs="Times New Roman"/>
                      <w:lang w:val="es-MX"/>
                    </w:rPr>
                  </w:pPr>
                  <w:r w:rsidRPr="009D74A3">
                    <w:rPr>
                      <w:rFonts w:ascii="Times New Roman" w:eastAsiaTheme="minorEastAsia" w:hAnsi="Times New Roman" w:cs="Times New Roman"/>
                      <w:lang w:val="es-MX"/>
                    </w:rPr>
                    <w:t>10 %</w:t>
                  </w:r>
                </w:p>
              </w:tc>
              <w:tc>
                <w:tcPr>
                  <w:tcW w:w="2078" w:type="dxa"/>
                  <w:hideMark/>
                </w:tcPr>
                <w:p w14:paraId="7C58EE08" w14:textId="77777777" w:rsidR="00A94DF0" w:rsidRPr="009D74A3" w:rsidRDefault="00A94DF0" w:rsidP="00A94DF0">
                  <w:pPr>
                    <w:contextualSpacing/>
                    <w:jc w:val="both"/>
                    <w:rPr>
                      <w:rFonts w:ascii="Times New Roman" w:eastAsiaTheme="minorEastAsia" w:hAnsi="Times New Roman" w:cs="Times New Roman"/>
                      <w:lang w:val="es-MX"/>
                    </w:rPr>
                  </w:pPr>
                  <w:r w:rsidRPr="009D74A3">
                    <w:rPr>
                      <w:rFonts w:ascii="Times New Roman" w:eastAsiaTheme="minorEastAsia" w:hAnsi="Times New Roman" w:cs="Times New Roman"/>
                      <w:lang w:val="es-MX"/>
                    </w:rPr>
                    <w:t>$77.097 millones</w:t>
                  </w:r>
                </w:p>
              </w:tc>
            </w:tr>
          </w:tbl>
          <w:p w14:paraId="660C8C3A" w14:textId="22F0F893" w:rsidR="00A94DF0" w:rsidRPr="009D74A3" w:rsidRDefault="00A94DF0" w:rsidP="00832588">
            <w:pPr>
              <w:pStyle w:val="NormalWeb"/>
              <w:spacing w:before="0" w:beforeAutospacing="0" w:after="0" w:afterAutospacing="0"/>
              <w:contextualSpacing/>
              <w:jc w:val="center"/>
              <w:rPr>
                <w:rFonts w:eastAsiaTheme="minorEastAsia"/>
                <w:sz w:val="18"/>
                <w:szCs w:val="18"/>
                <w:lang w:val="es-MX"/>
              </w:rPr>
            </w:pPr>
            <w:r w:rsidRPr="009D74A3">
              <w:rPr>
                <w:rFonts w:eastAsiaTheme="minorEastAsia"/>
                <w:b/>
                <w:bCs/>
                <w:sz w:val="18"/>
                <w:szCs w:val="18"/>
                <w:lang w:val="es-MX"/>
              </w:rPr>
              <w:t>Nota</w:t>
            </w:r>
            <w:r w:rsidRPr="009D74A3">
              <w:rPr>
                <w:rFonts w:eastAsiaTheme="minorEastAsia"/>
                <w:sz w:val="18"/>
                <w:szCs w:val="18"/>
                <w:lang w:val="es-MX"/>
              </w:rPr>
              <w:t>: en el sector residencial las tarifas se aplicarían de la siguiente manera estrato 4 = 7%, 5=8% y 6=9%</w:t>
            </w:r>
          </w:p>
          <w:p w14:paraId="117CF6EC" w14:textId="02197535" w:rsidR="00716567" w:rsidRPr="009D74A3" w:rsidRDefault="00716567" w:rsidP="00832588">
            <w:pPr>
              <w:pStyle w:val="NormalWeb"/>
              <w:spacing w:before="0" w:beforeAutospacing="0" w:after="0" w:afterAutospacing="0"/>
              <w:ind w:firstLine="1201"/>
              <w:contextualSpacing/>
              <w:rPr>
                <w:rFonts w:eastAsiaTheme="minorEastAsia"/>
                <w:sz w:val="18"/>
                <w:szCs w:val="18"/>
                <w:lang w:val="es-MX"/>
              </w:rPr>
            </w:pPr>
            <w:r w:rsidRPr="009D74A3">
              <w:rPr>
                <w:rFonts w:eastAsiaTheme="minorEastAsia"/>
                <w:sz w:val="18"/>
                <w:szCs w:val="18"/>
                <w:lang w:val="es-MX"/>
              </w:rPr>
              <w:t>En los estratos 1 al 3, se aplicaría una tarifa de 0%</w:t>
            </w:r>
          </w:p>
          <w:p w14:paraId="0A6C6869" w14:textId="77777777" w:rsidR="00A94DF0" w:rsidRPr="009D74A3" w:rsidRDefault="00A94DF0" w:rsidP="00A94DF0">
            <w:pPr>
              <w:pStyle w:val="NormalWeb"/>
              <w:spacing w:before="0" w:beforeAutospacing="0" w:after="0" w:afterAutospacing="0"/>
              <w:contextualSpacing/>
              <w:jc w:val="both"/>
              <w:rPr>
                <w:rFonts w:eastAsiaTheme="minorEastAsia"/>
                <w:sz w:val="22"/>
                <w:szCs w:val="22"/>
                <w:lang w:val="es-MX"/>
              </w:rPr>
            </w:pPr>
          </w:p>
          <w:p w14:paraId="7BEE47BA" w14:textId="72BAB419" w:rsidR="00A94DF0" w:rsidRPr="009D74A3" w:rsidRDefault="00A94DF0" w:rsidP="00A94DF0">
            <w:pPr>
              <w:pStyle w:val="NormalWeb"/>
              <w:spacing w:before="0" w:beforeAutospacing="0" w:after="0" w:afterAutospacing="0"/>
              <w:contextualSpacing/>
              <w:jc w:val="both"/>
              <w:rPr>
                <w:rFonts w:eastAsiaTheme="minorEastAsia"/>
                <w:lang w:val="es-MX"/>
              </w:rPr>
            </w:pPr>
            <w:r w:rsidRPr="009D74A3">
              <w:rPr>
                <w:rFonts w:eastAsiaTheme="minorEastAsia"/>
                <w:lang w:val="es-MX"/>
              </w:rPr>
              <w:t>Con el fin de proteger la capacidad de pago de los contribuyentes del mencionado impuesto, se propone un límite del impuesto fijado en 100 UVT para usuarios del servicio de energía del mercado regulado, y de 181 UVT y 293 UVT para usuarios comerciales e industriales, respectivamente, del mercado no regulado.</w:t>
            </w:r>
          </w:p>
          <w:p w14:paraId="7F9C2887" w14:textId="24CBB037" w:rsidR="00716567" w:rsidRPr="009D74A3" w:rsidRDefault="00716567" w:rsidP="00A94DF0">
            <w:pPr>
              <w:pStyle w:val="NormalWeb"/>
              <w:spacing w:before="0" w:beforeAutospacing="0" w:after="0" w:afterAutospacing="0"/>
              <w:contextualSpacing/>
              <w:jc w:val="both"/>
              <w:rPr>
                <w:rFonts w:eastAsiaTheme="minorEastAsia"/>
                <w:lang w:val="es-MX"/>
              </w:rPr>
            </w:pPr>
          </w:p>
          <w:p w14:paraId="642CFDFC" w14:textId="77777777" w:rsidR="009D74A3" w:rsidRDefault="009D74A3" w:rsidP="009D74A3">
            <w:pPr>
              <w:pStyle w:val="NormalWeb"/>
              <w:spacing w:before="0" w:beforeAutospacing="0" w:after="0" w:afterAutospacing="0"/>
              <w:contextualSpacing/>
              <w:jc w:val="both"/>
              <w:rPr>
                <w:rFonts w:eastAsiaTheme="minorEastAsia"/>
                <w:lang w:val="es-MX"/>
              </w:rPr>
            </w:pPr>
            <w:r w:rsidRPr="009D74A3">
              <w:rPr>
                <w:rFonts w:eastAsiaTheme="minorEastAsia"/>
                <w:lang w:val="es-CO"/>
              </w:rPr>
              <w:t>La propuesta considera tanto el mercado como el sector al que pertenece cada predio. En el caso del sector residencial, el valor promedio mensual de pago es de $8.779, $12.517 y $18.857 para los estratos 4, 5 y 6, respectivamente. Los valores medianos son de $6.500, $9.000 y $12.500, lo que evidencia una concentración de predios con pagos bajos dentro de cada grupo. En contraste, los promedios mensuales en los sectores comercial, industrial y oficial son de $57.133, $115.794 y $160.510, superando en distribución a los residenciales. Por su parte, en el mercado no regulado, el valor promedio mensual asciende a $5,29 millones, $7,87 millones y $8,5 millones para los sectores comercial, industrial y oficial, respectivamente.</w:t>
            </w:r>
          </w:p>
          <w:p w14:paraId="7F42A4A0" w14:textId="77777777" w:rsidR="00A94DF0" w:rsidRPr="009D74A3" w:rsidRDefault="00A94DF0" w:rsidP="008B29A2">
            <w:pPr>
              <w:contextualSpacing/>
              <w:rPr>
                <w:rFonts w:ascii="Times New Roman" w:hAnsi="Times New Roman" w:cs="Times New Roman"/>
                <w:sz w:val="24"/>
                <w:szCs w:val="24"/>
                <w:lang w:val="es-MX"/>
              </w:rPr>
            </w:pPr>
          </w:p>
          <w:p w14:paraId="05A7811A" w14:textId="2EECE98D" w:rsidR="00E97B69" w:rsidRDefault="00A94DF0" w:rsidP="008B29A2">
            <w:pPr>
              <w:contextualSpacing/>
              <w:jc w:val="both"/>
              <w:rPr>
                <w:rFonts w:ascii="Times New Roman" w:hAnsi="Times New Roman" w:cs="Times New Roman"/>
                <w:sz w:val="24"/>
                <w:szCs w:val="24"/>
              </w:rPr>
            </w:pPr>
            <w:r w:rsidRPr="009D74A3">
              <w:rPr>
                <w:rFonts w:ascii="Times New Roman" w:hAnsi="Times New Roman" w:cs="Times New Roman"/>
                <w:sz w:val="24"/>
                <w:szCs w:val="24"/>
              </w:rPr>
              <w:t>La modificación de las tarifas en los impuestos e incorporación de incentivos generan cambios en el cumplimiento tributario de los contribuyentes, buscando equidad, justicia, inclusión y eliminar las barreras en la formalidad que en fomentan el desarrollo de la ciudad. Estos cambios recaen en los contribuyentes que a partir de las nuevas dinámicas económicas</w:t>
            </w:r>
            <w:r w:rsidR="00031BEF">
              <w:rPr>
                <w:rFonts w:ascii="Times New Roman" w:hAnsi="Times New Roman" w:cs="Times New Roman"/>
                <w:sz w:val="24"/>
                <w:szCs w:val="24"/>
              </w:rPr>
              <w:t>.</w:t>
            </w:r>
          </w:p>
          <w:p w14:paraId="0706A9E7" w14:textId="77777777" w:rsidR="00E97B69" w:rsidRPr="00E97B69" w:rsidRDefault="00E97B69" w:rsidP="00E97B69">
            <w:pPr>
              <w:contextualSpacing/>
              <w:jc w:val="both"/>
              <w:rPr>
                <w:rFonts w:ascii="Times New Roman" w:hAnsi="Times New Roman" w:cs="Times New Roman"/>
                <w:sz w:val="24"/>
                <w:szCs w:val="24"/>
              </w:rPr>
            </w:pPr>
            <w:r w:rsidRPr="00E97B69">
              <w:rPr>
                <w:rFonts w:ascii="Times New Roman" w:hAnsi="Times New Roman" w:cs="Times New Roman"/>
                <w:sz w:val="24"/>
                <w:szCs w:val="24"/>
              </w:rPr>
              <w:t xml:space="preserve">     </w:t>
            </w:r>
          </w:p>
          <w:p w14:paraId="25B0AE74" w14:textId="77777777" w:rsidR="00E97B69" w:rsidRPr="00E97B69" w:rsidRDefault="00E97B69" w:rsidP="00E97B69">
            <w:pPr>
              <w:contextualSpacing/>
              <w:jc w:val="both"/>
              <w:rPr>
                <w:rFonts w:ascii="Times New Roman" w:hAnsi="Times New Roman" w:cs="Times New Roman"/>
                <w:sz w:val="24"/>
                <w:szCs w:val="24"/>
              </w:rPr>
            </w:pPr>
            <w:r w:rsidRPr="00E97B69">
              <w:rPr>
                <w:rFonts w:ascii="Times New Roman" w:hAnsi="Times New Roman" w:cs="Times New Roman"/>
                <w:sz w:val="24"/>
                <w:szCs w:val="24"/>
              </w:rPr>
              <w:t xml:space="preserve">Al respecto, el tributo se divide en dos: una tarifa general para quienes son usuarios residenciales y no residenciales del servicio público domiciliario de energía eléctrica en el Distrito Capital y una sobretasa al impuesto predial para quienes no sean usuarios de dicho servicio. </w:t>
            </w:r>
          </w:p>
          <w:p w14:paraId="06216013" w14:textId="77777777" w:rsidR="00E97B69" w:rsidRPr="00E97B69" w:rsidRDefault="00E97B69" w:rsidP="00E97B69">
            <w:pPr>
              <w:contextualSpacing/>
              <w:jc w:val="both"/>
              <w:rPr>
                <w:rFonts w:ascii="Times New Roman" w:hAnsi="Times New Roman" w:cs="Times New Roman"/>
                <w:sz w:val="24"/>
                <w:szCs w:val="24"/>
              </w:rPr>
            </w:pPr>
          </w:p>
          <w:p w14:paraId="496F7AC4" w14:textId="77777777" w:rsidR="00E97B69" w:rsidRPr="00E97B69" w:rsidRDefault="00E97B69" w:rsidP="00E97B69">
            <w:pPr>
              <w:contextualSpacing/>
              <w:jc w:val="both"/>
              <w:rPr>
                <w:rFonts w:ascii="Times New Roman" w:hAnsi="Times New Roman" w:cs="Times New Roman"/>
                <w:sz w:val="24"/>
                <w:szCs w:val="24"/>
              </w:rPr>
            </w:pPr>
            <w:r w:rsidRPr="00E97B69">
              <w:rPr>
                <w:rFonts w:ascii="Times New Roman" w:hAnsi="Times New Roman" w:cs="Times New Roman"/>
                <w:sz w:val="24"/>
                <w:szCs w:val="24"/>
              </w:rPr>
              <w:t xml:space="preserve">Esto último en consonancia con lo indicado por la Corte Constitucional en sentencia C-130 de 2018, conforme a la cual: </w:t>
            </w:r>
          </w:p>
          <w:p w14:paraId="54C57E14" w14:textId="77777777" w:rsidR="00E97B69" w:rsidRPr="00E97B69" w:rsidRDefault="00E97B69" w:rsidP="00E97B69">
            <w:pPr>
              <w:contextualSpacing/>
              <w:jc w:val="both"/>
              <w:rPr>
                <w:rFonts w:ascii="Times New Roman" w:hAnsi="Times New Roman" w:cs="Times New Roman"/>
                <w:sz w:val="24"/>
                <w:szCs w:val="24"/>
              </w:rPr>
            </w:pPr>
          </w:p>
          <w:p w14:paraId="3782AD0B" w14:textId="77777777" w:rsidR="00E97B69" w:rsidRPr="00E97B69" w:rsidRDefault="00E97B69" w:rsidP="00E97B69">
            <w:pPr>
              <w:contextualSpacing/>
              <w:jc w:val="both"/>
              <w:rPr>
                <w:rFonts w:ascii="Times New Roman" w:hAnsi="Times New Roman" w:cs="Times New Roman"/>
                <w:sz w:val="24"/>
                <w:szCs w:val="24"/>
              </w:rPr>
            </w:pPr>
            <w:r w:rsidRPr="00E97B69">
              <w:rPr>
                <w:rFonts w:ascii="Times New Roman" w:hAnsi="Times New Roman" w:cs="Times New Roman"/>
                <w:sz w:val="24"/>
                <w:szCs w:val="24"/>
              </w:rPr>
              <w:t>“Así entonces, el alumbrado público es un impuesto porque el contribuyente está obligado a  pagar el tributo sin recibir ninguna contraprestación por parte del Estado y no existe una retribución particular o individual por parte del Estado; de por medio existe así, un beneficio que es de interés general y público, el cual  consiste en garantizar la iluminación colectiva y su mantenimiento, modernización, reposición y ampliación; es así,  un beneficio  común y para garantía de los derechos  de toda la comunidad.”</w:t>
            </w:r>
          </w:p>
          <w:p w14:paraId="2B35486D" w14:textId="77777777" w:rsidR="00E97B69" w:rsidRPr="00E97B69" w:rsidRDefault="00E97B69" w:rsidP="00E97B69">
            <w:pPr>
              <w:contextualSpacing/>
              <w:jc w:val="both"/>
              <w:rPr>
                <w:rFonts w:ascii="Times New Roman" w:hAnsi="Times New Roman" w:cs="Times New Roman"/>
                <w:sz w:val="24"/>
                <w:szCs w:val="24"/>
              </w:rPr>
            </w:pPr>
          </w:p>
          <w:p w14:paraId="362857BD" w14:textId="77777777" w:rsidR="00E97B69" w:rsidRPr="00E97B69" w:rsidRDefault="00E97B69" w:rsidP="00E97B69">
            <w:pPr>
              <w:contextualSpacing/>
              <w:jc w:val="both"/>
              <w:rPr>
                <w:rFonts w:ascii="Times New Roman" w:hAnsi="Times New Roman" w:cs="Times New Roman"/>
                <w:sz w:val="24"/>
                <w:szCs w:val="24"/>
              </w:rPr>
            </w:pPr>
            <w:r w:rsidRPr="00E97B69">
              <w:rPr>
                <w:rFonts w:ascii="Times New Roman" w:hAnsi="Times New Roman" w:cs="Times New Roman"/>
                <w:sz w:val="24"/>
                <w:szCs w:val="24"/>
              </w:rPr>
              <w:t xml:space="preserve">Por lo tanto, debe señalarse que el alumbrado público, en cualquiera de sus dos formas de recaudo, es un impuesto general y no propiamente una tasa. Ello quiere decir que, no se cobra por un beneficio individual por el servicio de alumbrado público, sino como consecuencia del beneficio colectivo y la satisfacción del interés general. </w:t>
            </w:r>
          </w:p>
          <w:p w14:paraId="44BAB4D8" w14:textId="77777777" w:rsidR="00E97B69" w:rsidRPr="00E97B69" w:rsidRDefault="00E97B69" w:rsidP="00E97B69">
            <w:pPr>
              <w:contextualSpacing/>
              <w:jc w:val="both"/>
              <w:rPr>
                <w:rFonts w:ascii="Times New Roman" w:hAnsi="Times New Roman" w:cs="Times New Roman"/>
                <w:sz w:val="24"/>
                <w:szCs w:val="24"/>
              </w:rPr>
            </w:pPr>
          </w:p>
          <w:p w14:paraId="49B88B60" w14:textId="77777777" w:rsidR="00E97B69" w:rsidRPr="00E97B69" w:rsidRDefault="00E97B69" w:rsidP="00E97B69">
            <w:pPr>
              <w:contextualSpacing/>
              <w:jc w:val="both"/>
              <w:rPr>
                <w:rFonts w:ascii="Times New Roman" w:hAnsi="Times New Roman" w:cs="Times New Roman"/>
                <w:sz w:val="24"/>
                <w:szCs w:val="24"/>
              </w:rPr>
            </w:pPr>
            <w:r w:rsidRPr="00E97B69">
              <w:rPr>
                <w:rFonts w:ascii="Times New Roman" w:hAnsi="Times New Roman" w:cs="Times New Roman"/>
                <w:sz w:val="24"/>
                <w:szCs w:val="24"/>
              </w:rPr>
              <w:t xml:space="preserve">Ahora bien, el artículo 349 de la Ley 1819 de 2016 establece el hecho generador y autoriza a los concejos municipales y distritales para la definición de los sujetos pasivos, la base gravable y las tarifas. Por lo que, el honorable Concejo Distrital es competente para su definición, como se busca mediante el Capítulo III del articulado propuesto. </w:t>
            </w:r>
          </w:p>
          <w:p w14:paraId="47C7B199" w14:textId="77777777" w:rsidR="00E97B69" w:rsidRPr="00E97B69" w:rsidRDefault="00E97B69" w:rsidP="00E97B69">
            <w:pPr>
              <w:contextualSpacing/>
              <w:jc w:val="both"/>
              <w:rPr>
                <w:rFonts w:ascii="Times New Roman" w:hAnsi="Times New Roman" w:cs="Times New Roman"/>
                <w:sz w:val="24"/>
                <w:szCs w:val="24"/>
              </w:rPr>
            </w:pPr>
          </w:p>
          <w:p w14:paraId="3AB28A48" w14:textId="4920CE55" w:rsidR="00A94DF0" w:rsidRPr="009D74A3" w:rsidRDefault="00E97B69" w:rsidP="008B29A2">
            <w:pPr>
              <w:contextualSpacing/>
              <w:jc w:val="both"/>
              <w:rPr>
                <w:rFonts w:ascii="Times New Roman" w:hAnsi="Times New Roman" w:cs="Times New Roman"/>
                <w:sz w:val="24"/>
                <w:szCs w:val="24"/>
              </w:rPr>
            </w:pPr>
            <w:r>
              <w:rPr>
                <w:rFonts w:ascii="Times New Roman" w:eastAsia="Times New Roman" w:hAnsi="Times New Roman" w:cs="Times New Roman"/>
                <w:sz w:val="24"/>
                <w:szCs w:val="24"/>
              </w:rPr>
              <w:t>A su vez, el artículo 350 de la referida ley impone una destinación específica al impuesto del alumbrado público, la cual se reitera de forma estricta en el artículo 17° del proyecto de acuerdo.</w:t>
            </w:r>
          </w:p>
          <w:p w14:paraId="6E6FC53E" w14:textId="77777777" w:rsidR="00A94DF0" w:rsidRPr="009D74A3" w:rsidRDefault="00A94DF0" w:rsidP="008B29A2">
            <w:pPr>
              <w:contextualSpacing/>
              <w:rPr>
                <w:rFonts w:ascii="Times New Roman" w:hAnsi="Times New Roman" w:cs="Times New Roman"/>
                <w:lang w:val="es-MX"/>
              </w:rPr>
            </w:pPr>
          </w:p>
          <w:p w14:paraId="50EEDA9A" w14:textId="3A81A07A" w:rsidR="00A94DF0" w:rsidRPr="009D74A3" w:rsidRDefault="00A94DF0" w:rsidP="46221FE5">
            <w:pPr>
              <w:pStyle w:val="Ttulo2"/>
              <w:spacing w:before="0"/>
              <w:contextualSpacing/>
              <w:outlineLvl w:val="1"/>
              <w:rPr>
                <w:rFonts w:ascii="Times New Roman" w:hAnsi="Times New Roman" w:cs="Times New Roman"/>
                <w:b/>
                <w:sz w:val="24"/>
                <w:szCs w:val="24"/>
              </w:rPr>
            </w:pPr>
            <w:bookmarkStart w:id="6" w:name="_Toc201047965"/>
            <w:r w:rsidRPr="009D74A3">
              <w:rPr>
                <w:rFonts w:ascii="Times New Roman" w:hAnsi="Times New Roman" w:cs="Times New Roman"/>
                <w:b/>
                <w:sz w:val="24"/>
                <w:szCs w:val="24"/>
              </w:rPr>
              <w:t>Incentivos tributarios</w:t>
            </w:r>
            <w:bookmarkEnd w:id="6"/>
          </w:p>
          <w:p w14:paraId="7645222E" w14:textId="77777777" w:rsidR="00A94DF0" w:rsidRPr="009D74A3" w:rsidRDefault="00A94DF0" w:rsidP="008B29A2">
            <w:pPr>
              <w:contextualSpacing/>
              <w:rPr>
                <w:rFonts w:ascii="Times New Roman" w:hAnsi="Times New Roman" w:cs="Times New Roman"/>
              </w:rPr>
            </w:pPr>
          </w:p>
          <w:p w14:paraId="23ED4404" w14:textId="1A0FC06A" w:rsidR="00E358AA" w:rsidRPr="009D74A3" w:rsidRDefault="00E358AA" w:rsidP="00E358AA">
            <w:pPr>
              <w:jc w:val="both"/>
              <w:rPr>
                <w:rFonts w:ascii="Times New Roman" w:hAnsi="Times New Roman" w:cs="Times New Roman"/>
                <w:sz w:val="24"/>
                <w:szCs w:val="24"/>
              </w:rPr>
            </w:pPr>
            <w:r w:rsidRPr="009D74A3">
              <w:rPr>
                <w:rFonts w:ascii="Times New Roman" w:hAnsi="Times New Roman" w:cs="Times New Roman"/>
                <w:sz w:val="24"/>
                <w:szCs w:val="24"/>
              </w:rPr>
              <w:t>Se proponen incentivos fiscales dirigidos a promover el desarrollo económico en Bogotá, con beneficios asociados al impuesto de industria y comercio (ICA), impuesto predial unificado (IPU) y delineación urbana (DU). Estos incentivos están diseñados para atraer inversión, fomentar la renovación urbana y promover el arrendamiento especializado.</w:t>
            </w:r>
          </w:p>
          <w:p w14:paraId="53F9CF62" w14:textId="5180A705" w:rsidR="5178FDCE" w:rsidRPr="009D74A3" w:rsidRDefault="5178FDCE" w:rsidP="008B29A2">
            <w:pPr>
              <w:contextualSpacing/>
              <w:rPr>
                <w:rFonts w:ascii="Times New Roman" w:hAnsi="Times New Roman" w:cs="Times New Roman"/>
              </w:rPr>
            </w:pPr>
          </w:p>
          <w:p w14:paraId="539AFEB9" w14:textId="77777777" w:rsidR="009D74A3" w:rsidRPr="009D74A3" w:rsidRDefault="009D74A3" w:rsidP="009D74A3">
            <w:pPr>
              <w:jc w:val="both"/>
              <w:rPr>
                <w:rFonts w:ascii="Times New Roman" w:hAnsi="Times New Roman" w:cs="Times New Roman"/>
                <w:sz w:val="24"/>
                <w:szCs w:val="24"/>
              </w:rPr>
            </w:pPr>
            <w:r w:rsidRPr="009D74A3">
              <w:rPr>
                <w:rFonts w:ascii="Times New Roman" w:hAnsi="Times New Roman" w:cs="Times New Roman"/>
                <w:sz w:val="24"/>
                <w:szCs w:val="24"/>
              </w:rPr>
              <w:t>La incorporación de incentivos genera beneficios tanto tributarios como no tributarios para la ciudad. Entre estos últimos se destacan el crecimiento del PIB, las cargas urbanísticas —que pueden concretarse en dinero o en obra— y la generación de nuevos empleos, todos ellos impactos positivos que no se producirían en ausencia de dichos estímulos.</w:t>
            </w:r>
          </w:p>
          <w:p w14:paraId="7C2AD9A4" w14:textId="77777777" w:rsidR="009D74A3" w:rsidRPr="009D74A3" w:rsidRDefault="009D74A3" w:rsidP="009D74A3">
            <w:pPr>
              <w:jc w:val="both"/>
              <w:rPr>
                <w:rFonts w:ascii="Times New Roman" w:hAnsi="Times New Roman" w:cs="Times New Roman"/>
                <w:sz w:val="24"/>
                <w:szCs w:val="24"/>
              </w:rPr>
            </w:pPr>
          </w:p>
          <w:p w14:paraId="12EC7200" w14:textId="6CAEBA9B" w:rsidR="0081201D" w:rsidRDefault="009D74A3" w:rsidP="009D74A3">
            <w:pPr>
              <w:jc w:val="both"/>
              <w:rPr>
                <w:rFonts w:ascii="Times New Roman" w:hAnsi="Times New Roman" w:cs="Times New Roman"/>
                <w:sz w:val="24"/>
                <w:szCs w:val="24"/>
              </w:rPr>
            </w:pPr>
            <w:r w:rsidRPr="009D74A3">
              <w:rPr>
                <w:rFonts w:ascii="Times New Roman" w:hAnsi="Times New Roman" w:cs="Times New Roman"/>
                <w:sz w:val="24"/>
                <w:szCs w:val="24"/>
              </w:rPr>
              <w:t>Con la aplicación de incentivos en ICA, Predial y Delineación en las áreas estratégicas del distrito aeroportuario de Engativá y Fontibón, se proyectan cargas urbanísticas por un total de $479.210 millones, distribuidas en $33.247 millones en dinero y $445.963 millones en obra. Adicionalmente, el incentivo en ICA para grandes inversiones contribuiría a un aumento de la inversión extranjera directa por un valor estimado de 691 millones de USD. En cuanto al empleo, se prevé la generación de 143.187 nuevos puestos de trabajo durante el periodo de vigencia de los incentivos, con un promedio anual de 14.319 empleos, oscilando entre un mínimo de 3.230 y un máximo de 27.571 empleos por año.</w:t>
            </w:r>
          </w:p>
          <w:p w14:paraId="31D14E42" w14:textId="77777777" w:rsidR="00E97B69" w:rsidRDefault="00E97B69" w:rsidP="009D74A3">
            <w:pPr>
              <w:jc w:val="both"/>
              <w:rPr>
                <w:rFonts w:ascii="Times New Roman" w:hAnsi="Times New Roman" w:cs="Times New Roman"/>
                <w:sz w:val="24"/>
                <w:szCs w:val="24"/>
              </w:rPr>
            </w:pPr>
          </w:p>
          <w:p w14:paraId="3EAA2068" w14:textId="20CD8DD6" w:rsidR="00E97B69" w:rsidRDefault="00E97B69" w:rsidP="009D74A3">
            <w:pPr>
              <w:jc w:val="both"/>
              <w:rPr>
                <w:rFonts w:ascii="Times New Roman" w:hAnsi="Times New Roman" w:cs="Times New Roman"/>
                <w:sz w:val="24"/>
                <w:szCs w:val="24"/>
              </w:rPr>
            </w:pPr>
            <w:r w:rsidRPr="00E97B69">
              <w:rPr>
                <w:rFonts w:ascii="Times New Roman" w:hAnsi="Times New Roman" w:cs="Times New Roman"/>
                <w:sz w:val="24"/>
                <w:szCs w:val="24"/>
              </w:rPr>
              <w:t>En cualquier evento, las exenciones tendrán una duración máxima de diez (10) años, en atención a lo establecido en el artículo 38 de la Ley 14 de 1983.</w:t>
            </w:r>
          </w:p>
          <w:p w14:paraId="4F945956" w14:textId="77777777" w:rsidR="00716567" w:rsidRPr="009D74A3" w:rsidRDefault="00716567" w:rsidP="008B29A2">
            <w:pPr>
              <w:contextualSpacing/>
              <w:rPr>
                <w:rFonts w:ascii="Times New Roman" w:hAnsi="Times New Roman" w:cs="Times New Roman"/>
              </w:rPr>
            </w:pPr>
          </w:p>
          <w:p w14:paraId="553D2F8D" w14:textId="36A1E27B" w:rsidR="00A94DF0" w:rsidRPr="009D74A3" w:rsidRDefault="00A94DF0">
            <w:pPr>
              <w:pStyle w:val="Ttulo3"/>
              <w:numPr>
                <w:ilvl w:val="1"/>
                <w:numId w:val="8"/>
              </w:numPr>
              <w:spacing w:before="0" w:after="0"/>
              <w:contextualSpacing/>
              <w:jc w:val="both"/>
              <w:outlineLvl w:val="2"/>
              <w:rPr>
                <w:rFonts w:ascii="Times New Roman" w:hAnsi="Times New Roman" w:cs="Times New Roman"/>
                <w:b/>
                <w:bCs/>
                <w:color w:val="auto"/>
                <w:sz w:val="24"/>
                <w:szCs w:val="24"/>
                <w:lang w:val="es-ES"/>
              </w:rPr>
            </w:pPr>
            <w:r w:rsidRPr="009D74A3">
              <w:rPr>
                <w:rFonts w:ascii="Times New Roman" w:hAnsi="Times New Roman" w:cs="Times New Roman"/>
                <w:b/>
                <w:bCs/>
                <w:color w:val="auto"/>
                <w:sz w:val="24"/>
                <w:szCs w:val="24"/>
                <w:lang w:val="es-ES"/>
              </w:rPr>
              <w:t>Procedimiento Tributario</w:t>
            </w:r>
          </w:p>
          <w:p w14:paraId="64D4E062" w14:textId="77777777" w:rsidR="00A94DF0" w:rsidRPr="009D74A3" w:rsidRDefault="00A94DF0" w:rsidP="00A94DF0">
            <w:pPr>
              <w:contextualSpacing/>
              <w:jc w:val="both"/>
              <w:rPr>
                <w:rFonts w:ascii="Times New Roman" w:hAnsi="Times New Roman" w:cs="Times New Roman"/>
                <w:sz w:val="24"/>
                <w:szCs w:val="24"/>
              </w:rPr>
            </w:pPr>
          </w:p>
          <w:p w14:paraId="370CC427" w14:textId="77777777" w:rsidR="009D74A3" w:rsidRDefault="00A94DF0" w:rsidP="00A94DF0">
            <w:p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En cuanto al procedimiento tributario, se plantea la unificación y actualización de las normas relacionadas con las notificaciones, con el fin de garantizar el derecho al debido proceso y facilitar el acceso a la información por parte de los contribuyentes. </w:t>
            </w:r>
          </w:p>
          <w:p w14:paraId="16E42496" w14:textId="77777777" w:rsidR="009D74A3" w:rsidRDefault="009D74A3" w:rsidP="00A94DF0">
            <w:pPr>
              <w:contextualSpacing/>
              <w:jc w:val="both"/>
              <w:rPr>
                <w:rFonts w:ascii="Times New Roman" w:hAnsi="Times New Roman" w:cs="Times New Roman"/>
                <w:sz w:val="24"/>
                <w:szCs w:val="24"/>
              </w:rPr>
            </w:pPr>
          </w:p>
          <w:p w14:paraId="55B0FB7F" w14:textId="6E2DF05F" w:rsidR="00A94DF0" w:rsidRPr="009D74A3" w:rsidRDefault="00A94DF0" w:rsidP="009D74A3">
            <w:p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Asimismo, se propone armonizar las sanciones por no envío de información con lo establecido en el Estatuto Tributario Nacional, </w:t>
            </w:r>
            <w:r w:rsidR="009D74A3">
              <w:rPr>
                <w:rFonts w:ascii="Times New Roman" w:hAnsi="Times New Roman" w:cs="Times New Roman"/>
                <w:sz w:val="24"/>
                <w:szCs w:val="24"/>
              </w:rPr>
              <w:t xml:space="preserve">habida cuenta que la norma distrital vigente establece tarifas más altas y, por ende, más gravosas para los contribuyentes. Lo anterior, </w:t>
            </w:r>
            <w:r w:rsidRPr="009D74A3">
              <w:rPr>
                <w:rFonts w:ascii="Times New Roman" w:hAnsi="Times New Roman" w:cs="Times New Roman"/>
                <w:sz w:val="24"/>
                <w:szCs w:val="24"/>
              </w:rPr>
              <w:t>prom</w:t>
            </w:r>
            <w:r w:rsidR="009D74A3">
              <w:rPr>
                <w:rFonts w:ascii="Times New Roman" w:hAnsi="Times New Roman" w:cs="Times New Roman"/>
                <w:sz w:val="24"/>
                <w:szCs w:val="24"/>
              </w:rPr>
              <w:t>ueve</w:t>
            </w:r>
            <w:r w:rsidRPr="009D74A3">
              <w:rPr>
                <w:rFonts w:ascii="Times New Roman" w:hAnsi="Times New Roman" w:cs="Times New Roman"/>
                <w:sz w:val="24"/>
                <w:szCs w:val="24"/>
              </w:rPr>
              <w:t xml:space="preserve"> la proporcionalidad y </w:t>
            </w:r>
            <w:r w:rsidR="009D74A3">
              <w:rPr>
                <w:rFonts w:ascii="Times New Roman" w:hAnsi="Times New Roman" w:cs="Times New Roman"/>
                <w:sz w:val="24"/>
                <w:szCs w:val="24"/>
              </w:rPr>
              <w:t>simplifica la aplicación de la norma, al armonizarse con la norma nacional</w:t>
            </w:r>
            <w:r w:rsidRPr="009D74A3">
              <w:rPr>
                <w:rFonts w:ascii="Times New Roman" w:hAnsi="Times New Roman" w:cs="Times New Roman"/>
                <w:sz w:val="24"/>
                <w:szCs w:val="24"/>
              </w:rPr>
              <w:t xml:space="preserve"> conforme a </w:t>
            </w:r>
            <w:r w:rsidR="009D74A3">
              <w:rPr>
                <w:rFonts w:ascii="Times New Roman" w:hAnsi="Times New Roman" w:cs="Times New Roman"/>
                <w:sz w:val="24"/>
                <w:szCs w:val="24"/>
              </w:rPr>
              <w:t xml:space="preserve">los postulados de </w:t>
            </w:r>
            <w:r w:rsidRPr="009D74A3">
              <w:rPr>
                <w:rFonts w:ascii="Times New Roman" w:hAnsi="Times New Roman" w:cs="Times New Roman"/>
                <w:sz w:val="24"/>
                <w:szCs w:val="24"/>
              </w:rPr>
              <w:t>la Ley 788 de 2000. Estas modificaciones buscan fortalecer la seguridad jurídica y la equidad en el tratamiento sancionatorio.</w:t>
            </w:r>
          </w:p>
          <w:p w14:paraId="01AD268F" w14:textId="77777777" w:rsidR="00A94DF0" w:rsidRPr="009D74A3" w:rsidRDefault="00A94DF0" w:rsidP="00A94DF0">
            <w:pPr>
              <w:contextualSpacing/>
              <w:jc w:val="both"/>
              <w:rPr>
                <w:rFonts w:ascii="Times New Roman" w:hAnsi="Times New Roman" w:cs="Times New Roman"/>
              </w:rPr>
            </w:pPr>
          </w:p>
          <w:p w14:paraId="6AACF33E" w14:textId="77777777" w:rsidR="00A94DF0" w:rsidRPr="009D74A3" w:rsidRDefault="00A94DF0" w:rsidP="00A94DF0">
            <w:pPr>
              <w:contextualSpacing/>
              <w:jc w:val="both"/>
              <w:rPr>
                <w:rFonts w:ascii="Times New Roman" w:hAnsi="Times New Roman" w:cs="Times New Roman"/>
                <w:sz w:val="24"/>
                <w:szCs w:val="24"/>
              </w:rPr>
            </w:pPr>
            <w:r w:rsidRPr="009D74A3">
              <w:rPr>
                <w:rFonts w:ascii="Times New Roman" w:hAnsi="Times New Roman" w:cs="Times New Roman"/>
                <w:sz w:val="24"/>
                <w:szCs w:val="24"/>
              </w:rPr>
              <w:t>El proyecto también incorpora principios fundamentales del derecho sancionatorio tributario, como la lesividad, proporcionalidad, gradualidad y favorabilidad, aplicándolos expresamente a los impuestos sobre vehículos automotores y predial unificado. Esta adecuación normativa pretende asegurar un régimen sancionatorio más justo, que considere la naturaleza de la conducta infractora y su impacto real en el cumplimiento de las obligaciones fiscales. De igual forma, se propone adoptar de manera expresa la doctrina tributaria distrital como interpretación oficial de la administración, actualizando normas obsoletas y alineando el marco normativo local con los avances del ordenamiento nacional.</w:t>
            </w:r>
          </w:p>
          <w:p w14:paraId="07FC93AE" w14:textId="77777777" w:rsidR="00A94DF0" w:rsidRPr="009D74A3" w:rsidRDefault="00A94DF0" w:rsidP="00A94DF0">
            <w:pPr>
              <w:contextualSpacing/>
              <w:jc w:val="both"/>
              <w:rPr>
                <w:rFonts w:ascii="Times New Roman" w:hAnsi="Times New Roman" w:cs="Times New Roman"/>
                <w:sz w:val="24"/>
                <w:szCs w:val="24"/>
              </w:rPr>
            </w:pPr>
          </w:p>
          <w:p w14:paraId="7FBA31E1" w14:textId="77777777" w:rsidR="00A94DF0" w:rsidRPr="009D74A3" w:rsidRDefault="00A94DF0" w:rsidP="00A94DF0">
            <w:pPr>
              <w:contextualSpacing/>
              <w:jc w:val="both"/>
              <w:rPr>
                <w:rFonts w:ascii="Times New Roman" w:hAnsi="Times New Roman" w:cs="Times New Roman"/>
                <w:sz w:val="24"/>
                <w:szCs w:val="24"/>
                <w:highlight w:val="yellow"/>
              </w:rPr>
            </w:pPr>
            <w:r w:rsidRPr="009D74A3">
              <w:rPr>
                <w:rFonts w:ascii="Times New Roman" w:hAnsi="Times New Roman" w:cs="Times New Roman"/>
                <w:sz w:val="24"/>
                <w:szCs w:val="24"/>
              </w:rPr>
              <w:t>Adicionalmente, se busca que la administración establezca criterios objetivos de priorización para la selección de los casos a gestionar en la etapa de determinación de las obligaciones tributarias, con base en análisis de riesgo, cuantía, antigüedad, reiteración de conductas y demás factores relevantes. Esto permitirá enfocar los recursos institucionales en aquellos casos de mayor impacto para el cumplimiento tributario, mejorando así la eficiencia y efectividad del sistema.</w:t>
            </w:r>
          </w:p>
          <w:p w14:paraId="2518835E" w14:textId="77777777" w:rsidR="00A94DF0" w:rsidRPr="009D74A3" w:rsidRDefault="00A94DF0" w:rsidP="00A94DF0">
            <w:pPr>
              <w:contextualSpacing/>
              <w:jc w:val="both"/>
              <w:rPr>
                <w:rFonts w:ascii="Times New Roman" w:hAnsi="Times New Roman" w:cs="Times New Roman"/>
                <w:sz w:val="24"/>
                <w:szCs w:val="24"/>
              </w:rPr>
            </w:pPr>
          </w:p>
          <w:p w14:paraId="38748617" w14:textId="77777777" w:rsidR="00A94DF0" w:rsidRPr="009D74A3" w:rsidRDefault="00A94DF0" w:rsidP="00A94DF0">
            <w:p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Finalmente, se faculta al Alcalde Mayor para expedir un Estatuto Único Tributario de Bogotá, que compile en un solo cuerpo normativo todas las disposiciones vigentes en materia tributaria, facilitando su comprensión y aplicación. </w:t>
            </w:r>
          </w:p>
          <w:p w14:paraId="067D8D88" w14:textId="77777777" w:rsidR="00967705" w:rsidRPr="009D74A3" w:rsidRDefault="00967705" w:rsidP="008B29A2">
            <w:pPr>
              <w:contextualSpacing/>
              <w:jc w:val="both"/>
              <w:rPr>
                <w:rFonts w:ascii="Times New Roman" w:hAnsi="Times New Roman" w:cs="Times New Roman"/>
                <w:sz w:val="24"/>
                <w:szCs w:val="24"/>
              </w:rPr>
            </w:pPr>
          </w:p>
          <w:p w14:paraId="5C64826F" w14:textId="5CA97C56" w:rsidR="00967705" w:rsidRPr="009D74A3" w:rsidRDefault="00D9247C">
            <w:pPr>
              <w:pStyle w:val="Prrafodelista"/>
              <w:numPr>
                <w:ilvl w:val="1"/>
                <w:numId w:val="8"/>
              </w:numPr>
              <w:jc w:val="both"/>
              <w:rPr>
                <w:rFonts w:ascii="Times New Roman" w:hAnsi="Times New Roman" w:cs="Times New Roman"/>
                <w:b/>
                <w:sz w:val="24"/>
                <w:szCs w:val="24"/>
              </w:rPr>
            </w:pPr>
            <w:r w:rsidRPr="009D74A3">
              <w:rPr>
                <w:rFonts w:ascii="Times New Roman" w:hAnsi="Times New Roman" w:cs="Times New Roman"/>
                <w:b/>
                <w:sz w:val="24"/>
                <w:szCs w:val="24"/>
              </w:rPr>
              <w:t>Eliminación de impuestos</w:t>
            </w:r>
          </w:p>
          <w:p w14:paraId="2FD8C578" w14:textId="77777777" w:rsidR="00D9247C" w:rsidRPr="009D74A3" w:rsidRDefault="00D9247C" w:rsidP="00D9247C">
            <w:pPr>
              <w:jc w:val="both"/>
              <w:rPr>
                <w:rFonts w:ascii="Times New Roman" w:hAnsi="Times New Roman" w:cs="Times New Roman"/>
                <w:b/>
                <w:bCs/>
                <w:sz w:val="24"/>
                <w:szCs w:val="24"/>
                <w:highlight w:val="yellow"/>
              </w:rPr>
            </w:pPr>
          </w:p>
          <w:p w14:paraId="4AFD165A" w14:textId="6770C9A2" w:rsidR="00D9247C" w:rsidRPr="009D74A3" w:rsidRDefault="00D9247C" w:rsidP="00D9247C">
            <w:pPr>
              <w:contextualSpacing/>
              <w:jc w:val="both"/>
              <w:rPr>
                <w:rFonts w:ascii="Times New Roman" w:hAnsi="Times New Roman" w:cs="Times New Roman"/>
                <w:sz w:val="24"/>
                <w:szCs w:val="24"/>
              </w:rPr>
            </w:pPr>
            <w:r w:rsidRPr="009D74A3">
              <w:rPr>
                <w:rFonts w:ascii="Times New Roman" w:hAnsi="Times New Roman" w:cs="Times New Roman"/>
                <w:sz w:val="24"/>
                <w:szCs w:val="24"/>
              </w:rPr>
              <w:t xml:space="preserve">Con el propósito de modernizar, simplificar y hacer más eficiente el sistema tributario del Distrito Capital, en beneficio tanto de la administración como de los contribuyentes, se propone la eliminación de tributos que </w:t>
            </w:r>
            <w:r w:rsidRPr="3DEEDC87">
              <w:rPr>
                <w:rFonts w:ascii="Times New Roman" w:hAnsi="Times New Roman" w:cs="Times New Roman"/>
                <w:sz w:val="24"/>
                <w:szCs w:val="24"/>
              </w:rPr>
              <w:t>ha</w:t>
            </w:r>
            <w:r w:rsidR="58D64D6C" w:rsidRPr="3DEEDC87">
              <w:rPr>
                <w:rFonts w:ascii="Times New Roman" w:hAnsi="Times New Roman" w:cs="Times New Roman"/>
                <w:sz w:val="24"/>
                <w:szCs w:val="24"/>
              </w:rPr>
              <w:t>yan</w:t>
            </w:r>
            <w:r w:rsidRPr="009D74A3">
              <w:rPr>
                <w:rFonts w:ascii="Times New Roman" w:hAnsi="Times New Roman" w:cs="Times New Roman"/>
                <w:sz w:val="24"/>
                <w:szCs w:val="24"/>
              </w:rPr>
              <w:t xml:space="preserve"> perdido relevancia o cuya gestión representa una carga administrativa desproporcionada frente a su recaudo, como lo </w:t>
            </w:r>
            <w:r w:rsidR="009D74A3">
              <w:rPr>
                <w:rFonts w:ascii="Times New Roman" w:hAnsi="Times New Roman" w:cs="Times New Roman"/>
                <w:sz w:val="24"/>
                <w:szCs w:val="24"/>
              </w:rPr>
              <w:t>es</w:t>
            </w:r>
            <w:r w:rsidRPr="009D74A3">
              <w:rPr>
                <w:rFonts w:ascii="Times New Roman" w:hAnsi="Times New Roman" w:cs="Times New Roman"/>
                <w:sz w:val="24"/>
                <w:szCs w:val="24"/>
              </w:rPr>
              <w:t xml:space="preserve"> el impuesto de publicidad exterior visual</w:t>
            </w:r>
            <w:r w:rsidR="009D74A3">
              <w:rPr>
                <w:rFonts w:ascii="Times New Roman" w:hAnsi="Times New Roman" w:cs="Times New Roman"/>
                <w:sz w:val="24"/>
                <w:szCs w:val="24"/>
              </w:rPr>
              <w:t>.</w:t>
            </w:r>
            <w:r w:rsidR="00F16C91">
              <w:rPr>
                <w:rFonts w:ascii="Times New Roman" w:hAnsi="Times New Roman" w:cs="Times New Roman"/>
                <w:sz w:val="24"/>
                <w:szCs w:val="24"/>
              </w:rPr>
              <w:t xml:space="preserve"> </w:t>
            </w:r>
            <w:r w:rsidRPr="009D74A3">
              <w:rPr>
                <w:rFonts w:ascii="Times New Roman" w:hAnsi="Times New Roman" w:cs="Times New Roman"/>
                <w:sz w:val="24"/>
                <w:szCs w:val="24"/>
              </w:rPr>
              <w:t>Esta medida busca aliviar la carga fiscal de los ciudadanos y optimizar los recursos institucionales destinados a la administración tributaria.</w:t>
            </w:r>
          </w:p>
          <w:p w14:paraId="6948EB22" w14:textId="77777777" w:rsidR="00A94DF0" w:rsidRPr="009D74A3" w:rsidRDefault="00A94DF0" w:rsidP="00A20C9D">
            <w:pPr>
              <w:contextualSpacing/>
              <w:jc w:val="both"/>
              <w:rPr>
                <w:rFonts w:ascii="Times New Roman" w:hAnsi="Times New Roman" w:cs="Times New Roman"/>
                <w:sz w:val="24"/>
                <w:szCs w:val="24"/>
              </w:rPr>
            </w:pPr>
          </w:p>
          <w:p w14:paraId="2D715BD5" w14:textId="60C2A2E5" w:rsidR="00A94DF0" w:rsidRPr="004E4ED5" w:rsidRDefault="00A94DF0">
            <w:pPr>
              <w:pStyle w:val="Ttulo1"/>
              <w:numPr>
                <w:ilvl w:val="0"/>
                <w:numId w:val="8"/>
              </w:numPr>
              <w:spacing w:before="0" w:after="0"/>
              <w:contextualSpacing/>
              <w:jc w:val="both"/>
              <w:outlineLvl w:val="0"/>
              <w:rPr>
                <w:rFonts w:ascii="Times New Roman" w:hAnsi="Times New Roman" w:cs="Times New Roman"/>
                <w:b/>
                <w:color w:val="auto"/>
                <w:sz w:val="24"/>
                <w:szCs w:val="24"/>
                <w:highlight w:val="yellow"/>
              </w:rPr>
            </w:pPr>
            <w:bookmarkStart w:id="7" w:name="_Toc201047968"/>
            <w:r w:rsidRPr="004E4ED5">
              <w:rPr>
                <w:rFonts w:ascii="Times New Roman" w:hAnsi="Times New Roman" w:cs="Times New Roman"/>
                <w:b/>
                <w:color w:val="auto"/>
                <w:sz w:val="24"/>
                <w:szCs w:val="24"/>
                <w:highlight w:val="yellow"/>
              </w:rPr>
              <w:t>Resultados de la reforma</w:t>
            </w:r>
            <w:bookmarkEnd w:id="7"/>
          </w:p>
          <w:p w14:paraId="13E9F80C" w14:textId="77777777" w:rsidR="00F5350E" w:rsidRPr="009D74A3" w:rsidRDefault="00F5350E" w:rsidP="00A20C9D">
            <w:pPr>
              <w:jc w:val="both"/>
              <w:rPr>
                <w:rFonts w:ascii="Times New Roman" w:hAnsi="Times New Roman" w:cs="Times New Roman"/>
                <w:sz w:val="24"/>
                <w:szCs w:val="24"/>
                <w:highlight w:val="yellow"/>
              </w:rPr>
            </w:pPr>
          </w:p>
          <w:p w14:paraId="24DA597A" w14:textId="77777777" w:rsidR="004E4ED5" w:rsidRDefault="008D3C72" w:rsidP="008D3C72">
            <w:pPr>
              <w:jc w:val="both"/>
              <w:rPr>
                <w:rFonts w:ascii="Times New Roman" w:hAnsi="Times New Roman" w:cs="Times New Roman"/>
                <w:sz w:val="24"/>
                <w:szCs w:val="24"/>
                <w:lang w:val="es-ES"/>
              </w:rPr>
            </w:pPr>
            <w:r w:rsidRPr="0041323E">
              <w:rPr>
                <w:rFonts w:ascii="Times New Roman" w:hAnsi="Times New Roman" w:cs="Times New Roman"/>
                <w:sz w:val="24"/>
                <w:szCs w:val="24"/>
                <w:lang w:val="es-ES"/>
              </w:rPr>
              <w:t xml:space="preserve">Se espera que las modificaciones en las tarifas del impuesto de industria y comercio, la adopción del impuesto de alumbrado público y los cambios en el impuesto predial generen un incremento anual de los ingresos de la Administración </w:t>
            </w:r>
            <w:r w:rsidR="004E4ED5">
              <w:rPr>
                <w:rFonts w:ascii="Times New Roman" w:hAnsi="Times New Roman" w:cs="Times New Roman"/>
                <w:sz w:val="24"/>
                <w:szCs w:val="24"/>
                <w:lang w:val="es-ES"/>
              </w:rPr>
              <w:t>Distrital</w:t>
            </w:r>
            <w:r w:rsidRPr="0041323E">
              <w:rPr>
                <w:rFonts w:ascii="Times New Roman" w:hAnsi="Times New Roman" w:cs="Times New Roman"/>
                <w:sz w:val="24"/>
                <w:szCs w:val="24"/>
                <w:lang w:val="es-ES"/>
              </w:rPr>
              <w:t xml:space="preserve"> de $1,26 billones anuales y $13,84 billones en el mediano plazo. </w:t>
            </w:r>
          </w:p>
          <w:p w14:paraId="1A3AC39E" w14:textId="77777777" w:rsidR="004E4ED5" w:rsidRDefault="004E4ED5" w:rsidP="008D3C72">
            <w:pPr>
              <w:jc w:val="both"/>
              <w:rPr>
                <w:rFonts w:ascii="Times New Roman" w:hAnsi="Times New Roman" w:cs="Times New Roman"/>
                <w:sz w:val="24"/>
                <w:szCs w:val="24"/>
                <w:lang w:val="es-ES"/>
              </w:rPr>
            </w:pPr>
          </w:p>
          <w:p w14:paraId="0518EB64" w14:textId="67A75A29" w:rsidR="008D3C72" w:rsidRPr="0041323E" w:rsidRDefault="008D3C72" w:rsidP="008D3C72">
            <w:pPr>
              <w:jc w:val="both"/>
              <w:rPr>
                <w:rFonts w:ascii="Times New Roman" w:hAnsi="Times New Roman" w:cs="Times New Roman"/>
                <w:sz w:val="24"/>
                <w:szCs w:val="24"/>
                <w:lang w:val="es-ES"/>
              </w:rPr>
            </w:pPr>
            <w:r w:rsidRPr="0041323E">
              <w:rPr>
                <w:rFonts w:ascii="Times New Roman" w:hAnsi="Times New Roman" w:cs="Times New Roman"/>
                <w:sz w:val="24"/>
                <w:szCs w:val="24"/>
                <w:lang w:val="es-ES"/>
              </w:rPr>
              <w:t>Por su parte la eliminación del impuesto de publicidad exterior visual genera una disminución en el recaudo de $5.000 millones por año y de $54.800 millones en un horizonte de mediano plazo (</w:t>
            </w:r>
            <w:r w:rsidRPr="0041323E">
              <w:rPr>
                <w:rFonts w:ascii="Times New Roman" w:hAnsi="Times New Roman" w:cs="Times New Roman"/>
                <w:b/>
                <w:bCs/>
                <w:sz w:val="24"/>
                <w:szCs w:val="24"/>
                <w:lang w:val="es-ES"/>
              </w:rPr>
              <w:t>Tabla 29</w:t>
            </w:r>
            <w:r w:rsidRPr="0041323E">
              <w:rPr>
                <w:rFonts w:ascii="Times New Roman" w:hAnsi="Times New Roman" w:cs="Times New Roman"/>
                <w:sz w:val="24"/>
                <w:szCs w:val="24"/>
                <w:lang w:val="es-ES"/>
              </w:rPr>
              <w:t xml:space="preserve">).  </w:t>
            </w:r>
          </w:p>
          <w:p w14:paraId="280B09DC" w14:textId="77777777" w:rsidR="008D3C72" w:rsidRPr="0041323E" w:rsidRDefault="008D3C72" w:rsidP="008D3C72">
            <w:pPr>
              <w:pStyle w:val="Descripcin"/>
              <w:keepNext/>
              <w:spacing w:after="0"/>
              <w:jc w:val="center"/>
              <w:rPr>
                <w:rFonts w:ascii="Times New Roman" w:hAnsi="Times New Roman" w:cs="Times New Roman"/>
                <w:b/>
                <w:bCs/>
                <w:i w:val="0"/>
                <w:iCs w:val="0"/>
                <w:color w:val="auto"/>
                <w:sz w:val="24"/>
                <w:szCs w:val="24"/>
              </w:rPr>
            </w:pPr>
            <w:r w:rsidRPr="0041323E">
              <w:rPr>
                <w:rFonts w:ascii="Times New Roman" w:hAnsi="Times New Roman" w:cs="Times New Roman"/>
                <w:b/>
                <w:bCs/>
                <w:i w:val="0"/>
                <w:iCs w:val="0"/>
                <w:color w:val="auto"/>
                <w:sz w:val="24"/>
                <w:szCs w:val="24"/>
              </w:rPr>
              <w:t>Tabla 29</w:t>
            </w:r>
          </w:p>
          <w:p w14:paraId="4A860F0B" w14:textId="77777777" w:rsidR="008D3C72" w:rsidRPr="0041323E" w:rsidRDefault="008D3C72" w:rsidP="008D3C72">
            <w:pPr>
              <w:pStyle w:val="Descripcin"/>
              <w:keepNext/>
              <w:spacing w:after="0"/>
              <w:jc w:val="center"/>
              <w:rPr>
                <w:rFonts w:ascii="Times New Roman" w:hAnsi="Times New Roman" w:cs="Times New Roman"/>
                <w:b/>
                <w:i w:val="0"/>
                <w:color w:val="auto"/>
                <w:sz w:val="24"/>
                <w:szCs w:val="24"/>
              </w:rPr>
            </w:pPr>
            <w:r w:rsidRPr="0041323E">
              <w:rPr>
                <w:rFonts w:ascii="Times New Roman" w:hAnsi="Times New Roman" w:cs="Times New Roman"/>
                <w:b/>
                <w:bCs/>
                <w:i w:val="0"/>
                <w:iCs w:val="0"/>
                <w:color w:val="auto"/>
                <w:sz w:val="24"/>
                <w:szCs w:val="24"/>
              </w:rPr>
              <w:t xml:space="preserve">Balance general en los cambios tributarios </w:t>
            </w:r>
          </w:p>
          <w:p w14:paraId="13FBF5D6" w14:textId="77777777" w:rsidR="008D3C72" w:rsidRPr="0041323E" w:rsidRDefault="008D3C72" w:rsidP="008D3C72">
            <w:pPr>
              <w:keepNext/>
              <w:jc w:val="center"/>
              <w:rPr>
                <w:rFonts w:ascii="Times New Roman" w:hAnsi="Times New Roman" w:cs="Times New Roman"/>
                <w:i/>
                <w:sz w:val="24"/>
                <w:szCs w:val="24"/>
              </w:rPr>
            </w:pPr>
            <w:r w:rsidRPr="0041323E">
              <w:rPr>
                <w:rFonts w:ascii="Times New Roman" w:hAnsi="Times New Roman" w:cs="Times New Roman"/>
                <w:i/>
                <w:sz w:val="24"/>
                <w:szCs w:val="24"/>
              </w:rPr>
              <w:t>Miles de millones</w:t>
            </w:r>
          </w:p>
          <w:p w14:paraId="4412C83E" w14:textId="77777777" w:rsidR="008D3C72" w:rsidRPr="0041323E" w:rsidRDefault="008D3C72" w:rsidP="008D3C72">
            <w:pPr>
              <w:contextualSpacing/>
              <w:jc w:val="center"/>
              <w:rPr>
                <w:rFonts w:ascii="Times New Roman" w:hAnsi="Times New Roman" w:cs="Times New Roman"/>
                <w:b/>
                <w:bCs/>
                <w:sz w:val="20"/>
                <w:szCs w:val="20"/>
                <w:lang w:val="es-MX"/>
              </w:rPr>
            </w:pPr>
          </w:p>
          <w:tbl>
            <w:tblPr>
              <w:tblW w:w="5920" w:type="dxa"/>
              <w:jc w:val="center"/>
              <w:tblLayout w:type="fixed"/>
              <w:tblCellMar>
                <w:left w:w="70" w:type="dxa"/>
                <w:right w:w="70" w:type="dxa"/>
              </w:tblCellMar>
              <w:tblLook w:val="04A0" w:firstRow="1" w:lastRow="0" w:firstColumn="1" w:lastColumn="0" w:noHBand="0" w:noVBand="1"/>
            </w:tblPr>
            <w:tblGrid>
              <w:gridCol w:w="2400"/>
              <w:gridCol w:w="1760"/>
              <w:gridCol w:w="1760"/>
            </w:tblGrid>
            <w:tr w:rsidR="008D3C72" w:rsidRPr="0041323E" w14:paraId="2E9B502C" w14:textId="77777777">
              <w:trPr>
                <w:trHeight w:val="290"/>
                <w:jc w:val="center"/>
              </w:trPr>
              <w:tc>
                <w:tcPr>
                  <w:tcW w:w="2400" w:type="dxa"/>
                  <w:vMerge w:val="restart"/>
                  <w:tcBorders>
                    <w:top w:val="nil"/>
                    <w:left w:val="nil"/>
                    <w:bottom w:val="nil"/>
                    <w:right w:val="single" w:sz="12" w:space="0" w:color="D9D9D9"/>
                  </w:tcBorders>
                  <w:shd w:val="clear" w:color="000000" w:fill="024063"/>
                  <w:vAlign w:val="center"/>
                  <w:hideMark/>
                </w:tcPr>
                <w:p w14:paraId="1F98C087" w14:textId="77777777" w:rsidR="008D3C72" w:rsidRPr="0041323E" w:rsidRDefault="008D3C72" w:rsidP="008D3C72">
                  <w:pPr>
                    <w:spacing w:after="0" w:line="240" w:lineRule="auto"/>
                    <w:jc w:val="center"/>
                    <w:rPr>
                      <w:rFonts w:ascii="Lexend Deca" w:eastAsia="Times New Roman" w:hAnsi="Lexend Deca" w:cs="Times New Roman"/>
                      <w:b/>
                      <w:bCs/>
                      <w:color w:val="FFFFFF"/>
                      <w:lang w:eastAsia="es-CO"/>
                    </w:rPr>
                  </w:pPr>
                  <w:r w:rsidRPr="0041323E">
                    <w:rPr>
                      <w:rFonts w:ascii="Lexend Deca" w:eastAsia="Times New Roman" w:hAnsi="Lexend Deca" w:cs="Times New Roman"/>
                      <w:b/>
                      <w:bCs/>
                      <w:color w:val="FFFFFF"/>
                      <w:lang w:eastAsia="es-CO"/>
                    </w:rPr>
                    <w:t xml:space="preserve">Impuesto </w:t>
                  </w:r>
                </w:p>
              </w:tc>
              <w:tc>
                <w:tcPr>
                  <w:tcW w:w="3520" w:type="dxa"/>
                  <w:gridSpan w:val="2"/>
                  <w:tcBorders>
                    <w:top w:val="nil"/>
                    <w:left w:val="nil"/>
                    <w:bottom w:val="single" w:sz="12" w:space="0" w:color="D9D9D9"/>
                    <w:right w:val="nil"/>
                  </w:tcBorders>
                  <w:shd w:val="clear" w:color="000000" w:fill="024063"/>
                  <w:vAlign w:val="center"/>
                  <w:hideMark/>
                </w:tcPr>
                <w:p w14:paraId="421EB1E4" w14:textId="77777777" w:rsidR="008D3C72" w:rsidRPr="0041323E" w:rsidRDefault="008D3C72" w:rsidP="008D3C72">
                  <w:pPr>
                    <w:spacing w:after="0" w:line="240" w:lineRule="auto"/>
                    <w:jc w:val="center"/>
                    <w:rPr>
                      <w:rFonts w:ascii="Lexend Deca" w:eastAsia="Times New Roman" w:hAnsi="Lexend Deca" w:cs="Times New Roman"/>
                      <w:b/>
                      <w:bCs/>
                      <w:color w:val="FFFFFF"/>
                      <w:lang w:eastAsia="es-CO"/>
                    </w:rPr>
                  </w:pPr>
                  <w:r w:rsidRPr="0041323E">
                    <w:rPr>
                      <w:rFonts w:ascii="Lexend Deca" w:eastAsia="Times New Roman" w:hAnsi="Lexend Deca" w:cs="Times New Roman"/>
                      <w:b/>
                      <w:bCs/>
                      <w:color w:val="FFFFFF"/>
                      <w:lang w:eastAsia="es-CO"/>
                    </w:rPr>
                    <w:t xml:space="preserve">Variación del recaudo </w:t>
                  </w:r>
                </w:p>
              </w:tc>
            </w:tr>
            <w:tr w:rsidR="008D3C72" w:rsidRPr="0041323E" w14:paraId="394CF4ED" w14:textId="77777777">
              <w:trPr>
                <w:trHeight w:val="290"/>
                <w:jc w:val="center"/>
              </w:trPr>
              <w:tc>
                <w:tcPr>
                  <w:tcW w:w="2400" w:type="dxa"/>
                  <w:vMerge/>
                  <w:tcBorders>
                    <w:top w:val="nil"/>
                    <w:left w:val="nil"/>
                    <w:bottom w:val="nil"/>
                    <w:right w:val="single" w:sz="12" w:space="0" w:color="D9D9D9"/>
                  </w:tcBorders>
                  <w:vAlign w:val="center"/>
                  <w:hideMark/>
                </w:tcPr>
                <w:p w14:paraId="175F6162" w14:textId="77777777" w:rsidR="008D3C72" w:rsidRPr="0041323E" w:rsidRDefault="008D3C72" w:rsidP="008D3C72">
                  <w:pPr>
                    <w:spacing w:after="0" w:line="240" w:lineRule="auto"/>
                    <w:rPr>
                      <w:rFonts w:ascii="Lexend Deca" w:eastAsia="Times New Roman" w:hAnsi="Lexend Deca" w:cs="Times New Roman"/>
                      <w:b/>
                      <w:bCs/>
                      <w:color w:val="FFFFFF"/>
                      <w:lang w:eastAsia="es-CO"/>
                    </w:rPr>
                  </w:pPr>
                </w:p>
              </w:tc>
              <w:tc>
                <w:tcPr>
                  <w:tcW w:w="1760" w:type="dxa"/>
                  <w:tcBorders>
                    <w:top w:val="nil"/>
                    <w:left w:val="nil"/>
                    <w:bottom w:val="nil"/>
                    <w:right w:val="single" w:sz="12" w:space="0" w:color="D9D9D9"/>
                  </w:tcBorders>
                  <w:shd w:val="clear" w:color="000000" w:fill="024063"/>
                  <w:vAlign w:val="center"/>
                  <w:hideMark/>
                </w:tcPr>
                <w:p w14:paraId="4127A553" w14:textId="77777777" w:rsidR="008D3C72" w:rsidRPr="0041323E" w:rsidRDefault="008D3C72" w:rsidP="008D3C72">
                  <w:pPr>
                    <w:spacing w:after="0" w:line="240" w:lineRule="auto"/>
                    <w:jc w:val="center"/>
                    <w:rPr>
                      <w:rFonts w:ascii="Lexend Deca" w:eastAsia="Times New Roman" w:hAnsi="Lexend Deca" w:cs="Times New Roman"/>
                      <w:b/>
                      <w:bCs/>
                      <w:color w:val="FFFFFF"/>
                      <w:lang w:eastAsia="es-CO"/>
                    </w:rPr>
                  </w:pPr>
                  <w:r w:rsidRPr="0041323E">
                    <w:rPr>
                      <w:rFonts w:ascii="Lexend Deca" w:eastAsia="Times New Roman" w:hAnsi="Lexend Deca" w:cs="Times New Roman"/>
                      <w:b/>
                      <w:bCs/>
                      <w:color w:val="FFFFFF"/>
                      <w:lang w:eastAsia="es-CO"/>
                    </w:rPr>
                    <w:t xml:space="preserve">Anual </w:t>
                  </w:r>
                </w:p>
              </w:tc>
              <w:tc>
                <w:tcPr>
                  <w:tcW w:w="1760" w:type="dxa"/>
                  <w:tcBorders>
                    <w:top w:val="nil"/>
                    <w:left w:val="nil"/>
                    <w:bottom w:val="nil"/>
                    <w:right w:val="nil"/>
                  </w:tcBorders>
                  <w:shd w:val="clear" w:color="000000" w:fill="024063"/>
                  <w:vAlign w:val="center"/>
                  <w:hideMark/>
                </w:tcPr>
                <w:p w14:paraId="28FE27E3" w14:textId="77777777" w:rsidR="008D3C72" w:rsidRPr="0041323E" w:rsidRDefault="008D3C72" w:rsidP="008D3C72">
                  <w:pPr>
                    <w:spacing w:after="0" w:line="240" w:lineRule="auto"/>
                    <w:jc w:val="center"/>
                    <w:rPr>
                      <w:rFonts w:ascii="Lexend Deca" w:eastAsia="Times New Roman" w:hAnsi="Lexend Deca" w:cs="Times New Roman"/>
                      <w:b/>
                      <w:bCs/>
                      <w:color w:val="FFFFFF"/>
                      <w:lang w:eastAsia="es-CO"/>
                    </w:rPr>
                  </w:pPr>
                  <w:r w:rsidRPr="0041323E">
                    <w:rPr>
                      <w:rFonts w:ascii="Lexend Deca" w:eastAsia="Times New Roman" w:hAnsi="Lexend Deca" w:cs="Times New Roman"/>
                      <w:b/>
                      <w:bCs/>
                      <w:color w:val="FFFFFF"/>
                      <w:lang w:eastAsia="es-CO"/>
                    </w:rPr>
                    <w:t xml:space="preserve">Meidano plazo </w:t>
                  </w:r>
                </w:p>
              </w:tc>
            </w:tr>
            <w:tr w:rsidR="008D3C72" w:rsidRPr="0041323E" w14:paraId="7CD27502" w14:textId="77777777">
              <w:trPr>
                <w:trHeight w:val="320"/>
                <w:jc w:val="center"/>
              </w:trPr>
              <w:tc>
                <w:tcPr>
                  <w:tcW w:w="2400" w:type="dxa"/>
                  <w:tcBorders>
                    <w:top w:val="nil"/>
                    <w:left w:val="nil"/>
                    <w:bottom w:val="nil"/>
                    <w:right w:val="single" w:sz="12" w:space="0" w:color="D9D9D9"/>
                  </w:tcBorders>
                  <w:shd w:val="clear" w:color="000000" w:fill="D9D9D9"/>
                  <w:vAlign w:val="center"/>
                  <w:hideMark/>
                </w:tcPr>
                <w:p w14:paraId="585CEA2F" w14:textId="77777777" w:rsidR="008D3C72" w:rsidRPr="0041323E" w:rsidRDefault="008D3C72" w:rsidP="008D3C72">
                  <w:pPr>
                    <w:spacing w:after="0" w:line="240" w:lineRule="auto"/>
                    <w:rPr>
                      <w:rFonts w:ascii="Lexend Deca" w:eastAsia="Times New Roman" w:hAnsi="Lexend Deca" w:cs="Times New Roman"/>
                      <w:color w:val="000000"/>
                      <w:lang w:eastAsia="es-CO"/>
                    </w:rPr>
                  </w:pPr>
                  <w:r w:rsidRPr="0041323E">
                    <w:rPr>
                      <w:rFonts w:ascii="Lexend Deca" w:eastAsia="Times New Roman" w:hAnsi="Lexend Deca" w:cs="Times New Roman"/>
                      <w:color w:val="000000"/>
                      <w:lang w:eastAsia="es-CO"/>
                    </w:rPr>
                    <w:t xml:space="preserve">ICA </w:t>
                  </w:r>
                </w:p>
              </w:tc>
              <w:tc>
                <w:tcPr>
                  <w:tcW w:w="1760" w:type="dxa"/>
                  <w:tcBorders>
                    <w:top w:val="nil"/>
                    <w:left w:val="nil"/>
                    <w:bottom w:val="nil"/>
                    <w:right w:val="nil"/>
                  </w:tcBorders>
                  <w:noWrap/>
                  <w:vAlign w:val="center"/>
                  <w:hideMark/>
                </w:tcPr>
                <w:p w14:paraId="7F90EEDA" w14:textId="77777777" w:rsidR="008D3C72" w:rsidRPr="0041323E" w:rsidRDefault="008D3C72" w:rsidP="008D3C72">
                  <w:pPr>
                    <w:spacing w:after="0" w:line="240" w:lineRule="auto"/>
                    <w:jc w:val="center"/>
                    <w:rPr>
                      <w:rFonts w:ascii="Aptos Narrow" w:eastAsia="Times New Roman" w:hAnsi="Aptos Narrow" w:cs="Times New Roman"/>
                      <w:color w:val="000000"/>
                      <w:sz w:val="24"/>
                      <w:szCs w:val="24"/>
                      <w:lang w:eastAsia="es-CO"/>
                    </w:rPr>
                  </w:pPr>
                  <w:r w:rsidRPr="0041323E">
                    <w:rPr>
                      <w:rFonts w:ascii="Aptos Narrow" w:hAnsi="Aptos Narrow"/>
                      <w:color w:val="000000"/>
                    </w:rPr>
                    <w:t>$ 774,1</w:t>
                  </w:r>
                </w:p>
              </w:tc>
              <w:tc>
                <w:tcPr>
                  <w:tcW w:w="1760" w:type="dxa"/>
                  <w:tcBorders>
                    <w:top w:val="nil"/>
                    <w:left w:val="nil"/>
                    <w:bottom w:val="nil"/>
                    <w:right w:val="nil"/>
                  </w:tcBorders>
                  <w:noWrap/>
                  <w:vAlign w:val="center"/>
                  <w:hideMark/>
                </w:tcPr>
                <w:p w14:paraId="762822F8" w14:textId="77777777" w:rsidR="008D3C72" w:rsidRPr="0041323E" w:rsidRDefault="008D3C72" w:rsidP="008D3C72">
                  <w:pPr>
                    <w:spacing w:after="0" w:line="240" w:lineRule="auto"/>
                    <w:jc w:val="center"/>
                    <w:rPr>
                      <w:rFonts w:ascii="Aptos Narrow" w:eastAsia="Times New Roman" w:hAnsi="Aptos Narrow" w:cs="Times New Roman"/>
                      <w:color w:val="000000"/>
                      <w:sz w:val="24"/>
                      <w:szCs w:val="24"/>
                      <w:lang w:eastAsia="es-CO"/>
                    </w:rPr>
                  </w:pPr>
                  <w:r w:rsidRPr="0041323E">
                    <w:rPr>
                      <w:rFonts w:ascii="Aptos Narrow" w:hAnsi="Aptos Narrow"/>
                      <w:color w:val="000000"/>
                    </w:rPr>
                    <w:t>$ 8.515,3</w:t>
                  </w:r>
                </w:p>
              </w:tc>
            </w:tr>
            <w:tr w:rsidR="008D3C72" w:rsidRPr="0041323E" w14:paraId="3453FF90" w14:textId="77777777">
              <w:trPr>
                <w:trHeight w:val="320"/>
                <w:jc w:val="center"/>
              </w:trPr>
              <w:tc>
                <w:tcPr>
                  <w:tcW w:w="2400" w:type="dxa"/>
                  <w:tcBorders>
                    <w:top w:val="nil"/>
                    <w:left w:val="nil"/>
                    <w:bottom w:val="nil"/>
                    <w:right w:val="single" w:sz="12" w:space="0" w:color="D9D9D9"/>
                  </w:tcBorders>
                  <w:shd w:val="clear" w:color="000000" w:fill="D9D9D9"/>
                  <w:vAlign w:val="center"/>
                  <w:hideMark/>
                </w:tcPr>
                <w:p w14:paraId="30DFC3BD" w14:textId="77777777" w:rsidR="008D3C72" w:rsidRPr="0041323E" w:rsidRDefault="008D3C72" w:rsidP="008D3C72">
                  <w:pPr>
                    <w:spacing w:after="0" w:line="240" w:lineRule="auto"/>
                    <w:rPr>
                      <w:rFonts w:ascii="Lexend Deca" w:eastAsia="Times New Roman" w:hAnsi="Lexend Deca" w:cs="Times New Roman"/>
                      <w:color w:val="000000"/>
                      <w:lang w:eastAsia="es-CO"/>
                    </w:rPr>
                  </w:pPr>
                  <w:r w:rsidRPr="0041323E">
                    <w:rPr>
                      <w:rFonts w:ascii="Lexend Deca" w:eastAsia="Times New Roman" w:hAnsi="Lexend Deca" w:cs="Times New Roman"/>
                      <w:color w:val="000000"/>
                      <w:lang w:eastAsia="es-CO"/>
                    </w:rPr>
                    <w:t xml:space="preserve">Predial </w:t>
                  </w:r>
                </w:p>
              </w:tc>
              <w:tc>
                <w:tcPr>
                  <w:tcW w:w="1760" w:type="dxa"/>
                  <w:tcBorders>
                    <w:top w:val="nil"/>
                    <w:left w:val="nil"/>
                    <w:bottom w:val="nil"/>
                    <w:right w:val="nil"/>
                  </w:tcBorders>
                  <w:noWrap/>
                  <w:vAlign w:val="center"/>
                  <w:hideMark/>
                </w:tcPr>
                <w:p w14:paraId="136506CD" w14:textId="77777777" w:rsidR="008D3C72" w:rsidRPr="0041323E" w:rsidRDefault="008D3C72" w:rsidP="008D3C72">
                  <w:pPr>
                    <w:spacing w:after="0" w:line="240" w:lineRule="auto"/>
                    <w:jc w:val="center"/>
                    <w:rPr>
                      <w:rFonts w:ascii="Aptos Narrow" w:eastAsia="Times New Roman" w:hAnsi="Aptos Narrow" w:cs="Times New Roman"/>
                      <w:color w:val="000000"/>
                      <w:sz w:val="24"/>
                      <w:szCs w:val="24"/>
                      <w:lang w:eastAsia="es-CO"/>
                    </w:rPr>
                  </w:pPr>
                  <w:r w:rsidRPr="0041323E">
                    <w:rPr>
                      <w:rFonts w:ascii="Aptos Narrow" w:hAnsi="Aptos Narrow"/>
                      <w:color w:val="000000"/>
                    </w:rPr>
                    <w:t>$ 113,6</w:t>
                  </w:r>
                </w:p>
              </w:tc>
              <w:tc>
                <w:tcPr>
                  <w:tcW w:w="1760" w:type="dxa"/>
                  <w:tcBorders>
                    <w:top w:val="nil"/>
                    <w:left w:val="nil"/>
                    <w:bottom w:val="nil"/>
                    <w:right w:val="nil"/>
                  </w:tcBorders>
                  <w:noWrap/>
                  <w:vAlign w:val="center"/>
                  <w:hideMark/>
                </w:tcPr>
                <w:p w14:paraId="25C2917C" w14:textId="77777777" w:rsidR="008D3C72" w:rsidRPr="0041323E" w:rsidRDefault="008D3C72" w:rsidP="008D3C72">
                  <w:pPr>
                    <w:spacing w:after="0" w:line="240" w:lineRule="auto"/>
                    <w:jc w:val="center"/>
                    <w:rPr>
                      <w:rFonts w:ascii="Aptos Narrow" w:eastAsia="Times New Roman" w:hAnsi="Aptos Narrow" w:cs="Times New Roman"/>
                      <w:color w:val="000000"/>
                      <w:sz w:val="24"/>
                      <w:szCs w:val="24"/>
                      <w:lang w:eastAsia="es-CO"/>
                    </w:rPr>
                  </w:pPr>
                  <w:r w:rsidRPr="0041323E">
                    <w:rPr>
                      <w:rFonts w:ascii="Aptos Narrow" w:hAnsi="Aptos Narrow"/>
                      <w:color w:val="000000"/>
                    </w:rPr>
                    <w:t>$ 1.249,7</w:t>
                  </w:r>
                </w:p>
              </w:tc>
            </w:tr>
            <w:tr w:rsidR="008D3C72" w:rsidRPr="0041323E" w14:paraId="1C9966B2" w14:textId="77777777">
              <w:trPr>
                <w:trHeight w:val="320"/>
                <w:jc w:val="center"/>
              </w:trPr>
              <w:tc>
                <w:tcPr>
                  <w:tcW w:w="2400" w:type="dxa"/>
                  <w:tcBorders>
                    <w:top w:val="nil"/>
                    <w:left w:val="nil"/>
                    <w:bottom w:val="nil"/>
                    <w:right w:val="single" w:sz="12" w:space="0" w:color="D9D9D9"/>
                  </w:tcBorders>
                  <w:shd w:val="clear" w:color="000000" w:fill="D9D9D9"/>
                  <w:vAlign w:val="center"/>
                  <w:hideMark/>
                </w:tcPr>
                <w:p w14:paraId="15801606" w14:textId="77777777" w:rsidR="008D3C72" w:rsidRPr="0041323E" w:rsidRDefault="008D3C72" w:rsidP="008D3C72">
                  <w:pPr>
                    <w:spacing w:after="0" w:line="240" w:lineRule="auto"/>
                    <w:rPr>
                      <w:rFonts w:ascii="Lexend Deca" w:eastAsia="Times New Roman" w:hAnsi="Lexend Deca" w:cs="Times New Roman"/>
                      <w:color w:val="000000"/>
                      <w:lang w:eastAsia="es-CO"/>
                    </w:rPr>
                  </w:pPr>
                  <w:r w:rsidRPr="0041323E">
                    <w:rPr>
                      <w:rFonts w:ascii="Lexend Deca" w:eastAsia="Times New Roman" w:hAnsi="Lexend Deca" w:cs="Times New Roman"/>
                      <w:color w:val="000000"/>
                      <w:lang w:eastAsia="es-CO"/>
                    </w:rPr>
                    <w:t xml:space="preserve">Alumbrado Público </w:t>
                  </w:r>
                </w:p>
              </w:tc>
              <w:tc>
                <w:tcPr>
                  <w:tcW w:w="1760" w:type="dxa"/>
                  <w:tcBorders>
                    <w:top w:val="nil"/>
                    <w:left w:val="nil"/>
                    <w:bottom w:val="nil"/>
                    <w:right w:val="nil"/>
                  </w:tcBorders>
                  <w:noWrap/>
                  <w:vAlign w:val="center"/>
                  <w:hideMark/>
                </w:tcPr>
                <w:p w14:paraId="6DD9AE6E" w14:textId="77777777" w:rsidR="008D3C72" w:rsidRPr="0041323E" w:rsidRDefault="008D3C72" w:rsidP="008D3C72">
                  <w:pPr>
                    <w:spacing w:after="0" w:line="240" w:lineRule="auto"/>
                    <w:jc w:val="center"/>
                    <w:rPr>
                      <w:rFonts w:ascii="Aptos Narrow" w:eastAsia="Times New Roman" w:hAnsi="Aptos Narrow" w:cs="Times New Roman"/>
                      <w:color w:val="000000"/>
                      <w:sz w:val="24"/>
                      <w:szCs w:val="24"/>
                      <w:lang w:eastAsia="es-CO"/>
                    </w:rPr>
                  </w:pPr>
                  <w:r w:rsidRPr="0041323E">
                    <w:rPr>
                      <w:rFonts w:ascii="Aptos Narrow" w:hAnsi="Aptos Narrow"/>
                      <w:color w:val="000000"/>
                    </w:rPr>
                    <w:t>$ 375,0</w:t>
                  </w:r>
                </w:p>
              </w:tc>
              <w:tc>
                <w:tcPr>
                  <w:tcW w:w="1760" w:type="dxa"/>
                  <w:tcBorders>
                    <w:top w:val="nil"/>
                    <w:left w:val="nil"/>
                    <w:bottom w:val="nil"/>
                    <w:right w:val="nil"/>
                  </w:tcBorders>
                  <w:noWrap/>
                  <w:vAlign w:val="center"/>
                  <w:hideMark/>
                </w:tcPr>
                <w:p w14:paraId="5305B263" w14:textId="77777777" w:rsidR="008D3C72" w:rsidRPr="0041323E" w:rsidRDefault="008D3C72" w:rsidP="008D3C72">
                  <w:pPr>
                    <w:spacing w:after="0" w:line="240" w:lineRule="auto"/>
                    <w:jc w:val="center"/>
                    <w:rPr>
                      <w:rFonts w:ascii="Aptos Narrow" w:eastAsia="Times New Roman" w:hAnsi="Aptos Narrow" w:cs="Times New Roman"/>
                      <w:color w:val="000000"/>
                      <w:sz w:val="24"/>
                      <w:szCs w:val="24"/>
                      <w:lang w:eastAsia="es-CO"/>
                    </w:rPr>
                  </w:pPr>
                  <w:r w:rsidRPr="0041323E">
                    <w:rPr>
                      <w:rFonts w:ascii="Aptos Narrow" w:hAnsi="Aptos Narrow"/>
                      <w:color w:val="000000"/>
                    </w:rPr>
                    <w:t>$ 4.125,0</w:t>
                  </w:r>
                </w:p>
              </w:tc>
            </w:tr>
            <w:tr w:rsidR="008D3C72" w:rsidRPr="0041323E" w14:paraId="11793559" w14:textId="77777777">
              <w:trPr>
                <w:trHeight w:val="320"/>
                <w:jc w:val="center"/>
              </w:trPr>
              <w:tc>
                <w:tcPr>
                  <w:tcW w:w="2400" w:type="dxa"/>
                  <w:tcBorders>
                    <w:top w:val="nil"/>
                    <w:left w:val="nil"/>
                    <w:bottom w:val="nil"/>
                    <w:right w:val="single" w:sz="12" w:space="0" w:color="D9D9D9"/>
                  </w:tcBorders>
                  <w:shd w:val="clear" w:color="000000" w:fill="D9D9D9"/>
                  <w:vAlign w:val="center"/>
                  <w:hideMark/>
                </w:tcPr>
                <w:p w14:paraId="44056F44" w14:textId="77777777" w:rsidR="008D3C72" w:rsidRPr="0041323E" w:rsidRDefault="008D3C72" w:rsidP="008D3C72">
                  <w:pPr>
                    <w:spacing w:after="0" w:line="240" w:lineRule="auto"/>
                    <w:rPr>
                      <w:rFonts w:ascii="Lexend Deca" w:eastAsia="Times New Roman" w:hAnsi="Lexend Deca" w:cs="Times New Roman"/>
                      <w:color w:val="000000"/>
                      <w:lang w:eastAsia="es-CO"/>
                    </w:rPr>
                  </w:pPr>
                  <w:r w:rsidRPr="0041323E">
                    <w:rPr>
                      <w:rFonts w:ascii="Lexend Deca" w:eastAsia="Times New Roman" w:hAnsi="Lexend Deca" w:cs="Times New Roman"/>
                      <w:color w:val="000000"/>
                      <w:lang w:eastAsia="es-CO"/>
                    </w:rPr>
                    <w:t xml:space="preserve">Publicidad Exterior </w:t>
                  </w:r>
                </w:p>
              </w:tc>
              <w:tc>
                <w:tcPr>
                  <w:tcW w:w="1760" w:type="dxa"/>
                  <w:tcBorders>
                    <w:top w:val="nil"/>
                    <w:left w:val="nil"/>
                    <w:bottom w:val="nil"/>
                    <w:right w:val="nil"/>
                  </w:tcBorders>
                  <w:noWrap/>
                  <w:vAlign w:val="center"/>
                  <w:hideMark/>
                </w:tcPr>
                <w:p w14:paraId="1F8A4AD0" w14:textId="77777777" w:rsidR="008D3C72" w:rsidRPr="0041323E" w:rsidRDefault="008D3C72" w:rsidP="008D3C72">
                  <w:pPr>
                    <w:spacing w:after="0" w:line="240" w:lineRule="auto"/>
                    <w:jc w:val="center"/>
                    <w:rPr>
                      <w:rFonts w:ascii="Aptos Narrow" w:eastAsia="Times New Roman" w:hAnsi="Aptos Narrow" w:cs="Times New Roman"/>
                      <w:sz w:val="24"/>
                      <w:szCs w:val="24"/>
                      <w:lang w:eastAsia="es-CO"/>
                    </w:rPr>
                  </w:pPr>
                  <w:r w:rsidRPr="0041323E">
                    <w:rPr>
                      <w:rFonts w:ascii="Aptos Narrow" w:hAnsi="Aptos Narrow"/>
                      <w:color w:val="FF0000"/>
                    </w:rPr>
                    <w:t>-$ 5,0</w:t>
                  </w:r>
                </w:p>
              </w:tc>
              <w:tc>
                <w:tcPr>
                  <w:tcW w:w="1760" w:type="dxa"/>
                  <w:tcBorders>
                    <w:top w:val="nil"/>
                    <w:left w:val="nil"/>
                    <w:bottom w:val="nil"/>
                    <w:right w:val="nil"/>
                  </w:tcBorders>
                  <w:noWrap/>
                  <w:vAlign w:val="center"/>
                  <w:hideMark/>
                </w:tcPr>
                <w:p w14:paraId="1764CF81" w14:textId="77777777" w:rsidR="008D3C72" w:rsidRPr="0041323E" w:rsidRDefault="008D3C72" w:rsidP="008D3C72">
                  <w:pPr>
                    <w:spacing w:after="0" w:line="240" w:lineRule="auto"/>
                    <w:jc w:val="center"/>
                    <w:rPr>
                      <w:rFonts w:ascii="Aptos Narrow" w:eastAsia="Times New Roman" w:hAnsi="Aptos Narrow" w:cs="Times New Roman"/>
                      <w:sz w:val="24"/>
                      <w:szCs w:val="24"/>
                      <w:lang w:eastAsia="es-CO"/>
                    </w:rPr>
                  </w:pPr>
                  <w:r w:rsidRPr="0041323E">
                    <w:rPr>
                      <w:rFonts w:ascii="Aptos Narrow" w:hAnsi="Aptos Narrow"/>
                      <w:color w:val="FF0000"/>
                    </w:rPr>
                    <w:t>-$ 54,8</w:t>
                  </w:r>
                </w:p>
              </w:tc>
            </w:tr>
            <w:tr w:rsidR="008D3C72" w:rsidRPr="0041323E" w14:paraId="574D5413" w14:textId="77777777">
              <w:trPr>
                <w:trHeight w:val="280"/>
                <w:jc w:val="center"/>
              </w:trPr>
              <w:tc>
                <w:tcPr>
                  <w:tcW w:w="2400" w:type="dxa"/>
                  <w:tcBorders>
                    <w:top w:val="nil"/>
                    <w:left w:val="nil"/>
                    <w:bottom w:val="nil"/>
                    <w:right w:val="single" w:sz="12" w:space="0" w:color="D9D9D9"/>
                  </w:tcBorders>
                  <w:shd w:val="clear" w:color="000000" w:fill="024063"/>
                  <w:vAlign w:val="center"/>
                  <w:hideMark/>
                </w:tcPr>
                <w:p w14:paraId="7200549F" w14:textId="77777777" w:rsidR="008D3C72" w:rsidRPr="0041323E" w:rsidRDefault="008D3C72" w:rsidP="008D3C72">
                  <w:pPr>
                    <w:spacing w:after="0" w:line="240" w:lineRule="auto"/>
                    <w:rPr>
                      <w:rFonts w:ascii="Lexend Deca" w:eastAsia="Times New Roman" w:hAnsi="Lexend Deca" w:cs="Times New Roman"/>
                      <w:b/>
                      <w:bCs/>
                      <w:color w:val="FFFFFF"/>
                      <w:lang w:eastAsia="es-CO"/>
                    </w:rPr>
                  </w:pPr>
                  <w:r w:rsidRPr="0041323E">
                    <w:rPr>
                      <w:rFonts w:ascii="Lexend Deca" w:eastAsia="Times New Roman" w:hAnsi="Lexend Deca" w:cs="Times New Roman"/>
                      <w:b/>
                      <w:bCs/>
                      <w:color w:val="FFFFFF"/>
                      <w:lang w:eastAsia="es-CO"/>
                    </w:rPr>
                    <w:t xml:space="preserve">Total </w:t>
                  </w:r>
                </w:p>
              </w:tc>
              <w:tc>
                <w:tcPr>
                  <w:tcW w:w="1760" w:type="dxa"/>
                  <w:tcBorders>
                    <w:top w:val="nil"/>
                    <w:left w:val="nil"/>
                    <w:bottom w:val="nil"/>
                    <w:right w:val="single" w:sz="12" w:space="0" w:color="D9D9D9"/>
                  </w:tcBorders>
                  <w:shd w:val="clear" w:color="000000" w:fill="024063"/>
                  <w:vAlign w:val="center"/>
                  <w:hideMark/>
                </w:tcPr>
                <w:p w14:paraId="11BB47EF" w14:textId="77777777" w:rsidR="008D3C72" w:rsidRPr="0041323E" w:rsidRDefault="008D3C72" w:rsidP="008D3C72">
                  <w:pPr>
                    <w:spacing w:after="0" w:line="240" w:lineRule="auto"/>
                    <w:jc w:val="center"/>
                    <w:rPr>
                      <w:rFonts w:ascii="Lexend Deca" w:eastAsia="Times New Roman" w:hAnsi="Lexend Deca" w:cs="Times New Roman"/>
                      <w:b/>
                      <w:bCs/>
                      <w:color w:val="FFFFFF"/>
                      <w:lang w:eastAsia="es-CO"/>
                    </w:rPr>
                  </w:pPr>
                  <w:r w:rsidRPr="0041323E">
                    <w:rPr>
                      <w:rFonts w:ascii="Lexend Deca" w:hAnsi="Lexend Deca"/>
                      <w:b/>
                      <w:bCs/>
                      <w:color w:val="FFFFFF"/>
                    </w:rPr>
                    <w:t>$ 1.257,8</w:t>
                  </w:r>
                </w:p>
              </w:tc>
              <w:tc>
                <w:tcPr>
                  <w:tcW w:w="1760" w:type="dxa"/>
                  <w:tcBorders>
                    <w:top w:val="nil"/>
                    <w:left w:val="nil"/>
                    <w:bottom w:val="nil"/>
                    <w:right w:val="single" w:sz="12" w:space="0" w:color="D9D9D9"/>
                  </w:tcBorders>
                  <w:shd w:val="clear" w:color="000000" w:fill="024063"/>
                  <w:vAlign w:val="center"/>
                  <w:hideMark/>
                </w:tcPr>
                <w:p w14:paraId="58C34C27" w14:textId="77777777" w:rsidR="008D3C72" w:rsidRPr="0041323E" w:rsidRDefault="008D3C72" w:rsidP="008D3C72">
                  <w:pPr>
                    <w:spacing w:after="0" w:line="240" w:lineRule="auto"/>
                    <w:jc w:val="center"/>
                    <w:rPr>
                      <w:rFonts w:ascii="Lexend Deca" w:eastAsia="Times New Roman" w:hAnsi="Lexend Deca" w:cs="Times New Roman"/>
                      <w:b/>
                      <w:bCs/>
                      <w:color w:val="FFFFFF"/>
                      <w:lang w:eastAsia="es-CO"/>
                    </w:rPr>
                  </w:pPr>
                  <w:r w:rsidRPr="0041323E">
                    <w:rPr>
                      <w:rFonts w:ascii="Lexend Deca" w:hAnsi="Lexend Deca"/>
                      <w:b/>
                      <w:bCs/>
                      <w:color w:val="FFFFFF"/>
                    </w:rPr>
                    <w:t>$ 13.835,3</w:t>
                  </w:r>
                </w:p>
              </w:tc>
            </w:tr>
          </w:tbl>
          <w:p w14:paraId="4C9F49EC" w14:textId="77777777" w:rsidR="008D3C72" w:rsidRPr="0041323E" w:rsidRDefault="008D3C72" w:rsidP="008D3C72">
            <w:pPr>
              <w:contextualSpacing/>
              <w:jc w:val="center"/>
              <w:rPr>
                <w:rFonts w:ascii="Times New Roman" w:hAnsi="Times New Roman" w:cs="Times New Roman"/>
                <w:b/>
                <w:bCs/>
                <w:sz w:val="20"/>
                <w:szCs w:val="20"/>
                <w:lang w:val="es-MX"/>
              </w:rPr>
            </w:pPr>
          </w:p>
          <w:p w14:paraId="15E3C797" w14:textId="77777777" w:rsidR="008D3C72" w:rsidRPr="0041323E" w:rsidRDefault="008D3C72" w:rsidP="008D3C72">
            <w:pPr>
              <w:contextualSpacing/>
              <w:jc w:val="center"/>
              <w:rPr>
                <w:rFonts w:ascii="Times New Roman" w:hAnsi="Times New Roman" w:cs="Times New Roman"/>
                <w:sz w:val="20"/>
                <w:szCs w:val="20"/>
              </w:rPr>
            </w:pPr>
            <w:r w:rsidRPr="0041323E">
              <w:rPr>
                <w:rFonts w:ascii="Times New Roman" w:hAnsi="Times New Roman" w:cs="Times New Roman"/>
                <w:b/>
                <w:bCs/>
                <w:sz w:val="20"/>
                <w:szCs w:val="20"/>
                <w:lang w:val="es-MX"/>
              </w:rPr>
              <w:t>Fuente</w:t>
            </w:r>
            <w:r w:rsidRPr="0041323E">
              <w:rPr>
                <w:rFonts w:ascii="Times New Roman" w:hAnsi="Times New Roman" w:cs="Times New Roman"/>
                <w:sz w:val="20"/>
                <w:szCs w:val="20"/>
                <w:lang w:val="es-MX"/>
              </w:rPr>
              <w:t xml:space="preserve">: </w:t>
            </w:r>
            <w:r w:rsidRPr="0041323E">
              <w:rPr>
                <w:rFonts w:ascii="Times New Roman" w:hAnsi="Times New Roman" w:cs="Times New Roman"/>
                <w:sz w:val="20"/>
                <w:szCs w:val="20"/>
              </w:rPr>
              <w:t>Secretaría Distrital de Hacienda.</w:t>
            </w:r>
          </w:p>
          <w:p w14:paraId="5E6CB210" w14:textId="77777777" w:rsidR="008D3C72" w:rsidRPr="0041323E" w:rsidRDefault="008D3C72" w:rsidP="008D3C72">
            <w:pPr>
              <w:jc w:val="both"/>
              <w:rPr>
                <w:rFonts w:ascii="Times New Roman" w:hAnsi="Times New Roman" w:cs="Times New Roman"/>
                <w:sz w:val="24"/>
                <w:szCs w:val="24"/>
                <w:lang w:val="es-ES"/>
              </w:rPr>
            </w:pPr>
          </w:p>
          <w:p w14:paraId="0AF7F139" w14:textId="12910E82" w:rsidR="008D3C72" w:rsidRPr="0041323E" w:rsidRDefault="008D3C72" w:rsidP="008D3C72">
            <w:pPr>
              <w:jc w:val="both"/>
              <w:rPr>
                <w:rFonts w:ascii="Times New Roman" w:hAnsi="Times New Roman" w:cs="Times New Roman"/>
                <w:sz w:val="24"/>
                <w:szCs w:val="24"/>
                <w:lang w:val="es-ES"/>
              </w:rPr>
            </w:pPr>
            <w:r w:rsidRPr="0041323E">
              <w:rPr>
                <w:rFonts w:ascii="Times New Roman" w:hAnsi="Times New Roman" w:cs="Times New Roman"/>
                <w:sz w:val="24"/>
                <w:szCs w:val="24"/>
                <w:lang w:val="es-ES"/>
              </w:rPr>
              <w:t>Así mismo, el Proyecto de Acuerdo incluye la adopción de cinco incentivos que presentan un costo anual de $139,3 mil millones. Al restar del balance los costos de los incentivos, se espera tener un incremento anual de $1</w:t>
            </w:r>
            <w:r w:rsidR="0041323E">
              <w:rPr>
                <w:rFonts w:ascii="Times New Roman" w:hAnsi="Times New Roman" w:cs="Times New Roman"/>
                <w:sz w:val="24"/>
                <w:szCs w:val="24"/>
                <w:lang w:val="es-ES"/>
              </w:rPr>
              <w:t>,</w:t>
            </w:r>
            <w:r w:rsidRPr="0041323E">
              <w:rPr>
                <w:rFonts w:ascii="Times New Roman" w:hAnsi="Times New Roman" w:cs="Times New Roman"/>
                <w:sz w:val="24"/>
                <w:szCs w:val="24"/>
                <w:lang w:val="es-ES"/>
              </w:rPr>
              <w:t>12 billones y de $12,3 billones en un horizonte de mediano plazo</w:t>
            </w:r>
            <w:r w:rsidR="004E4ED5">
              <w:rPr>
                <w:rFonts w:ascii="Times New Roman" w:hAnsi="Times New Roman" w:cs="Times New Roman"/>
                <w:sz w:val="24"/>
                <w:szCs w:val="24"/>
                <w:lang w:val="es-ES"/>
              </w:rPr>
              <w:t>.</w:t>
            </w:r>
            <w:r w:rsidRPr="0041323E">
              <w:rPr>
                <w:rFonts w:ascii="Times New Roman" w:hAnsi="Times New Roman" w:cs="Times New Roman"/>
                <w:sz w:val="24"/>
                <w:szCs w:val="24"/>
                <w:lang w:val="es-ES"/>
              </w:rPr>
              <w:t xml:space="preserve"> </w:t>
            </w:r>
          </w:p>
          <w:p w14:paraId="64EDD047" w14:textId="77777777" w:rsidR="008D3C72" w:rsidRPr="0041323E" w:rsidRDefault="008D3C72" w:rsidP="008D3C72">
            <w:pPr>
              <w:rPr>
                <w:rFonts w:ascii="Times New Roman" w:hAnsi="Times New Roman" w:cs="Times New Roman"/>
                <w:sz w:val="24"/>
                <w:szCs w:val="24"/>
                <w:lang w:val="es-ES"/>
              </w:rPr>
            </w:pPr>
          </w:p>
          <w:p w14:paraId="125C12F4" w14:textId="77777777" w:rsidR="008D3C72" w:rsidRPr="0041323E" w:rsidRDefault="008D3C72" w:rsidP="008D3C72">
            <w:pPr>
              <w:jc w:val="center"/>
              <w:rPr>
                <w:rFonts w:ascii="Times New Roman" w:hAnsi="Times New Roman" w:cs="Times New Roman"/>
                <w:b/>
                <w:bCs/>
                <w:sz w:val="24"/>
                <w:szCs w:val="24"/>
                <w:lang w:val="es-ES"/>
              </w:rPr>
            </w:pPr>
            <w:r w:rsidRPr="0041323E">
              <w:rPr>
                <w:rFonts w:ascii="Times New Roman" w:hAnsi="Times New Roman" w:cs="Times New Roman"/>
                <w:b/>
                <w:bCs/>
                <w:sz w:val="24"/>
                <w:szCs w:val="24"/>
                <w:lang w:val="es-ES"/>
              </w:rPr>
              <w:t>Tabla 30</w:t>
            </w:r>
          </w:p>
          <w:p w14:paraId="714FE857" w14:textId="77777777" w:rsidR="008D3C72" w:rsidRPr="0041323E" w:rsidRDefault="008D3C72" w:rsidP="008D3C72">
            <w:pPr>
              <w:jc w:val="center"/>
              <w:rPr>
                <w:rFonts w:ascii="Times New Roman" w:hAnsi="Times New Roman" w:cs="Times New Roman"/>
                <w:b/>
                <w:sz w:val="24"/>
                <w:szCs w:val="24"/>
              </w:rPr>
            </w:pPr>
            <w:r w:rsidRPr="0041323E">
              <w:rPr>
                <w:rFonts w:ascii="Times New Roman" w:hAnsi="Times New Roman" w:cs="Times New Roman"/>
                <w:b/>
                <w:bCs/>
                <w:sz w:val="24"/>
                <w:szCs w:val="24"/>
              </w:rPr>
              <w:t>Balance general entre el ingreso por el cambio tributario y los incentivos</w:t>
            </w:r>
          </w:p>
          <w:p w14:paraId="2191394F" w14:textId="77777777" w:rsidR="008D3C72" w:rsidRPr="0041323E" w:rsidRDefault="008D3C72" w:rsidP="008D3C72">
            <w:pPr>
              <w:jc w:val="center"/>
              <w:rPr>
                <w:rFonts w:ascii="Times New Roman" w:hAnsi="Times New Roman" w:cs="Times New Roman"/>
                <w:i/>
                <w:iCs/>
                <w:sz w:val="14"/>
                <w:szCs w:val="14"/>
              </w:rPr>
            </w:pPr>
            <w:r w:rsidRPr="0041323E">
              <w:rPr>
                <w:rFonts w:ascii="Times New Roman" w:hAnsi="Times New Roman" w:cs="Times New Roman"/>
                <w:i/>
                <w:iCs/>
                <w:sz w:val="14"/>
                <w:szCs w:val="14"/>
              </w:rPr>
              <w:t>Miles de Millones</w:t>
            </w:r>
          </w:p>
          <w:tbl>
            <w:tblPr>
              <w:tblW w:w="6440" w:type="dxa"/>
              <w:jc w:val="center"/>
              <w:tblLayout w:type="fixed"/>
              <w:tblCellMar>
                <w:left w:w="70" w:type="dxa"/>
                <w:right w:w="70" w:type="dxa"/>
              </w:tblCellMar>
              <w:tblLook w:val="04A0" w:firstRow="1" w:lastRow="0" w:firstColumn="1" w:lastColumn="0" w:noHBand="0" w:noVBand="1"/>
            </w:tblPr>
            <w:tblGrid>
              <w:gridCol w:w="3124"/>
              <w:gridCol w:w="1658"/>
              <w:gridCol w:w="1658"/>
            </w:tblGrid>
            <w:tr w:rsidR="008D3C72" w:rsidRPr="0041323E" w14:paraId="11CF4809" w14:textId="77777777">
              <w:trPr>
                <w:trHeight w:val="314"/>
                <w:jc w:val="center"/>
              </w:trPr>
              <w:tc>
                <w:tcPr>
                  <w:tcW w:w="3124" w:type="dxa"/>
                  <w:tcBorders>
                    <w:top w:val="nil"/>
                    <w:left w:val="nil"/>
                    <w:bottom w:val="nil"/>
                    <w:right w:val="nil"/>
                  </w:tcBorders>
                  <w:shd w:val="clear" w:color="000000" w:fill="024063"/>
                  <w:vAlign w:val="center"/>
                  <w:hideMark/>
                </w:tcPr>
                <w:p w14:paraId="5B504E29" w14:textId="77777777" w:rsidR="008D3C72" w:rsidRPr="0041323E" w:rsidRDefault="008D3C72" w:rsidP="008D3C72">
                  <w:pPr>
                    <w:spacing w:after="0" w:line="240" w:lineRule="auto"/>
                    <w:rPr>
                      <w:rFonts w:ascii="Aptos Narrow" w:eastAsia="Times New Roman" w:hAnsi="Aptos Narrow" w:cs="Times New Roman"/>
                      <w:b/>
                      <w:bCs/>
                      <w:color w:val="FFFFFF"/>
                      <w:lang w:eastAsia="es-CO"/>
                    </w:rPr>
                  </w:pPr>
                  <w:r w:rsidRPr="0041323E">
                    <w:rPr>
                      <w:rFonts w:ascii="Aptos Narrow" w:eastAsia="Times New Roman" w:hAnsi="Aptos Narrow" w:cs="Times New Roman"/>
                      <w:b/>
                      <w:bCs/>
                      <w:color w:val="FFFFFF"/>
                      <w:lang w:eastAsia="es-CO"/>
                    </w:rPr>
                    <w:t>Resumen</w:t>
                  </w:r>
                </w:p>
              </w:tc>
              <w:tc>
                <w:tcPr>
                  <w:tcW w:w="1658" w:type="dxa"/>
                  <w:tcBorders>
                    <w:top w:val="nil"/>
                    <w:left w:val="nil"/>
                    <w:bottom w:val="nil"/>
                    <w:right w:val="single" w:sz="8" w:space="0" w:color="auto"/>
                  </w:tcBorders>
                  <w:shd w:val="clear" w:color="000000" w:fill="024063"/>
                  <w:vAlign w:val="center"/>
                  <w:hideMark/>
                </w:tcPr>
                <w:p w14:paraId="32D35928" w14:textId="77777777" w:rsidR="008D3C72" w:rsidRPr="0041323E" w:rsidRDefault="008D3C72" w:rsidP="008D3C72">
                  <w:pPr>
                    <w:spacing w:after="0" w:line="240" w:lineRule="auto"/>
                    <w:jc w:val="center"/>
                    <w:rPr>
                      <w:rFonts w:ascii="Aptos Narrow" w:eastAsia="Times New Roman" w:hAnsi="Aptos Narrow" w:cs="Times New Roman"/>
                      <w:b/>
                      <w:bCs/>
                      <w:color w:val="FFFFFF"/>
                      <w:lang w:eastAsia="es-CO"/>
                    </w:rPr>
                  </w:pPr>
                  <w:r w:rsidRPr="0041323E">
                    <w:rPr>
                      <w:rFonts w:ascii="Aptos Narrow" w:eastAsia="Times New Roman" w:hAnsi="Aptos Narrow" w:cs="Times New Roman"/>
                      <w:b/>
                      <w:bCs/>
                      <w:color w:val="FFFFFF"/>
                      <w:lang w:eastAsia="es-CO"/>
                    </w:rPr>
                    <w:t>Anual</w:t>
                  </w:r>
                </w:p>
              </w:tc>
              <w:tc>
                <w:tcPr>
                  <w:tcW w:w="1658" w:type="dxa"/>
                  <w:tcBorders>
                    <w:top w:val="nil"/>
                    <w:left w:val="nil"/>
                    <w:bottom w:val="nil"/>
                    <w:right w:val="single" w:sz="8" w:space="0" w:color="auto"/>
                  </w:tcBorders>
                  <w:shd w:val="clear" w:color="000000" w:fill="024063"/>
                  <w:vAlign w:val="center"/>
                  <w:hideMark/>
                </w:tcPr>
                <w:p w14:paraId="71101A56" w14:textId="77777777" w:rsidR="008D3C72" w:rsidRPr="0041323E" w:rsidRDefault="008D3C72" w:rsidP="008D3C72">
                  <w:pPr>
                    <w:spacing w:after="0" w:line="240" w:lineRule="auto"/>
                    <w:jc w:val="center"/>
                    <w:rPr>
                      <w:rFonts w:ascii="Aptos Narrow" w:eastAsia="Times New Roman" w:hAnsi="Aptos Narrow" w:cs="Times New Roman"/>
                      <w:b/>
                      <w:bCs/>
                      <w:color w:val="FFFFFF"/>
                      <w:lang w:eastAsia="es-CO"/>
                    </w:rPr>
                  </w:pPr>
                  <w:r w:rsidRPr="0041323E">
                    <w:rPr>
                      <w:rFonts w:ascii="Aptos Narrow" w:eastAsia="Times New Roman" w:hAnsi="Aptos Narrow" w:cs="Times New Roman"/>
                      <w:b/>
                      <w:bCs/>
                      <w:color w:val="FFFFFF"/>
                      <w:lang w:eastAsia="es-CO"/>
                    </w:rPr>
                    <w:t xml:space="preserve">Mediano plazo </w:t>
                  </w:r>
                </w:p>
              </w:tc>
            </w:tr>
            <w:tr w:rsidR="008D3C72" w:rsidRPr="0041323E" w14:paraId="0AC357B9" w14:textId="77777777">
              <w:trPr>
                <w:trHeight w:val="293"/>
                <w:jc w:val="center"/>
              </w:trPr>
              <w:tc>
                <w:tcPr>
                  <w:tcW w:w="3124" w:type="dxa"/>
                  <w:tcBorders>
                    <w:top w:val="nil"/>
                    <w:left w:val="nil"/>
                    <w:bottom w:val="nil"/>
                    <w:right w:val="nil"/>
                  </w:tcBorders>
                  <w:vAlign w:val="center"/>
                  <w:hideMark/>
                </w:tcPr>
                <w:p w14:paraId="580B3F3C" w14:textId="77777777" w:rsidR="008D3C72" w:rsidRPr="0041323E" w:rsidRDefault="008D3C72" w:rsidP="008D3C72">
                  <w:pPr>
                    <w:spacing w:after="0" w:line="240" w:lineRule="auto"/>
                    <w:rPr>
                      <w:rFonts w:ascii="Aptos Narrow" w:eastAsia="Times New Roman" w:hAnsi="Aptos Narrow" w:cs="Times New Roman"/>
                      <w:color w:val="000000"/>
                      <w:lang w:eastAsia="es-CO"/>
                    </w:rPr>
                  </w:pPr>
                  <w:r w:rsidRPr="0041323E">
                    <w:rPr>
                      <w:rFonts w:ascii="Aptos Narrow" w:eastAsia="Times New Roman" w:hAnsi="Aptos Narrow" w:cs="Times New Roman"/>
                      <w:color w:val="000000"/>
                      <w:lang w:eastAsia="es-CO"/>
                    </w:rPr>
                    <w:t>C. Tarifas y alumbrado público</w:t>
                  </w:r>
                </w:p>
              </w:tc>
              <w:tc>
                <w:tcPr>
                  <w:tcW w:w="1658" w:type="dxa"/>
                  <w:tcBorders>
                    <w:top w:val="nil"/>
                    <w:left w:val="nil"/>
                    <w:bottom w:val="nil"/>
                    <w:right w:val="nil"/>
                  </w:tcBorders>
                  <w:vAlign w:val="center"/>
                  <w:hideMark/>
                </w:tcPr>
                <w:p w14:paraId="4285C2F4" w14:textId="77777777" w:rsidR="008D3C72" w:rsidRPr="0041323E" w:rsidRDefault="008D3C72" w:rsidP="008D3C72">
                  <w:pPr>
                    <w:spacing w:after="0" w:line="240" w:lineRule="auto"/>
                    <w:jc w:val="center"/>
                    <w:rPr>
                      <w:rFonts w:ascii="Aptos Narrow" w:eastAsia="Times New Roman" w:hAnsi="Aptos Narrow" w:cs="Times New Roman"/>
                      <w:color w:val="000000"/>
                      <w:lang w:eastAsia="es-CO"/>
                    </w:rPr>
                  </w:pPr>
                  <w:r w:rsidRPr="0041323E">
                    <w:rPr>
                      <w:rFonts w:ascii="Aptos Narrow" w:hAnsi="Aptos Narrow"/>
                      <w:color w:val="000000"/>
                    </w:rPr>
                    <w:t>$ 1.257,8</w:t>
                  </w:r>
                </w:p>
              </w:tc>
              <w:tc>
                <w:tcPr>
                  <w:tcW w:w="1658" w:type="dxa"/>
                  <w:tcBorders>
                    <w:top w:val="nil"/>
                    <w:left w:val="nil"/>
                    <w:bottom w:val="nil"/>
                    <w:right w:val="single" w:sz="8" w:space="0" w:color="auto"/>
                  </w:tcBorders>
                  <w:vAlign w:val="center"/>
                  <w:hideMark/>
                </w:tcPr>
                <w:p w14:paraId="2094E289" w14:textId="77777777" w:rsidR="008D3C72" w:rsidRPr="0041323E" w:rsidRDefault="008D3C72" w:rsidP="008D3C72">
                  <w:pPr>
                    <w:spacing w:after="0" w:line="240" w:lineRule="auto"/>
                    <w:jc w:val="center"/>
                    <w:rPr>
                      <w:rFonts w:ascii="Aptos Narrow" w:eastAsia="Times New Roman" w:hAnsi="Aptos Narrow" w:cs="Times New Roman"/>
                      <w:color w:val="000000"/>
                      <w:lang w:eastAsia="es-CO"/>
                    </w:rPr>
                  </w:pPr>
                  <w:r w:rsidRPr="0041323E">
                    <w:rPr>
                      <w:rFonts w:ascii="Aptos Narrow" w:hAnsi="Aptos Narrow"/>
                      <w:color w:val="000000"/>
                    </w:rPr>
                    <w:t>$ 13.835,3</w:t>
                  </w:r>
                </w:p>
              </w:tc>
            </w:tr>
            <w:tr w:rsidR="008D3C72" w:rsidRPr="0041323E" w14:paraId="0B351A4E" w14:textId="77777777">
              <w:trPr>
                <w:trHeight w:val="293"/>
                <w:jc w:val="center"/>
              </w:trPr>
              <w:tc>
                <w:tcPr>
                  <w:tcW w:w="3124" w:type="dxa"/>
                  <w:tcBorders>
                    <w:top w:val="nil"/>
                    <w:left w:val="nil"/>
                    <w:bottom w:val="nil"/>
                    <w:right w:val="nil"/>
                  </w:tcBorders>
                  <w:vAlign w:val="center"/>
                  <w:hideMark/>
                </w:tcPr>
                <w:p w14:paraId="0308FF4B" w14:textId="77777777" w:rsidR="008D3C72" w:rsidRPr="0041323E" w:rsidRDefault="008D3C72" w:rsidP="008D3C72">
                  <w:pPr>
                    <w:spacing w:after="0" w:line="240" w:lineRule="auto"/>
                    <w:rPr>
                      <w:rFonts w:ascii="Aptos Narrow" w:eastAsia="Times New Roman" w:hAnsi="Aptos Narrow" w:cs="Times New Roman"/>
                      <w:color w:val="000000"/>
                      <w:lang w:eastAsia="es-CO"/>
                    </w:rPr>
                  </w:pPr>
                  <w:r w:rsidRPr="0041323E">
                    <w:rPr>
                      <w:rFonts w:ascii="Aptos Narrow" w:eastAsia="Times New Roman" w:hAnsi="Aptos Narrow" w:cs="Times New Roman"/>
                      <w:color w:val="000000"/>
                      <w:lang w:eastAsia="es-CO"/>
                    </w:rPr>
                    <w:t xml:space="preserve">Costos de los incentivos </w:t>
                  </w:r>
                </w:p>
              </w:tc>
              <w:tc>
                <w:tcPr>
                  <w:tcW w:w="1658" w:type="dxa"/>
                  <w:tcBorders>
                    <w:top w:val="nil"/>
                    <w:left w:val="nil"/>
                    <w:bottom w:val="nil"/>
                    <w:right w:val="nil"/>
                  </w:tcBorders>
                  <w:vAlign w:val="center"/>
                  <w:hideMark/>
                </w:tcPr>
                <w:p w14:paraId="0B36A4BC" w14:textId="77777777" w:rsidR="008D3C72" w:rsidRPr="0041323E" w:rsidRDefault="008D3C72" w:rsidP="008D3C72">
                  <w:pPr>
                    <w:spacing w:after="0" w:line="240" w:lineRule="auto"/>
                    <w:jc w:val="center"/>
                    <w:rPr>
                      <w:rFonts w:ascii="Aptos Narrow" w:eastAsia="Times New Roman" w:hAnsi="Aptos Narrow" w:cs="Times New Roman"/>
                      <w:lang w:eastAsia="es-CO"/>
                    </w:rPr>
                  </w:pPr>
                  <w:r w:rsidRPr="0041323E">
                    <w:rPr>
                      <w:rFonts w:ascii="Aptos Narrow" w:hAnsi="Aptos Narrow"/>
                      <w:color w:val="FF0000"/>
                    </w:rPr>
                    <w:t>-$ 139,3</w:t>
                  </w:r>
                </w:p>
              </w:tc>
              <w:tc>
                <w:tcPr>
                  <w:tcW w:w="1658" w:type="dxa"/>
                  <w:tcBorders>
                    <w:top w:val="nil"/>
                    <w:left w:val="nil"/>
                    <w:bottom w:val="nil"/>
                    <w:right w:val="single" w:sz="8" w:space="0" w:color="auto"/>
                  </w:tcBorders>
                  <w:vAlign w:val="center"/>
                  <w:hideMark/>
                </w:tcPr>
                <w:p w14:paraId="4A5A7486" w14:textId="77777777" w:rsidR="008D3C72" w:rsidRPr="0041323E" w:rsidRDefault="008D3C72" w:rsidP="008D3C72">
                  <w:pPr>
                    <w:spacing w:after="0" w:line="240" w:lineRule="auto"/>
                    <w:jc w:val="center"/>
                    <w:rPr>
                      <w:rFonts w:ascii="Aptos Narrow" w:eastAsia="Times New Roman" w:hAnsi="Aptos Narrow" w:cs="Times New Roman"/>
                      <w:lang w:eastAsia="es-CO"/>
                    </w:rPr>
                  </w:pPr>
                  <w:r w:rsidRPr="0041323E">
                    <w:rPr>
                      <w:rFonts w:ascii="Aptos Narrow" w:hAnsi="Aptos Narrow"/>
                      <w:color w:val="FF0000"/>
                    </w:rPr>
                    <w:t>-$ 1.521,7</w:t>
                  </w:r>
                </w:p>
              </w:tc>
            </w:tr>
            <w:tr w:rsidR="008D3C72" w:rsidRPr="0041323E" w14:paraId="0B82B5A9" w14:textId="77777777">
              <w:trPr>
                <w:trHeight w:val="324"/>
                <w:jc w:val="center"/>
              </w:trPr>
              <w:tc>
                <w:tcPr>
                  <w:tcW w:w="3124" w:type="dxa"/>
                  <w:tcBorders>
                    <w:top w:val="nil"/>
                    <w:left w:val="nil"/>
                    <w:bottom w:val="nil"/>
                    <w:right w:val="nil"/>
                  </w:tcBorders>
                  <w:shd w:val="clear" w:color="000000" w:fill="024063"/>
                  <w:vAlign w:val="center"/>
                  <w:hideMark/>
                </w:tcPr>
                <w:p w14:paraId="0F3EE088" w14:textId="77777777" w:rsidR="008D3C72" w:rsidRPr="0041323E" w:rsidRDefault="008D3C72" w:rsidP="008D3C72">
                  <w:pPr>
                    <w:spacing w:after="0" w:line="240" w:lineRule="auto"/>
                    <w:jc w:val="center"/>
                    <w:rPr>
                      <w:rFonts w:ascii="Aptos Narrow" w:eastAsia="Times New Roman" w:hAnsi="Aptos Narrow" w:cs="Times New Roman"/>
                      <w:b/>
                      <w:bCs/>
                      <w:color w:val="FFFFFF"/>
                      <w:lang w:eastAsia="es-CO"/>
                    </w:rPr>
                  </w:pPr>
                  <w:r w:rsidRPr="0041323E">
                    <w:rPr>
                      <w:rFonts w:ascii="Aptos Narrow" w:eastAsia="Times New Roman" w:hAnsi="Aptos Narrow" w:cs="Times New Roman"/>
                      <w:b/>
                      <w:bCs/>
                      <w:color w:val="FFFFFF"/>
                      <w:lang w:eastAsia="es-CO"/>
                    </w:rPr>
                    <w:t>Total</w:t>
                  </w:r>
                </w:p>
              </w:tc>
              <w:tc>
                <w:tcPr>
                  <w:tcW w:w="1658" w:type="dxa"/>
                  <w:tcBorders>
                    <w:top w:val="nil"/>
                    <w:left w:val="nil"/>
                    <w:bottom w:val="single" w:sz="8" w:space="0" w:color="auto"/>
                    <w:right w:val="single" w:sz="8" w:space="0" w:color="auto"/>
                  </w:tcBorders>
                  <w:shd w:val="clear" w:color="000000" w:fill="024063"/>
                  <w:vAlign w:val="center"/>
                  <w:hideMark/>
                </w:tcPr>
                <w:p w14:paraId="7A386BBD" w14:textId="77777777" w:rsidR="008D3C72" w:rsidRPr="0041323E" w:rsidRDefault="008D3C72" w:rsidP="008D3C72">
                  <w:pPr>
                    <w:spacing w:after="0" w:line="240" w:lineRule="auto"/>
                    <w:jc w:val="center"/>
                    <w:rPr>
                      <w:rFonts w:ascii="Aptos Narrow" w:eastAsia="Times New Roman" w:hAnsi="Aptos Narrow" w:cs="Times New Roman"/>
                      <w:b/>
                      <w:bCs/>
                      <w:color w:val="FFFFFF"/>
                      <w:lang w:eastAsia="es-CO"/>
                    </w:rPr>
                  </w:pPr>
                  <w:r w:rsidRPr="0041323E">
                    <w:rPr>
                      <w:rFonts w:ascii="Aptos Narrow" w:hAnsi="Aptos Narrow"/>
                      <w:b/>
                      <w:bCs/>
                      <w:color w:val="FFFFFF"/>
                    </w:rPr>
                    <w:t>$ 1.118,4</w:t>
                  </w:r>
                </w:p>
              </w:tc>
              <w:tc>
                <w:tcPr>
                  <w:tcW w:w="1658" w:type="dxa"/>
                  <w:tcBorders>
                    <w:top w:val="nil"/>
                    <w:left w:val="nil"/>
                    <w:bottom w:val="single" w:sz="8" w:space="0" w:color="auto"/>
                    <w:right w:val="single" w:sz="8" w:space="0" w:color="auto"/>
                  </w:tcBorders>
                  <w:shd w:val="clear" w:color="000000" w:fill="024063"/>
                  <w:vAlign w:val="center"/>
                  <w:hideMark/>
                </w:tcPr>
                <w:p w14:paraId="618A238D" w14:textId="77777777" w:rsidR="008D3C72" w:rsidRPr="0041323E" w:rsidRDefault="008D3C72" w:rsidP="008D3C72">
                  <w:pPr>
                    <w:spacing w:after="0" w:line="240" w:lineRule="auto"/>
                    <w:jc w:val="center"/>
                    <w:rPr>
                      <w:rFonts w:ascii="Aptos Narrow" w:eastAsia="Times New Roman" w:hAnsi="Aptos Narrow" w:cs="Times New Roman"/>
                      <w:b/>
                      <w:bCs/>
                      <w:color w:val="FFFFFF"/>
                      <w:lang w:eastAsia="es-CO"/>
                    </w:rPr>
                  </w:pPr>
                  <w:r w:rsidRPr="0041323E">
                    <w:rPr>
                      <w:rFonts w:ascii="Aptos Narrow" w:hAnsi="Aptos Narrow"/>
                      <w:b/>
                      <w:bCs/>
                      <w:color w:val="FFFFFF"/>
                    </w:rPr>
                    <w:t>$ 12.313,6</w:t>
                  </w:r>
                </w:p>
              </w:tc>
            </w:tr>
          </w:tbl>
          <w:p w14:paraId="307FDB47" w14:textId="77777777" w:rsidR="008D3C72" w:rsidRPr="0041323E" w:rsidRDefault="008D3C72" w:rsidP="008D3C72">
            <w:pPr>
              <w:contextualSpacing/>
              <w:jc w:val="center"/>
              <w:rPr>
                <w:rFonts w:ascii="Times New Roman" w:hAnsi="Times New Roman" w:cs="Times New Roman"/>
                <w:b/>
                <w:bCs/>
                <w:sz w:val="14"/>
                <w:szCs w:val="14"/>
                <w:lang w:val="es-MX"/>
              </w:rPr>
            </w:pPr>
          </w:p>
          <w:p w14:paraId="340C0630" w14:textId="77777777" w:rsidR="008D3C72" w:rsidRPr="0041323E" w:rsidRDefault="008D3C72" w:rsidP="008D3C72">
            <w:pPr>
              <w:contextualSpacing/>
              <w:jc w:val="center"/>
              <w:rPr>
                <w:rFonts w:ascii="Times New Roman" w:hAnsi="Times New Roman" w:cs="Times New Roman"/>
                <w:sz w:val="20"/>
                <w:szCs w:val="20"/>
              </w:rPr>
            </w:pPr>
            <w:r w:rsidRPr="0041323E">
              <w:rPr>
                <w:rFonts w:ascii="Times New Roman" w:hAnsi="Times New Roman" w:cs="Times New Roman"/>
                <w:b/>
                <w:bCs/>
                <w:sz w:val="14"/>
                <w:szCs w:val="14"/>
                <w:lang w:val="es-MX"/>
              </w:rPr>
              <w:t>Fuente</w:t>
            </w:r>
            <w:r w:rsidRPr="0041323E">
              <w:rPr>
                <w:rFonts w:ascii="Times New Roman" w:hAnsi="Times New Roman" w:cs="Times New Roman"/>
                <w:sz w:val="14"/>
                <w:szCs w:val="14"/>
                <w:lang w:val="es-MX"/>
              </w:rPr>
              <w:t xml:space="preserve">: </w:t>
            </w:r>
            <w:r w:rsidRPr="0041323E">
              <w:rPr>
                <w:rFonts w:ascii="Times New Roman" w:hAnsi="Times New Roman" w:cs="Times New Roman"/>
                <w:sz w:val="14"/>
                <w:szCs w:val="14"/>
              </w:rPr>
              <w:t>Secretaría Distrital de Hacienda</w:t>
            </w:r>
            <w:r w:rsidRPr="0041323E">
              <w:rPr>
                <w:rFonts w:ascii="Times New Roman" w:hAnsi="Times New Roman" w:cs="Times New Roman"/>
                <w:sz w:val="20"/>
                <w:szCs w:val="20"/>
              </w:rPr>
              <w:t>.</w:t>
            </w:r>
          </w:p>
          <w:p w14:paraId="173AFD8B" w14:textId="77777777" w:rsidR="006A09D7" w:rsidRDefault="006A09D7" w:rsidP="008D3C72">
            <w:pPr>
              <w:contextualSpacing/>
              <w:jc w:val="both"/>
              <w:rPr>
                <w:rFonts w:ascii="Times New Roman" w:hAnsi="Times New Roman" w:cs="Times New Roman"/>
                <w:sz w:val="24"/>
                <w:szCs w:val="24"/>
              </w:rPr>
            </w:pPr>
          </w:p>
          <w:p w14:paraId="2BF7CAAA" w14:textId="3B1F0867" w:rsidR="008D3C72" w:rsidRPr="004E4ED5" w:rsidRDefault="004E4ED5" w:rsidP="008D3C72">
            <w:pPr>
              <w:jc w:val="both"/>
              <w:rPr>
                <w:rFonts w:ascii="Times New Roman" w:hAnsi="Times New Roman" w:cs="Times New Roman"/>
                <w:sz w:val="24"/>
                <w:szCs w:val="24"/>
                <w:lang w:val="es-ES"/>
              </w:rPr>
            </w:pPr>
            <w:r>
              <w:rPr>
                <w:rFonts w:ascii="Times New Roman" w:hAnsi="Times New Roman" w:cs="Times New Roman"/>
                <w:sz w:val="24"/>
                <w:szCs w:val="24"/>
                <w:lang w:val="es-ES"/>
              </w:rPr>
              <w:t>A</w:t>
            </w:r>
            <w:r w:rsidRPr="0041323E">
              <w:rPr>
                <w:rFonts w:ascii="Times New Roman" w:hAnsi="Times New Roman" w:cs="Times New Roman"/>
                <w:sz w:val="24"/>
                <w:szCs w:val="24"/>
                <w:lang w:val="es-ES"/>
              </w:rPr>
              <w:t>unque no es posible tener certeza sobre los ingresos potenciales adicionales calculados</w:t>
            </w:r>
            <w:r>
              <w:rPr>
                <w:rFonts w:ascii="Times New Roman" w:hAnsi="Times New Roman" w:cs="Times New Roman"/>
                <w:sz w:val="24"/>
                <w:szCs w:val="24"/>
                <w:lang w:val="es-ES"/>
              </w:rPr>
              <w:t>, se estima que l</w:t>
            </w:r>
            <w:r w:rsidR="008D3C72" w:rsidRPr="0041323E">
              <w:rPr>
                <w:rFonts w:ascii="Times New Roman" w:hAnsi="Times New Roman" w:cs="Times New Roman"/>
                <w:sz w:val="24"/>
                <w:szCs w:val="24"/>
              </w:rPr>
              <w:t>a adopción de los incentivos</w:t>
            </w:r>
            <w:r>
              <w:rPr>
                <w:rFonts w:ascii="Times New Roman" w:hAnsi="Times New Roman" w:cs="Times New Roman"/>
                <w:sz w:val="24"/>
                <w:szCs w:val="24"/>
              </w:rPr>
              <w:t xml:space="preserve"> propuestos</w:t>
            </w:r>
            <w:r w:rsidR="008D3C72" w:rsidRPr="0041323E">
              <w:rPr>
                <w:rFonts w:ascii="Times New Roman" w:hAnsi="Times New Roman" w:cs="Times New Roman"/>
                <w:sz w:val="24"/>
                <w:szCs w:val="24"/>
              </w:rPr>
              <w:t xml:space="preserve"> genera</w:t>
            </w:r>
            <w:r>
              <w:rPr>
                <w:rFonts w:ascii="Times New Roman" w:hAnsi="Times New Roman" w:cs="Times New Roman"/>
                <w:sz w:val="24"/>
                <w:szCs w:val="24"/>
              </w:rPr>
              <w:t>ría</w:t>
            </w:r>
            <w:r w:rsidR="008D3C72" w:rsidRPr="0041323E">
              <w:rPr>
                <w:rFonts w:ascii="Times New Roman" w:hAnsi="Times New Roman" w:cs="Times New Roman"/>
                <w:sz w:val="24"/>
                <w:szCs w:val="24"/>
              </w:rPr>
              <w:t xml:space="preserve"> beneficios tributarios </w:t>
            </w:r>
            <w:r>
              <w:rPr>
                <w:rFonts w:ascii="Times New Roman" w:hAnsi="Times New Roman" w:cs="Times New Roman"/>
                <w:sz w:val="24"/>
                <w:szCs w:val="24"/>
              </w:rPr>
              <w:t>cercanos</w:t>
            </w:r>
            <w:r w:rsidR="008D3C72" w:rsidRPr="0041323E">
              <w:rPr>
                <w:rFonts w:ascii="Times New Roman" w:hAnsi="Times New Roman" w:cs="Times New Roman"/>
                <w:sz w:val="24"/>
                <w:szCs w:val="24"/>
              </w:rPr>
              <w:t xml:space="preserve"> a</w:t>
            </w:r>
            <w:r>
              <w:rPr>
                <w:rFonts w:ascii="Times New Roman" w:hAnsi="Times New Roman" w:cs="Times New Roman"/>
                <w:sz w:val="24"/>
                <w:szCs w:val="24"/>
              </w:rPr>
              <w:t xml:space="preserve"> los</w:t>
            </w:r>
            <w:r w:rsidR="008D3C72" w:rsidRPr="0041323E">
              <w:rPr>
                <w:rFonts w:ascii="Times New Roman" w:hAnsi="Times New Roman" w:cs="Times New Roman"/>
                <w:sz w:val="24"/>
                <w:szCs w:val="24"/>
              </w:rPr>
              <w:t xml:space="preserve"> $297,7 Mil millones anuales y en el mediano plazo de $3.275,2 Mil millones.</w:t>
            </w:r>
            <w:r w:rsidR="008D3C72">
              <w:rPr>
                <w:rFonts w:ascii="Times New Roman" w:hAnsi="Times New Roman" w:cs="Times New Roman"/>
                <w:sz w:val="24"/>
                <w:szCs w:val="24"/>
              </w:rPr>
              <w:t xml:space="preserve"> </w:t>
            </w:r>
          </w:p>
          <w:p w14:paraId="53FD6129" w14:textId="77777777" w:rsidR="008D3C72" w:rsidRDefault="008D3C72" w:rsidP="008D3C72">
            <w:pPr>
              <w:contextualSpacing/>
              <w:jc w:val="both"/>
              <w:rPr>
                <w:rFonts w:ascii="Times New Roman" w:hAnsi="Times New Roman" w:cs="Times New Roman"/>
                <w:sz w:val="24"/>
                <w:szCs w:val="24"/>
              </w:rPr>
            </w:pPr>
          </w:p>
          <w:p w14:paraId="6E904B8B" w14:textId="5C26B512" w:rsidR="003A7E0E" w:rsidRPr="009D74A3" w:rsidRDefault="2FDD9971" w:rsidP="008D3C72">
            <w:pPr>
              <w:contextualSpacing/>
              <w:jc w:val="both"/>
              <w:rPr>
                <w:rFonts w:ascii="Times New Roman" w:eastAsia="Times New Roman" w:hAnsi="Times New Roman" w:cs="Times New Roman"/>
                <w:b/>
                <w:bCs/>
                <w:color w:val="767171" w:themeColor="background2" w:themeShade="80"/>
                <w:sz w:val="24"/>
                <w:szCs w:val="24"/>
              </w:rPr>
            </w:pPr>
            <w:r w:rsidRPr="004E4ED5">
              <w:rPr>
                <w:rFonts w:ascii="Times New Roman" w:eastAsia="Times New Roman" w:hAnsi="Times New Roman" w:cs="Times New Roman"/>
                <w:b/>
                <w:bCs/>
                <w:sz w:val="24"/>
                <w:szCs w:val="24"/>
                <w:highlight w:val="yellow"/>
              </w:rPr>
              <w:t>Tarifas ICA</w:t>
            </w:r>
          </w:p>
          <w:p w14:paraId="25AAA050" w14:textId="6069B7A4" w:rsidR="4BF3870E" w:rsidRPr="009D74A3" w:rsidRDefault="4BF3870E" w:rsidP="008B29A2">
            <w:pPr>
              <w:contextualSpacing/>
              <w:jc w:val="both"/>
              <w:rPr>
                <w:rFonts w:ascii="Times New Roman" w:eastAsia="Times New Roman" w:hAnsi="Times New Roman" w:cs="Times New Roman"/>
                <w:b/>
                <w:bCs/>
                <w:color w:val="767171" w:themeColor="background2" w:themeShade="80"/>
                <w:sz w:val="24"/>
                <w:szCs w:val="24"/>
              </w:rPr>
            </w:pPr>
          </w:p>
          <w:p w14:paraId="75B7FBB3" w14:textId="10E0E270" w:rsidR="003A7E0E" w:rsidRPr="009D74A3" w:rsidRDefault="1BC47DC6" w:rsidP="008B29A2">
            <w:pPr>
              <w:contextualSpacing/>
              <w:jc w:val="both"/>
              <w:rPr>
                <w:rFonts w:ascii="Times New Roman" w:eastAsia="Times New Roman" w:hAnsi="Times New Roman" w:cs="Times New Roman"/>
                <w:color w:val="000000" w:themeColor="text1"/>
                <w:sz w:val="24"/>
                <w:szCs w:val="24"/>
              </w:rPr>
            </w:pPr>
            <w:r w:rsidRPr="009D74A3">
              <w:rPr>
                <w:rFonts w:ascii="Times New Roman" w:eastAsia="Times New Roman" w:hAnsi="Times New Roman" w:cs="Times New Roman"/>
                <w:color w:val="000000" w:themeColor="text1"/>
                <w:sz w:val="24"/>
                <w:szCs w:val="24"/>
              </w:rPr>
              <w:t xml:space="preserve">Con el fin de fortalecer la formalización empresarial, eliminar las barreras en la comprensión de la liquidación del ICA y fomentar la cultura tributaria mediante el uso adecuado de la norma, el artículo 1º del proyecto de acuerdo </w:t>
            </w:r>
            <w:r w:rsidR="30263BFD" w:rsidRPr="009D74A3">
              <w:rPr>
                <w:rFonts w:ascii="Times New Roman" w:eastAsia="Times New Roman" w:hAnsi="Times New Roman" w:cs="Times New Roman"/>
                <w:color w:val="000000" w:themeColor="text1"/>
                <w:sz w:val="24"/>
                <w:szCs w:val="24"/>
              </w:rPr>
              <w:t>simplifica las</w:t>
            </w:r>
            <w:r w:rsidRPr="009D74A3">
              <w:rPr>
                <w:rFonts w:ascii="Times New Roman" w:eastAsia="Times New Roman" w:hAnsi="Times New Roman" w:cs="Times New Roman"/>
                <w:color w:val="000000" w:themeColor="text1"/>
                <w:sz w:val="24"/>
                <w:szCs w:val="24"/>
              </w:rPr>
              <w:t xml:space="preserve"> tarifas del impuesto de Industria y Comercio a cuatro valores: 4, 7, 11 y 21. </w:t>
            </w:r>
          </w:p>
          <w:p w14:paraId="507BF850" w14:textId="6D0F459A" w:rsidR="003A7E0E" w:rsidRPr="009D74A3" w:rsidRDefault="003A7E0E" w:rsidP="008B29A2">
            <w:pPr>
              <w:contextualSpacing/>
              <w:jc w:val="both"/>
              <w:rPr>
                <w:rFonts w:ascii="Times New Roman" w:eastAsia="Times New Roman" w:hAnsi="Times New Roman" w:cs="Times New Roman"/>
                <w:color w:val="000000" w:themeColor="text1"/>
                <w:sz w:val="24"/>
                <w:szCs w:val="24"/>
              </w:rPr>
            </w:pPr>
          </w:p>
          <w:p w14:paraId="3BA8784A" w14:textId="20FAE679" w:rsidR="003A7E0E" w:rsidRPr="009D74A3" w:rsidRDefault="2264C3AE" w:rsidP="008B29A2">
            <w:pPr>
              <w:contextualSpacing/>
              <w:jc w:val="both"/>
              <w:rPr>
                <w:rFonts w:ascii="Times New Roman" w:eastAsia="Times New Roman" w:hAnsi="Times New Roman" w:cs="Times New Roman"/>
                <w:color w:val="000000" w:themeColor="text1"/>
                <w:sz w:val="24"/>
                <w:szCs w:val="24"/>
              </w:rPr>
            </w:pPr>
            <w:r w:rsidRPr="009D74A3">
              <w:rPr>
                <w:rFonts w:ascii="Times New Roman" w:eastAsia="Times New Roman" w:hAnsi="Times New Roman" w:cs="Times New Roman"/>
                <w:color w:val="000000" w:themeColor="text1"/>
                <w:sz w:val="24"/>
                <w:szCs w:val="24"/>
              </w:rPr>
              <w:t>Así mismo, el citado artículo asigna las tarifas atendiendo la naturaleza y el impacto de cada actividad económica. La tarifa preferencial del 4 por mil se aplica a sectores esenciales como alimentos, transporte y confecciones, caracterizados por baja rentabilidad y alta informalidad, con el fin de promover la equidad económica y proteger a la población. La tarifa del 7 por mil se otorga a actividades prioritarias para el desarrollo de la ciudad, evaluadas según criterios como impacto económico, diversificación, ubicación y población beneficiada. La tarifa general del 11 por mil se aplica a actividades que no cumplen criterios especiales, buscando una base tributaria amplia y estable. Finalmente, la tarifa especial del 19 por mil se dirige a sectores con alta capacidad contributiva, como el financiero y el comercio de alcohol y tabaco, en aras de la justicia fiscal y la progresividad tributaria.</w:t>
            </w:r>
          </w:p>
          <w:p w14:paraId="615D6F44" w14:textId="473B8CF1" w:rsidR="003A7E0E" w:rsidRPr="009D74A3" w:rsidRDefault="003A7E0E" w:rsidP="008B29A2">
            <w:pPr>
              <w:contextualSpacing/>
              <w:jc w:val="both"/>
              <w:rPr>
                <w:rFonts w:ascii="Times New Roman" w:eastAsia="Times New Roman" w:hAnsi="Times New Roman" w:cs="Times New Roman"/>
                <w:color w:val="000000" w:themeColor="text1"/>
                <w:sz w:val="24"/>
                <w:szCs w:val="24"/>
              </w:rPr>
            </w:pPr>
          </w:p>
          <w:p w14:paraId="46F4472C" w14:textId="3A76D35A" w:rsidR="003A7E0E" w:rsidRPr="009D74A3" w:rsidRDefault="2264C3AE" w:rsidP="008B29A2">
            <w:pPr>
              <w:contextualSpacing/>
              <w:jc w:val="both"/>
              <w:rPr>
                <w:rFonts w:ascii="Times New Roman" w:eastAsia="Times New Roman" w:hAnsi="Times New Roman" w:cs="Times New Roman"/>
                <w:color w:val="000000" w:themeColor="text1"/>
                <w:sz w:val="24"/>
                <w:szCs w:val="24"/>
              </w:rPr>
            </w:pPr>
            <w:r w:rsidRPr="009D74A3">
              <w:rPr>
                <w:rFonts w:ascii="Times New Roman" w:eastAsia="Times New Roman" w:hAnsi="Times New Roman" w:cs="Times New Roman"/>
                <w:color w:val="000000" w:themeColor="text1"/>
                <w:sz w:val="24"/>
                <w:szCs w:val="24"/>
              </w:rPr>
              <w:t xml:space="preserve">Siguiendo con lo anterior, </w:t>
            </w:r>
            <w:r w:rsidR="241E300D" w:rsidRPr="009D74A3">
              <w:rPr>
                <w:rFonts w:ascii="Times New Roman" w:eastAsia="Times New Roman" w:hAnsi="Times New Roman" w:cs="Times New Roman"/>
                <w:color w:val="000000" w:themeColor="text1"/>
                <w:sz w:val="24"/>
                <w:szCs w:val="24"/>
              </w:rPr>
              <w:t>el artículo 2° modifica</w:t>
            </w:r>
            <w:r w:rsidRPr="009D74A3">
              <w:rPr>
                <w:rFonts w:ascii="Times New Roman" w:eastAsia="Times New Roman" w:hAnsi="Times New Roman" w:cs="Times New Roman"/>
                <w:color w:val="000000" w:themeColor="text1"/>
                <w:sz w:val="24"/>
                <w:szCs w:val="24"/>
              </w:rPr>
              <w:t xml:space="preserve"> el artículo 15 del Acuerdo 780 de 2020, con el fin de </w:t>
            </w:r>
            <w:r w:rsidR="1BBADCF4" w:rsidRPr="009D74A3">
              <w:rPr>
                <w:rFonts w:ascii="Times New Roman" w:eastAsia="Times New Roman" w:hAnsi="Times New Roman" w:cs="Times New Roman"/>
                <w:color w:val="000000" w:themeColor="text1"/>
                <w:sz w:val="24"/>
                <w:szCs w:val="24"/>
              </w:rPr>
              <w:t xml:space="preserve">adaptarlo a las nuevas tarifas que empezarían a regir en el Distrito Capital. </w:t>
            </w:r>
          </w:p>
          <w:p w14:paraId="77CE3A26" w14:textId="5D3BB9A1" w:rsidR="60A30B04" w:rsidRPr="009D74A3" w:rsidRDefault="60A30B04" w:rsidP="008B29A2">
            <w:pPr>
              <w:contextualSpacing/>
              <w:jc w:val="both"/>
              <w:rPr>
                <w:rFonts w:ascii="Times New Roman" w:eastAsia="Times New Roman" w:hAnsi="Times New Roman" w:cs="Times New Roman"/>
                <w:color w:val="000000" w:themeColor="text1"/>
                <w:sz w:val="24"/>
                <w:szCs w:val="24"/>
              </w:rPr>
            </w:pPr>
          </w:p>
          <w:p w14:paraId="555DF5A4" w14:textId="438AF96C" w:rsidR="7180E3D9" w:rsidRPr="009D74A3" w:rsidRDefault="7180E3D9" w:rsidP="008B29A2">
            <w:pPr>
              <w:contextualSpacing/>
              <w:jc w:val="both"/>
              <w:rPr>
                <w:rFonts w:ascii="Times New Roman" w:eastAsia="Times New Roman" w:hAnsi="Times New Roman" w:cs="Times New Roman"/>
                <w:b/>
                <w:bCs/>
                <w:sz w:val="24"/>
                <w:szCs w:val="24"/>
              </w:rPr>
            </w:pPr>
            <w:r w:rsidRPr="009D74A3">
              <w:rPr>
                <w:rFonts w:ascii="Times New Roman" w:eastAsia="Times New Roman" w:hAnsi="Times New Roman" w:cs="Times New Roman"/>
                <w:b/>
                <w:bCs/>
                <w:sz w:val="24"/>
                <w:szCs w:val="24"/>
              </w:rPr>
              <w:t>Sobretasa bomberil</w:t>
            </w:r>
          </w:p>
          <w:p w14:paraId="6AC41DF2" w14:textId="69581EDF" w:rsidR="60A30B04" w:rsidRPr="009D74A3" w:rsidRDefault="60A30B04" w:rsidP="008B29A2">
            <w:pPr>
              <w:contextualSpacing/>
              <w:jc w:val="both"/>
              <w:rPr>
                <w:rFonts w:ascii="Times New Roman" w:eastAsia="Times New Roman" w:hAnsi="Times New Roman" w:cs="Times New Roman"/>
                <w:b/>
                <w:bCs/>
                <w:sz w:val="24"/>
                <w:szCs w:val="24"/>
              </w:rPr>
            </w:pPr>
          </w:p>
          <w:p w14:paraId="023D4D0A" w14:textId="5154B8A9" w:rsidR="7180E3D9" w:rsidRPr="009D74A3" w:rsidRDefault="7180E3D9" w:rsidP="404A07B1">
            <w:pPr>
              <w:contextualSpacing/>
              <w:jc w:val="both"/>
              <w:rPr>
                <w:rFonts w:ascii="Times New Roman" w:eastAsia="Times New Roman" w:hAnsi="Times New Roman" w:cs="Times New Roman"/>
                <w:sz w:val="24"/>
                <w:szCs w:val="24"/>
              </w:rPr>
            </w:pPr>
            <w:r w:rsidRPr="009D74A3">
              <w:rPr>
                <w:rFonts w:ascii="Times New Roman" w:eastAsia="Times New Roman" w:hAnsi="Times New Roman" w:cs="Times New Roman"/>
                <w:sz w:val="24"/>
                <w:szCs w:val="24"/>
              </w:rPr>
              <w:t xml:space="preserve">El artículo 3° modifica el sujeto pasivo de la sobretasa bomberil, con el fin de </w:t>
            </w:r>
            <w:r w:rsidR="009D74A3">
              <w:rPr>
                <w:rFonts w:ascii="Times New Roman" w:eastAsia="Times New Roman" w:hAnsi="Times New Roman" w:cs="Times New Roman"/>
                <w:sz w:val="24"/>
                <w:szCs w:val="24"/>
              </w:rPr>
              <w:t>aclarar el periodo en el que se causan los ingresos determinantes para la liquidación del tributo</w:t>
            </w:r>
            <w:r w:rsidR="00947D61">
              <w:rPr>
                <w:rFonts w:ascii="Times New Roman" w:eastAsia="Times New Roman" w:hAnsi="Times New Roman" w:cs="Times New Roman"/>
                <w:sz w:val="24"/>
                <w:szCs w:val="24"/>
              </w:rPr>
              <w:t>, dado que corresponden al valor mínimo de ingresos gravables anuales que como mínimo obtienen los contribuyentes que aportan el 90% del recaudo del ICA</w:t>
            </w:r>
            <w:r w:rsidR="00947D61">
              <w:rPr>
                <w:rStyle w:val="Refdenotaalpie"/>
                <w:rFonts w:ascii="Times New Roman" w:eastAsia="Times New Roman" w:hAnsi="Times New Roman" w:cs="Times New Roman"/>
                <w:sz w:val="24"/>
                <w:szCs w:val="24"/>
              </w:rPr>
              <w:footnoteReference w:id="38"/>
            </w:r>
            <w:r w:rsidR="009D74A3">
              <w:rPr>
                <w:rFonts w:ascii="Times New Roman" w:eastAsia="Times New Roman" w:hAnsi="Times New Roman" w:cs="Times New Roman"/>
                <w:sz w:val="24"/>
                <w:szCs w:val="24"/>
              </w:rPr>
              <w:t xml:space="preserve">. </w:t>
            </w:r>
            <w:r w:rsidR="712CF6F5" w:rsidRPr="009D74A3">
              <w:rPr>
                <w:rFonts w:ascii="Times New Roman" w:eastAsia="Times New Roman" w:hAnsi="Times New Roman" w:cs="Times New Roman"/>
                <w:sz w:val="24"/>
                <w:szCs w:val="24"/>
              </w:rPr>
              <w:t>E</w:t>
            </w:r>
            <w:r w:rsidR="2D19231C" w:rsidRPr="009D74A3">
              <w:rPr>
                <w:rFonts w:ascii="Times New Roman" w:eastAsia="Times New Roman" w:hAnsi="Times New Roman" w:cs="Times New Roman"/>
                <w:sz w:val="24"/>
                <w:szCs w:val="24"/>
              </w:rPr>
              <w:t xml:space="preserve">l artículo 4° </w:t>
            </w:r>
            <w:r w:rsidR="009D74A3">
              <w:rPr>
                <w:rFonts w:ascii="Times New Roman" w:eastAsia="Times New Roman" w:hAnsi="Times New Roman" w:cs="Times New Roman"/>
                <w:sz w:val="24"/>
                <w:szCs w:val="24"/>
              </w:rPr>
              <w:t>actualiza las reglas de</w:t>
            </w:r>
            <w:r w:rsidR="2D19231C" w:rsidRPr="009D74A3">
              <w:rPr>
                <w:rFonts w:ascii="Times New Roman" w:eastAsia="Times New Roman" w:hAnsi="Times New Roman" w:cs="Times New Roman"/>
                <w:sz w:val="24"/>
                <w:szCs w:val="24"/>
              </w:rPr>
              <w:t xml:space="preserve"> declaración y pago de la sobretasa</w:t>
            </w:r>
            <w:r w:rsidR="00E17CEB">
              <w:rPr>
                <w:rFonts w:ascii="Times New Roman" w:eastAsia="Times New Roman" w:hAnsi="Times New Roman" w:cs="Times New Roman"/>
                <w:sz w:val="24"/>
                <w:szCs w:val="24"/>
              </w:rPr>
              <w:t>,</w:t>
            </w:r>
            <w:r w:rsidR="00E17CEB" w:rsidRPr="1C809079">
              <w:rPr>
                <w:rFonts w:ascii="Times New Roman" w:eastAsia="Times New Roman" w:hAnsi="Times New Roman" w:cs="Times New Roman"/>
                <w:sz w:val="24"/>
                <w:szCs w:val="24"/>
              </w:rPr>
              <w:t xml:space="preserve"> sin perjuicio de que el contribuyente pueda acudir al procedimiento de devolución señalado en los artículos 144 y siguientes del Decreto Distrital 807 de 1993.</w:t>
            </w:r>
            <w:r w:rsidR="00716567" w:rsidRPr="009D74A3">
              <w:rPr>
                <w:rFonts w:ascii="Times New Roman" w:eastAsia="Times New Roman" w:hAnsi="Times New Roman" w:cs="Times New Roman"/>
                <w:sz w:val="24"/>
                <w:szCs w:val="24"/>
              </w:rPr>
              <w:t xml:space="preserve"> </w:t>
            </w:r>
          </w:p>
          <w:p w14:paraId="2E3B0B6D" w14:textId="77777777" w:rsidR="003A7E0E" w:rsidRPr="009D74A3" w:rsidRDefault="003A7E0E" w:rsidP="008B29A2">
            <w:pPr>
              <w:contextualSpacing/>
              <w:jc w:val="both"/>
              <w:rPr>
                <w:rFonts w:ascii="Times New Roman" w:eastAsia="Times New Roman" w:hAnsi="Times New Roman" w:cs="Times New Roman"/>
                <w:color w:val="000000" w:themeColor="text1"/>
                <w:sz w:val="24"/>
                <w:szCs w:val="24"/>
              </w:rPr>
            </w:pPr>
          </w:p>
          <w:p w14:paraId="1C1813C0" w14:textId="71BD2810" w:rsidR="003A7E0E" w:rsidRPr="009D74A3" w:rsidRDefault="34D4CF8C" w:rsidP="008B29A2">
            <w:pPr>
              <w:contextualSpacing/>
              <w:jc w:val="both"/>
              <w:rPr>
                <w:rFonts w:ascii="Times New Roman" w:eastAsia="Times New Roman" w:hAnsi="Times New Roman" w:cs="Times New Roman"/>
                <w:b/>
                <w:bCs/>
                <w:color w:val="000000" w:themeColor="text1"/>
                <w:sz w:val="24"/>
                <w:szCs w:val="24"/>
              </w:rPr>
            </w:pPr>
            <w:r w:rsidRPr="009D74A3">
              <w:rPr>
                <w:rFonts w:ascii="Times New Roman" w:eastAsia="Times New Roman" w:hAnsi="Times New Roman" w:cs="Times New Roman"/>
                <w:b/>
                <w:bCs/>
                <w:sz w:val="24"/>
                <w:szCs w:val="24"/>
              </w:rPr>
              <w:t>Tarifa SIMPLE</w:t>
            </w:r>
          </w:p>
          <w:p w14:paraId="32701F09" w14:textId="0CD862B2" w:rsidR="003A7E0E" w:rsidRPr="009D74A3" w:rsidRDefault="003A7E0E" w:rsidP="008B29A2">
            <w:pPr>
              <w:contextualSpacing/>
              <w:jc w:val="both"/>
              <w:rPr>
                <w:rFonts w:ascii="Times New Roman" w:eastAsia="Times New Roman" w:hAnsi="Times New Roman" w:cs="Times New Roman"/>
                <w:color w:val="000000" w:themeColor="text1"/>
                <w:sz w:val="24"/>
                <w:szCs w:val="24"/>
              </w:rPr>
            </w:pPr>
          </w:p>
          <w:p w14:paraId="1323A79F" w14:textId="4BC3BF77" w:rsidR="003A7E0E" w:rsidRPr="009D74A3" w:rsidRDefault="34D4CF8C" w:rsidP="008B29A2">
            <w:pPr>
              <w:contextualSpacing/>
              <w:jc w:val="both"/>
              <w:rPr>
                <w:rFonts w:ascii="Times New Roman" w:eastAsia="Times New Roman" w:hAnsi="Times New Roman" w:cs="Times New Roman"/>
                <w:color w:val="000000" w:themeColor="text1"/>
                <w:sz w:val="24"/>
                <w:szCs w:val="24"/>
              </w:rPr>
            </w:pPr>
            <w:r w:rsidRPr="009D74A3">
              <w:rPr>
                <w:rFonts w:ascii="Times New Roman" w:eastAsia="Times New Roman" w:hAnsi="Times New Roman" w:cs="Times New Roman"/>
                <w:color w:val="000000" w:themeColor="text1"/>
                <w:sz w:val="24"/>
                <w:szCs w:val="24"/>
              </w:rPr>
              <w:t xml:space="preserve">Con el </w:t>
            </w:r>
            <w:r w:rsidR="008E083A">
              <w:rPr>
                <w:rFonts w:ascii="Times New Roman" w:eastAsia="Times New Roman" w:hAnsi="Times New Roman" w:cs="Times New Roman"/>
                <w:color w:val="000000" w:themeColor="text1"/>
                <w:sz w:val="24"/>
                <w:szCs w:val="24"/>
              </w:rPr>
              <w:t>objetivo</w:t>
            </w:r>
            <w:r w:rsidRPr="009D74A3">
              <w:rPr>
                <w:rFonts w:ascii="Times New Roman" w:eastAsia="Times New Roman" w:hAnsi="Times New Roman" w:cs="Times New Roman"/>
                <w:color w:val="000000" w:themeColor="text1"/>
                <w:sz w:val="24"/>
                <w:szCs w:val="24"/>
              </w:rPr>
              <w:t xml:space="preserve"> de </w:t>
            </w:r>
            <w:r w:rsidR="00716567" w:rsidRPr="009D74A3">
              <w:rPr>
                <w:rFonts w:ascii="Times New Roman" w:eastAsia="Times New Roman" w:hAnsi="Times New Roman" w:cs="Times New Roman"/>
                <w:color w:val="000000" w:themeColor="text1"/>
                <w:sz w:val="24"/>
                <w:szCs w:val="24"/>
              </w:rPr>
              <w:t>fortalecer</w:t>
            </w:r>
            <w:r w:rsidRPr="009D74A3">
              <w:rPr>
                <w:rFonts w:ascii="Times New Roman" w:eastAsia="Times New Roman" w:hAnsi="Times New Roman" w:cs="Times New Roman"/>
                <w:color w:val="000000" w:themeColor="text1"/>
                <w:sz w:val="24"/>
                <w:szCs w:val="24"/>
              </w:rPr>
              <w:t xml:space="preserve"> el recaudo que transfiere la DIAN al Distrito por el impuesto de industria y comercio en el </w:t>
            </w:r>
            <w:r w:rsidR="3FF590F5" w:rsidRPr="009D74A3">
              <w:rPr>
                <w:rFonts w:ascii="Times New Roman" w:eastAsia="Times New Roman" w:hAnsi="Times New Roman" w:cs="Times New Roman"/>
                <w:color w:val="000000" w:themeColor="text1"/>
                <w:sz w:val="24"/>
                <w:szCs w:val="24"/>
              </w:rPr>
              <w:t>Régimen</w:t>
            </w:r>
            <w:r w:rsidRPr="009D74A3">
              <w:rPr>
                <w:rFonts w:ascii="Times New Roman" w:eastAsia="Times New Roman" w:hAnsi="Times New Roman" w:cs="Times New Roman"/>
                <w:color w:val="000000" w:themeColor="text1"/>
                <w:sz w:val="24"/>
                <w:szCs w:val="24"/>
              </w:rPr>
              <w:t xml:space="preserve"> Simple de Tributación, </w:t>
            </w:r>
            <w:r w:rsidR="02FD8945" w:rsidRPr="009D74A3">
              <w:rPr>
                <w:rFonts w:ascii="Times New Roman" w:eastAsia="Times New Roman" w:hAnsi="Times New Roman" w:cs="Times New Roman"/>
                <w:color w:val="000000" w:themeColor="text1"/>
                <w:sz w:val="24"/>
                <w:szCs w:val="24"/>
              </w:rPr>
              <w:t xml:space="preserve">el artículo </w:t>
            </w:r>
            <w:r w:rsidR="3C2915CF" w:rsidRPr="009D74A3">
              <w:rPr>
                <w:rFonts w:ascii="Times New Roman" w:eastAsia="Times New Roman" w:hAnsi="Times New Roman" w:cs="Times New Roman"/>
                <w:color w:val="000000" w:themeColor="text1"/>
                <w:sz w:val="24"/>
                <w:szCs w:val="24"/>
              </w:rPr>
              <w:t>5</w:t>
            </w:r>
            <w:r w:rsidR="02FD8945" w:rsidRPr="009D74A3">
              <w:rPr>
                <w:rFonts w:ascii="Times New Roman" w:eastAsia="Times New Roman" w:hAnsi="Times New Roman" w:cs="Times New Roman"/>
                <w:color w:val="000000" w:themeColor="text1"/>
                <w:sz w:val="24"/>
                <w:szCs w:val="24"/>
              </w:rPr>
              <w:t>º</w:t>
            </w:r>
            <w:r w:rsidRPr="009D74A3">
              <w:rPr>
                <w:rFonts w:ascii="Times New Roman" w:eastAsia="Times New Roman" w:hAnsi="Times New Roman" w:cs="Times New Roman"/>
                <w:color w:val="000000" w:themeColor="text1"/>
                <w:sz w:val="24"/>
                <w:szCs w:val="24"/>
              </w:rPr>
              <w:t xml:space="preserve"> modifica la</w:t>
            </w:r>
            <w:r w:rsidR="2D173F65" w:rsidRPr="009D74A3">
              <w:rPr>
                <w:rFonts w:ascii="Times New Roman" w:eastAsia="Times New Roman" w:hAnsi="Times New Roman" w:cs="Times New Roman"/>
                <w:color w:val="000000" w:themeColor="text1"/>
                <w:sz w:val="24"/>
                <w:szCs w:val="24"/>
              </w:rPr>
              <w:t>s</w:t>
            </w:r>
            <w:r w:rsidRPr="009D74A3">
              <w:rPr>
                <w:rFonts w:ascii="Times New Roman" w:eastAsia="Times New Roman" w:hAnsi="Times New Roman" w:cs="Times New Roman"/>
                <w:color w:val="000000" w:themeColor="text1"/>
                <w:sz w:val="24"/>
                <w:szCs w:val="24"/>
              </w:rPr>
              <w:t xml:space="preserve"> tarifa</w:t>
            </w:r>
            <w:r w:rsidR="63049EC6" w:rsidRPr="009D74A3">
              <w:rPr>
                <w:rFonts w:ascii="Times New Roman" w:eastAsia="Times New Roman" w:hAnsi="Times New Roman" w:cs="Times New Roman"/>
                <w:color w:val="000000" w:themeColor="text1"/>
                <w:sz w:val="24"/>
                <w:szCs w:val="24"/>
              </w:rPr>
              <w:t>s</w:t>
            </w:r>
            <w:r w:rsidRPr="009D74A3">
              <w:rPr>
                <w:rFonts w:ascii="Times New Roman" w:eastAsia="Times New Roman" w:hAnsi="Times New Roman" w:cs="Times New Roman"/>
                <w:color w:val="000000" w:themeColor="text1"/>
                <w:sz w:val="24"/>
                <w:szCs w:val="24"/>
              </w:rPr>
              <w:t xml:space="preserve"> consolidada</w:t>
            </w:r>
            <w:r w:rsidR="5DF5C53C" w:rsidRPr="009D74A3">
              <w:rPr>
                <w:rFonts w:ascii="Times New Roman" w:eastAsia="Times New Roman" w:hAnsi="Times New Roman" w:cs="Times New Roman"/>
                <w:color w:val="000000" w:themeColor="text1"/>
                <w:sz w:val="24"/>
                <w:szCs w:val="24"/>
              </w:rPr>
              <w:t>s que habían sido adoptadas en el Distrito Capital.</w:t>
            </w:r>
          </w:p>
          <w:p w14:paraId="7E4ABF87" w14:textId="2BA03D25" w:rsidR="404A07B1" w:rsidRPr="009D74A3" w:rsidRDefault="404A07B1" w:rsidP="404A07B1">
            <w:pPr>
              <w:contextualSpacing/>
              <w:jc w:val="both"/>
              <w:rPr>
                <w:rFonts w:ascii="Times New Roman" w:eastAsia="Times New Roman" w:hAnsi="Times New Roman" w:cs="Times New Roman"/>
                <w:color w:val="000000" w:themeColor="text1"/>
                <w:sz w:val="24"/>
                <w:szCs w:val="24"/>
              </w:rPr>
            </w:pPr>
          </w:p>
          <w:p w14:paraId="3322FCC9" w14:textId="7C245400" w:rsidR="003A7E0E" w:rsidRPr="009D74A3" w:rsidRDefault="01D2DD81" w:rsidP="008B29A2">
            <w:pPr>
              <w:contextualSpacing/>
              <w:jc w:val="both"/>
              <w:rPr>
                <w:rFonts w:ascii="Times New Roman" w:eastAsia="Times New Roman" w:hAnsi="Times New Roman" w:cs="Times New Roman"/>
                <w:b/>
                <w:bCs/>
                <w:color w:val="000000" w:themeColor="text1"/>
                <w:sz w:val="24"/>
                <w:szCs w:val="24"/>
              </w:rPr>
            </w:pPr>
            <w:r w:rsidRPr="009D74A3">
              <w:rPr>
                <w:rFonts w:ascii="Times New Roman" w:eastAsia="Times New Roman" w:hAnsi="Times New Roman" w:cs="Times New Roman"/>
                <w:b/>
                <w:bCs/>
                <w:color w:val="000000" w:themeColor="text1"/>
                <w:sz w:val="24"/>
                <w:szCs w:val="24"/>
              </w:rPr>
              <w:t>Presunciones y r</w:t>
            </w:r>
            <w:r w:rsidR="3C77AA41" w:rsidRPr="009D74A3">
              <w:rPr>
                <w:rFonts w:ascii="Times New Roman" w:eastAsia="Times New Roman" w:hAnsi="Times New Roman" w:cs="Times New Roman"/>
                <w:b/>
                <w:bCs/>
                <w:color w:val="000000" w:themeColor="text1"/>
                <w:sz w:val="24"/>
                <w:szCs w:val="24"/>
              </w:rPr>
              <w:t>eglas de territorialidad en el impuesto de industria y comercio</w:t>
            </w:r>
          </w:p>
          <w:p w14:paraId="5789536A" w14:textId="05F40291" w:rsidR="4CDD974B" w:rsidRPr="009D74A3" w:rsidRDefault="4CDD974B" w:rsidP="008B29A2">
            <w:pPr>
              <w:contextualSpacing/>
              <w:jc w:val="both"/>
              <w:rPr>
                <w:rFonts w:ascii="Times New Roman" w:eastAsia="Times New Roman" w:hAnsi="Times New Roman" w:cs="Times New Roman"/>
                <w:b/>
                <w:bCs/>
                <w:color w:val="000000" w:themeColor="text1"/>
                <w:sz w:val="24"/>
                <w:szCs w:val="24"/>
              </w:rPr>
            </w:pPr>
          </w:p>
          <w:p w14:paraId="494D3903" w14:textId="5F92303A" w:rsidR="003A7E0E" w:rsidRPr="009D74A3" w:rsidRDefault="00197C6D" w:rsidP="008B29A2">
            <w:pPr>
              <w:contextualSpacing/>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Para</w:t>
            </w:r>
            <w:r w:rsidR="3C77AA41" w:rsidRPr="009D74A3">
              <w:rPr>
                <w:rFonts w:ascii="Times New Roman" w:eastAsia="Times New Roman" w:hAnsi="Times New Roman" w:cs="Times New Roman"/>
                <w:color w:val="000000" w:themeColor="text1"/>
                <w:sz w:val="24"/>
                <w:szCs w:val="24"/>
              </w:rPr>
              <w:t xml:space="preserve"> facilitar a los contribuyentes del Distrito Capital el cumplimiento de sus obligaciones </w:t>
            </w:r>
            <w:r w:rsidR="0D0B6C8A" w:rsidRPr="009D74A3">
              <w:rPr>
                <w:rFonts w:ascii="Times New Roman" w:eastAsia="Times New Roman" w:hAnsi="Times New Roman" w:cs="Times New Roman"/>
                <w:color w:val="000000" w:themeColor="text1"/>
                <w:sz w:val="24"/>
                <w:szCs w:val="24"/>
              </w:rPr>
              <w:t>tributarias, el</w:t>
            </w:r>
            <w:r w:rsidR="65EE76CB" w:rsidRPr="009D74A3">
              <w:rPr>
                <w:rFonts w:ascii="Times New Roman" w:eastAsia="Times New Roman" w:hAnsi="Times New Roman" w:cs="Times New Roman"/>
                <w:color w:val="000000" w:themeColor="text1"/>
                <w:sz w:val="24"/>
                <w:szCs w:val="24"/>
              </w:rPr>
              <w:t xml:space="preserve"> </w:t>
            </w:r>
            <w:r w:rsidR="7922C89B" w:rsidRPr="009D74A3">
              <w:rPr>
                <w:rFonts w:ascii="Times New Roman" w:eastAsia="Times New Roman" w:hAnsi="Times New Roman" w:cs="Times New Roman"/>
                <w:color w:val="000000" w:themeColor="text1"/>
                <w:sz w:val="24"/>
                <w:szCs w:val="24"/>
              </w:rPr>
              <w:t>artículo</w:t>
            </w:r>
            <w:r w:rsidR="35F94C47" w:rsidRPr="009D74A3">
              <w:rPr>
                <w:rFonts w:ascii="Times New Roman" w:eastAsia="Times New Roman" w:hAnsi="Times New Roman" w:cs="Times New Roman"/>
                <w:color w:val="000000" w:themeColor="text1"/>
                <w:sz w:val="24"/>
                <w:szCs w:val="24"/>
              </w:rPr>
              <w:t xml:space="preserve"> </w:t>
            </w:r>
            <w:r w:rsidR="54583179" w:rsidRPr="009D74A3">
              <w:rPr>
                <w:rFonts w:ascii="Times New Roman" w:eastAsia="Times New Roman" w:hAnsi="Times New Roman" w:cs="Times New Roman"/>
                <w:color w:val="000000" w:themeColor="text1"/>
                <w:sz w:val="24"/>
                <w:szCs w:val="24"/>
              </w:rPr>
              <w:t>6</w:t>
            </w:r>
            <w:r w:rsidR="65EE76CB" w:rsidRPr="009D74A3">
              <w:rPr>
                <w:rFonts w:ascii="Times New Roman" w:eastAsia="Times New Roman" w:hAnsi="Times New Roman" w:cs="Times New Roman"/>
                <w:color w:val="000000" w:themeColor="text1"/>
                <w:sz w:val="24"/>
                <w:szCs w:val="24"/>
              </w:rPr>
              <w:t>º</w:t>
            </w:r>
            <w:r w:rsidR="3C77AA41" w:rsidRPr="009D74A3">
              <w:rPr>
                <w:rFonts w:ascii="Times New Roman" w:eastAsia="Times New Roman" w:hAnsi="Times New Roman" w:cs="Times New Roman"/>
                <w:color w:val="000000" w:themeColor="text1"/>
                <w:sz w:val="24"/>
                <w:szCs w:val="24"/>
              </w:rPr>
              <w:t xml:space="preserve"> incorpora de forma expresa</w:t>
            </w:r>
            <w:r w:rsidR="6BF977B3" w:rsidRPr="009D74A3">
              <w:rPr>
                <w:rFonts w:ascii="Times New Roman" w:eastAsia="Times New Roman" w:hAnsi="Times New Roman" w:cs="Times New Roman"/>
                <w:color w:val="000000" w:themeColor="text1"/>
                <w:sz w:val="24"/>
                <w:szCs w:val="24"/>
              </w:rPr>
              <w:t xml:space="preserve"> la presunción de percepción de ingresos señalada en el artículo 154 del Decreto </w:t>
            </w:r>
            <w:r w:rsidR="00E97B69">
              <w:rPr>
                <w:rFonts w:ascii="Times New Roman" w:eastAsia="Times New Roman" w:hAnsi="Times New Roman" w:cs="Times New Roman"/>
                <w:color w:val="000000" w:themeColor="text1"/>
                <w:sz w:val="24"/>
                <w:szCs w:val="24"/>
              </w:rPr>
              <w:t xml:space="preserve">Ley </w:t>
            </w:r>
            <w:r w:rsidR="6BF977B3" w:rsidRPr="009D74A3">
              <w:rPr>
                <w:rFonts w:ascii="Times New Roman" w:eastAsia="Times New Roman" w:hAnsi="Times New Roman" w:cs="Times New Roman"/>
                <w:color w:val="000000" w:themeColor="text1"/>
                <w:sz w:val="24"/>
                <w:szCs w:val="24"/>
              </w:rPr>
              <w:t xml:space="preserve">1421 de 1993 a favor de Bogotá. Por su parte, el artículo </w:t>
            </w:r>
            <w:r w:rsidR="186910C4" w:rsidRPr="009D74A3">
              <w:rPr>
                <w:rFonts w:ascii="Times New Roman" w:eastAsia="Times New Roman" w:hAnsi="Times New Roman" w:cs="Times New Roman"/>
                <w:color w:val="000000" w:themeColor="text1"/>
                <w:sz w:val="24"/>
                <w:szCs w:val="24"/>
              </w:rPr>
              <w:t>7</w:t>
            </w:r>
            <w:r w:rsidR="6BF977B3" w:rsidRPr="009D74A3">
              <w:rPr>
                <w:rFonts w:ascii="Times New Roman" w:eastAsia="Times New Roman" w:hAnsi="Times New Roman" w:cs="Times New Roman"/>
                <w:color w:val="000000" w:themeColor="text1"/>
                <w:sz w:val="24"/>
                <w:szCs w:val="24"/>
              </w:rPr>
              <w:t xml:space="preserve">° </w:t>
            </w:r>
            <w:r w:rsidR="4AA01A52" w:rsidRPr="009D74A3">
              <w:rPr>
                <w:rFonts w:ascii="Times New Roman" w:eastAsia="Times New Roman" w:hAnsi="Times New Roman" w:cs="Times New Roman"/>
                <w:color w:val="000000" w:themeColor="text1"/>
                <w:sz w:val="24"/>
                <w:szCs w:val="24"/>
              </w:rPr>
              <w:t>señala las</w:t>
            </w:r>
            <w:r w:rsidR="3C77AA41" w:rsidRPr="009D74A3">
              <w:rPr>
                <w:rFonts w:ascii="Times New Roman" w:eastAsia="Times New Roman" w:hAnsi="Times New Roman" w:cs="Times New Roman"/>
                <w:color w:val="000000" w:themeColor="text1"/>
                <w:sz w:val="24"/>
                <w:szCs w:val="24"/>
              </w:rPr>
              <w:t xml:space="preserve"> reglas de territorialidad del </w:t>
            </w:r>
            <w:r w:rsidR="0BEEA12D" w:rsidRPr="009D74A3">
              <w:rPr>
                <w:rFonts w:ascii="Times New Roman" w:eastAsia="Times New Roman" w:hAnsi="Times New Roman" w:cs="Times New Roman"/>
                <w:color w:val="000000" w:themeColor="text1"/>
                <w:sz w:val="24"/>
                <w:szCs w:val="24"/>
              </w:rPr>
              <w:t>artículo</w:t>
            </w:r>
            <w:r w:rsidR="3C77AA41" w:rsidRPr="009D74A3">
              <w:rPr>
                <w:rFonts w:ascii="Times New Roman" w:eastAsia="Times New Roman" w:hAnsi="Times New Roman" w:cs="Times New Roman"/>
                <w:color w:val="000000" w:themeColor="text1"/>
                <w:sz w:val="24"/>
                <w:szCs w:val="24"/>
              </w:rPr>
              <w:t xml:space="preserve"> 343 de la Ley 1819 de 2016 </w:t>
            </w:r>
            <w:r w:rsidR="29EACE71" w:rsidRPr="009D74A3">
              <w:rPr>
                <w:rFonts w:ascii="Times New Roman" w:eastAsia="Times New Roman" w:hAnsi="Times New Roman" w:cs="Times New Roman"/>
                <w:color w:val="000000" w:themeColor="text1"/>
                <w:sz w:val="24"/>
                <w:szCs w:val="24"/>
              </w:rPr>
              <w:t>y precisa</w:t>
            </w:r>
            <w:r w:rsidR="3C77AA41" w:rsidRPr="009D74A3">
              <w:rPr>
                <w:rFonts w:ascii="Times New Roman" w:eastAsia="Times New Roman" w:hAnsi="Times New Roman" w:cs="Times New Roman"/>
                <w:color w:val="000000" w:themeColor="text1"/>
                <w:sz w:val="24"/>
                <w:szCs w:val="24"/>
              </w:rPr>
              <w:t xml:space="preserve"> </w:t>
            </w:r>
            <w:r w:rsidR="29A07554" w:rsidRPr="009D74A3">
              <w:rPr>
                <w:rFonts w:ascii="Times New Roman" w:eastAsia="Times New Roman" w:hAnsi="Times New Roman" w:cs="Times New Roman"/>
                <w:color w:val="000000" w:themeColor="text1"/>
                <w:sz w:val="24"/>
                <w:szCs w:val="24"/>
              </w:rPr>
              <w:t>qué</w:t>
            </w:r>
            <w:r w:rsidR="3C77AA41" w:rsidRPr="009D74A3">
              <w:rPr>
                <w:rFonts w:ascii="Times New Roman" w:eastAsia="Times New Roman" w:hAnsi="Times New Roman" w:cs="Times New Roman"/>
                <w:color w:val="000000" w:themeColor="text1"/>
                <w:sz w:val="24"/>
                <w:szCs w:val="24"/>
              </w:rPr>
              <w:t xml:space="preserve"> se entiende por actividades de serv</w:t>
            </w:r>
            <w:r w:rsidR="2F5186A9" w:rsidRPr="009D74A3">
              <w:rPr>
                <w:rFonts w:ascii="Times New Roman" w:eastAsia="Times New Roman" w:hAnsi="Times New Roman" w:cs="Times New Roman"/>
                <w:color w:val="000000" w:themeColor="text1"/>
                <w:sz w:val="24"/>
                <w:szCs w:val="24"/>
              </w:rPr>
              <w:t>icios digitales.</w:t>
            </w:r>
          </w:p>
          <w:p w14:paraId="5D54D6A4" w14:textId="1FABD32F" w:rsidR="404A07B1" w:rsidRPr="009D74A3" w:rsidRDefault="404A07B1" w:rsidP="404A07B1">
            <w:pPr>
              <w:contextualSpacing/>
              <w:jc w:val="both"/>
              <w:rPr>
                <w:rFonts w:ascii="Times New Roman" w:eastAsia="Times New Roman" w:hAnsi="Times New Roman" w:cs="Times New Roman"/>
                <w:color w:val="000000" w:themeColor="text1"/>
                <w:sz w:val="24"/>
                <w:szCs w:val="24"/>
              </w:rPr>
            </w:pPr>
          </w:p>
          <w:p w14:paraId="678167FC" w14:textId="59FCA5B1" w:rsidR="70C57AD5" w:rsidRPr="009D74A3" w:rsidRDefault="70C57AD5" w:rsidP="404A07B1">
            <w:pPr>
              <w:contextualSpacing/>
              <w:jc w:val="both"/>
              <w:rPr>
                <w:rFonts w:ascii="Times New Roman" w:eastAsia="Times New Roman" w:hAnsi="Times New Roman" w:cs="Times New Roman"/>
                <w:color w:val="000000" w:themeColor="text1"/>
                <w:sz w:val="24"/>
                <w:szCs w:val="24"/>
              </w:rPr>
            </w:pPr>
            <w:r w:rsidRPr="009D74A3">
              <w:rPr>
                <w:rFonts w:ascii="Times New Roman" w:eastAsia="Times New Roman" w:hAnsi="Times New Roman" w:cs="Times New Roman"/>
                <w:color w:val="000000" w:themeColor="text1"/>
                <w:sz w:val="24"/>
                <w:szCs w:val="24"/>
              </w:rPr>
              <w:t>E</w:t>
            </w:r>
            <w:r w:rsidR="004A267E">
              <w:rPr>
                <w:rFonts w:ascii="Times New Roman" w:eastAsia="Times New Roman" w:hAnsi="Times New Roman" w:cs="Times New Roman"/>
                <w:color w:val="000000" w:themeColor="text1"/>
                <w:sz w:val="24"/>
                <w:szCs w:val="24"/>
              </w:rPr>
              <w:t>n</w:t>
            </w:r>
            <w:r w:rsidRPr="009D74A3">
              <w:rPr>
                <w:rFonts w:ascii="Times New Roman" w:eastAsia="Times New Roman" w:hAnsi="Times New Roman" w:cs="Times New Roman"/>
                <w:color w:val="000000" w:themeColor="text1"/>
                <w:sz w:val="24"/>
                <w:szCs w:val="24"/>
              </w:rPr>
              <w:t xml:space="preserve"> adición a lo anterior, el artículo 8° modifica los artículos 15 y 16 del Acuerdo 65 de 2002 con el fin de actualizar los agentes y sujetos de retención de ICA.</w:t>
            </w:r>
          </w:p>
          <w:p w14:paraId="68FBB200" w14:textId="6A6BE840" w:rsidR="003A7E0E" w:rsidRPr="009D74A3" w:rsidRDefault="003A7E0E" w:rsidP="008B29A2">
            <w:pPr>
              <w:contextualSpacing/>
              <w:jc w:val="both"/>
              <w:rPr>
                <w:rFonts w:ascii="Times New Roman" w:eastAsia="Times New Roman" w:hAnsi="Times New Roman" w:cs="Times New Roman"/>
                <w:color w:val="000000" w:themeColor="text1"/>
                <w:sz w:val="24"/>
                <w:szCs w:val="24"/>
              </w:rPr>
            </w:pPr>
          </w:p>
          <w:p w14:paraId="28E2F065" w14:textId="571549C4" w:rsidR="003A7E0E" w:rsidRPr="009D74A3" w:rsidRDefault="4A452C36" w:rsidP="008B29A2">
            <w:pPr>
              <w:contextualSpacing/>
              <w:jc w:val="both"/>
              <w:rPr>
                <w:rFonts w:ascii="Times New Roman" w:eastAsia="Times New Roman" w:hAnsi="Times New Roman" w:cs="Times New Roman"/>
                <w:b/>
                <w:bCs/>
                <w:color w:val="000000" w:themeColor="text1"/>
                <w:sz w:val="24"/>
                <w:szCs w:val="24"/>
              </w:rPr>
            </w:pPr>
            <w:r w:rsidRPr="009D74A3">
              <w:rPr>
                <w:rFonts w:ascii="Times New Roman" w:eastAsia="Times New Roman" w:hAnsi="Times New Roman" w:cs="Times New Roman"/>
                <w:b/>
                <w:bCs/>
                <w:color w:val="000000" w:themeColor="text1"/>
                <w:sz w:val="24"/>
                <w:szCs w:val="24"/>
              </w:rPr>
              <w:t>Tarifas</w:t>
            </w:r>
            <w:r w:rsidR="009D74A3">
              <w:rPr>
                <w:rFonts w:ascii="Times New Roman" w:eastAsia="Times New Roman" w:hAnsi="Times New Roman" w:cs="Times New Roman"/>
                <w:b/>
                <w:bCs/>
                <w:color w:val="000000" w:themeColor="text1"/>
                <w:sz w:val="24"/>
                <w:szCs w:val="24"/>
              </w:rPr>
              <w:t xml:space="preserve"> y límites</w:t>
            </w:r>
            <w:r w:rsidRPr="009D74A3">
              <w:rPr>
                <w:rFonts w:ascii="Times New Roman" w:eastAsia="Times New Roman" w:hAnsi="Times New Roman" w:cs="Times New Roman"/>
                <w:b/>
                <w:bCs/>
                <w:color w:val="000000" w:themeColor="text1"/>
                <w:sz w:val="24"/>
                <w:szCs w:val="24"/>
              </w:rPr>
              <w:t xml:space="preserve"> del impuesto predial unificado</w:t>
            </w:r>
          </w:p>
          <w:p w14:paraId="32883443" w14:textId="157D5D7A" w:rsidR="003A7E0E" w:rsidRPr="009D74A3" w:rsidRDefault="003A7E0E" w:rsidP="008B29A2">
            <w:pPr>
              <w:contextualSpacing/>
              <w:jc w:val="both"/>
              <w:rPr>
                <w:rFonts w:ascii="Times New Roman" w:eastAsia="Times New Roman" w:hAnsi="Times New Roman" w:cs="Times New Roman"/>
                <w:b/>
                <w:color w:val="000000" w:themeColor="text1"/>
                <w:sz w:val="24"/>
                <w:szCs w:val="24"/>
              </w:rPr>
            </w:pPr>
          </w:p>
          <w:p w14:paraId="0A30AEEE" w14:textId="34824B52" w:rsidR="003A7E0E" w:rsidRPr="009D74A3" w:rsidRDefault="7909A686" w:rsidP="008B29A2">
            <w:pPr>
              <w:contextualSpacing/>
              <w:jc w:val="both"/>
              <w:rPr>
                <w:rFonts w:ascii="Times New Roman" w:eastAsia="Times New Roman" w:hAnsi="Times New Roman" w:cs="Times New Roman"/>
                <w:color w:val="000000" w:themeColor="text1"/>
                <w:sz w:val="24"/>
                <w:szCs w:val="24"/>
              </w:rPr>
            </w:pPr>
            <w:r w:rsidRPr="009D74A3">
              <w:rPr>
                <w:rFonts w:ascii="Times New Roman" w:eastAsia="Times New Roman" w:hAnsi="Times New Roman" w:cs="Times New Roman"/>
                <w:color w:val="000000" w:themeColor="text1"/>
                <w:sz w:val="24"/>
                <w:szCs w:val="24"/>
              </w:rPr>
              <w:t xml:space="preserve">La propuesta de modificación tarifaria contenida en el </w:t>
            </w:r>
            <w:r w:rsidR="6E53CF06" w:rsidRPr="009D74A3">
              <w:rPr>
                <w:rFonts w:ascii="Times New Roman" w:eastAsia="Times New Roman" w:hAnsi="Times New Roman" w:cs="Times New Roman"/>
                <w:color w:val="000000" w:themeColor="text1"/>
                <w:sz w:val="24"/>
                <w:szCs w:val="24"/>
              </w:rPr>
              <w:t>artículo</w:t>
            </w:r>
            <w:r w:rsidRPr="009D74A3">
              <w:rPr>
                <w:rFonts w:ascii="Times New Roman" w:eastAsia="Times New Roman" w:hAnsi="Times New Roman" w:cs="Times New Roman"/>
                <w:color w:val="000000" w:themeColor="text1"/>
                <w:sz w:val="24"/>
                <w:szCs w:val="24"/>
              </w:rPr>
              <w:t xml:space="preserve"> </w:t>
            </w:r>
            <w:r w:rsidR="440A79D9" w:rsidRPr="009D74A3">
              <w:rPr>
                <w:rFonts w:ascii="Times New Roman" w:eastAsia="Times New Roman" w:hAnsi="Times New Roman" w:cs="Times New Roman"/>
                <w:color w:val="000000" w:themeColor="text1"/>
                <w:sz w:val="24"/>
                <w:szCs w:val="24"/>
              </w:rPr>
              <w:t>9</w:t>
            </w:r>
            <w:r w:rsidRPr="009D74A3">
              <w:rPr>
                <w:rFonts w:ascii="Times New Roman" w:eastAsia="Times New Roman" w:hAnsi="Times New Roman" w:cs="Times New Roman"/>
                <w:color w:val="000000" w:themeColor="text1"/>
                <w:sz w:val="24"/>
                <w:szCs w:val="24"/>
              </w:rPr>
              <w:t xml:space="preserve">º del proyecto, recae </w:t>
            </w:r>
            <w:r w:rsidR="4A17CD85" w:rsidRPr="009D74A3">
              <w:rPr>
                <w:rFonts w:ascii="Times New Roman" w:eastAsia="Times New Roman" w:hAnsi="Times New Roman" w:cs="Times New Roman"/>
                <w:color w:val="000000" w:themeColor="text1"/>
                <w:sz w:val="24"/>
                <w:szCs w:val="24"/>
              </w:rPr>
              <w:t>sobre</w:t>
            </w:r>
            <w:r w:rsidRPr="009D74A3">
              <w:rPr>
                <w:rFonts w:ascii="Times New Roman" w:eastAsia="Times New Roman" w:hAnsi="Times New Roman" w:cs="Times New Roman"/>
                <w:color w:val="000000" w:themeColor="text1"/>
                <w:sz w:val="24"/>
                <w:szCs w:val="24"/>
              </w:rPr>
              <w:t xml:space="preserve"> predios residenciales e industriales en Bogotá</w:t>
            </w:r>
            <w:r w:rsidR="5CD11F96" w:rsidRPr="009D74A3">
              <w:rPr>
                <w:rFonts w:ascii="Times New Roman" w:eastAsia="Times New Roman" w:hAnsi="Times New Roman" w:cs="Times New Roman"/>
                <w:color w:val="000000" w:themeColor="text1"/>
                <w:sz w:val="24"/>
                <w:szCs w:val="24"/>
              </w:rPr>
              <w:t xml:space="preserve"> </w:t>
            </w:r>
            <w:r w:rsidR="669E813A" w:rsidRPr="009D74A3">
              <w:rPr>
                <w:rFonts w:ascii="Times New Roman" w:eastAsia="Times New Roman" w:hAnsi="Times New Roman" w:cs="Times New Roman"/>
                <w:color w:val="000000" w:themeColor="text1"/>
                <w:sz w:val="24"/>
                <w:szCs w:val="24"/>
              </w:rPr>
              <w:t>y busca</w:t>
            </w:r>
            <w:r w:rsidRPr="009D74A3">
              <w:rPr>
                <w:rFonts w:ascii="Times New Roman" w:eastAsia="Times New Roman" w:hAnsi="Times New Roman" w:cs="Times New Roman"/>
                <w:color w:val="000000" w:themeColor="text1"/>
                <w:sz w:val="24"/>
                <w:szCs w:val="24"/>
              </w:rPr>
              <w:t xml:space="preserve"> mejorar la progresividad del impuesto predial. En el caso de los predios residenciales, se plantea dividir el rango más alto de avalúo (actualmente con tarifa del 12,3 por mil) en más segmentos, lo que permitiría una mayor equidad y un recaudo adicional estimado en $17,6 mil millones. Para los predios industriales, actualmente clasificados según su impacto ambiental, se propone reemplazar este criterio por uno basado en el avalúo catastral, estableciendo cuatro tarifas entre el 8 y el 11 por mil. Esta medida beneficiaría al 74% de los predios con una reducción en su tarifa, mantendría igual al 20% y aumentaría al 5,3%, generando un incremento neto de $3.264 millones en el recaudo.</w:t>
            </w:r>
          </w:p>
          <w:p w14:paraId="48AFE207" w14:textId="043B9852" w:rsidR="003A7E0E" w:rsidRPr="009D74A3" w:rsidRDefault="003A7E0E" w:rsidP="008B29A2">
            <w:pPr>
              <w:contextualSpacing/>
              <w:jc w:val="both"/>
              <w:rPr>
                <w:rFonts w:ascii="Times New Roman" w:eastAsia="Times New Roman" w:hAnsi="Times New Roman" w:cs="Times New Roman"/>
                <w:color w:val="000000" w:themeColor="text1"/>
                <w:sz w:val="24"/>
                <w:szCs w:val="24"/>
              </w:rPr>
            </w:pPr>
          </w:p>
          <w:p w14:paraId="1F8CEE3C" w14:textId="1345B81C" w:rsidR="003A7E0E" w:rsidRDefault="0F7DE336" w:rsidP="008B29A2">
            <w:pPr>
              <w:contextualSpacing/>
              <w:jc w:val="both"/>
              <w:rPr>
                <w:rFonts w:ascii="Times New Roman" w:eastAsia="Times New Roman" w:hAnsi="Times New Roman" w:cs="Times New Roman"/>
                <w:color w:val="000000" w:themeColor="text1"/>
                <w:sz w:val="24"/>
                <w:szCs w:val="24"/>
              </w:rPr>
            </w:pPr>
            <w:r w:rsidRPr="009D74A3">
              <w:rPr>
                <w:rFonts w:ascii="Times New Roman" w:eastAsia="Times New Roman" w:hAnsi="Times New Roman" w:cs="Times New Roman"/>
                <w:color w:val="000000" w:themeColor="text1"/>
                <w:sz w:val="24"/>
                <w:szCs w:val="24"/>
              </w:rPr>
              <w:t>Lo propio ocurre con</w:t>
            </w:r>
            <w:r w:rsidR="7909A686" w:rsidRPr="009D74A3">
              <w:rPr>
                <w:rFonts w:ascii="Times New Roman" w:eastAsia="Times New Roman" w:hAnsi="Times New Roman" w:cs="Times New Roman"/>
                <w:color w:val="000000" w:themeColor="text1"/>
                <w:sz w:val="24"/>
                <w:szCs w:val="24"/>
              </w:rPr>
              <w:t xml:space="preserve"> los predios comerciales, la propuesta busca reemplazar el sistema actual de dos tarifas (8 y 9,5 por mil) por un esquema más progresivo con diez tarifas basadas en el avalúo catastral. Esta medida responde a la alta dispersión de valores entre los predios y a la necesidad de corregir inequidades, ya que actualmente predios con diferencias mínimas en avalúo enfrentan saltos significativos en el impuesto. Con la nueva estructura, se </w:t>
            </w:r>
            <w:r w:rsidR="009D74A3">
              <w:rPr>
                <w:rFonts w:ascii="Times New Roman" w:eastAsia="Times New Roman" w:hAnsi="Times New Roman" w:cs="Times New Roman"/>
                <w:color w:val="000000" w:themeColor="text1"/>
                <w:sz w:val="24"/>
                <w:szCs w:val="24"/>
              </w:rPr>
              <w:t xml:space="preserve">espera beneficiar </w:t>
            </w:r>
            <w:r w:rsidR="7909A686" w:rsidRPr="009D74A3">
              <w:rPr>
                <w:rFonts w:ascii="Times New Roman" w:eastAsia="Times New Roman" w:hAnsi="Times New Roman" w:cs="Times New Roman"/>
                <w:color w:val="000000" w:themeColor="text1"/>
                <w:sz w:val="24"/>
                <w:szCs w:val="24"/>
              </w:rPr>
              <w:t>al 31% de los predios con una reducción en su tarifa, manten</w:t>
            </w:r>
            <w:r w:rsidR="009D74A3">
              <w:rPr>
                <w:rFonts w:ascii="Times New Roman" w:eastAsia="Times New Roman" w:hAnsi="Times New Roman" w:cs="Times New Roman"/>
                <w:color w:val="000000" w:themeColor="text1"/>
                <w:sz w:val="24"/>
                <w:szCs w:val="24"/>
              </w:rPr>
              <w:t>er</w:t>
            </w:r>
            <w:r w:rsidR="7909A686" w:rsidRPr="009D74A3">
              <w:rPr>
                <w:rFonts w:ascii="Times New Roman" w:eastAsia="Times New Roman" w:hAnsi="Times New Roman" w:cs="Times New Roman"/>
                <w:color w:val="000000" w:themeColor="text1"/>
                <w:sz w:val="24"/>
                <w:szCs w:val="24"/>
              </w:rPr>
              <w:t xml:space="preserve"> igual al 49%</w:t>
            </w:r>
            <w:r w:rsidR="009D74A3">
              <w:rPr>
                <w:rFonts w:ascii="Times New Roman" w:eastAsia="Times New Roman" w:hAnsi="Times New Roman" w:cs="Times New Roman"/>
                <w:color w:val="000000" w:themeColor="text1"/>
                <w:sz w:val="24"/>
                <w:szCs w:val="24"/>
              </w:rPr>
              <w:t xml:space="preserve"> de los contribuyentes </w:t>
            </w:r>
            <w:r w:rsidR="7909A686" w:rsidRPr="009D74A3">
              <w:rPr>
                <w:rFonts w:ascii="Times New Roman" w:eastAsia="Times New Roman" w:hAnsi="Times New Roman" w:cs="Times New Roman"/>
                <w:color w:val="000000" w:themeColor="text1"/>
                <w:sz w:val="24"/>
                <w:szCs w:val="24"/>
              </w:rPr>
              <w:t xml:space="preserve">y </w:t>
            </w:r>
            <w:r w:rsidR="009D74A3">
              <w:rPr>
                <w:rFonts w:ascii="Times New Roman" w:eastAsia="Times New Roman" w:hAnsi="Times New Roman" w:cs="Times New Roman"/>
                <w:color w:val="000000" w:themeColor="text1"/>
                <w:sz w:val="24"/>
                <w:szCs w:val="24"/>
              </w:rPr>
              <w:t xml:space="preserve">solo incrementar la tarifa </w:t>
            </w:r>
            <w:r w:rsidR="7909A686" w:rsidRPr="009D74A3">
              <w:rPr>
                <w:rFonts w:ascii="Times New Roman" w:eastAsia="Times New Roman" w:hAnsi="Times New Roman" w:cs="Times New Roman"/>
                <w:color w:val="000000" w:themeColor="text1"/>
                <w:sz w:val="24"/>
                <w:szCs w:val="24"/>
              </w:rPr>
              <w:t>al 20% restante, que corresponde a los de mayor avalúo.</w:t>
            </w:r>
          </w:p>
          <w:p w14:paraId="5068B3C1" w14:textId="5BC4C2C3" w:rsidR="009D74A3" w:rsidRDefault="009D74A3" w:rsidP="008B29A2">
            <w:pPr>
              <w:contextualSpacing/>
              <w:jc w:val="both"/>
              <w:rPr>
                <w:rFonts w:ascii="Times New Roman" w:eastAsia="Times New Roman" w:hAnsi="Times New Roman" w:cs="Times New Roman"/>
                <w:color w:val="000000" w:themeColor="text1"/>
                <w:sz w:val="24"/>
                <w:szCs w:val="24"/>
              </w:rPr>
            </w:pPr>
          </w:p>
          <w:p w14:paraId="26708FE7" w14:textId="4C79FB86" w:rsidR="009D74A3" w:rsidRPr="009D74A3" w:rsidRDefault="009D74A3" w:rsidP="008B29A2">
            <w:pPr>
              <w:contextualSpacing/>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El artículo 10º </w:t>
            </w:r>
            <w:r w:rsidR="003C2E0D">
              <w:rPr>
                <w:rFonts w:ascii="Times New Roman" w:eastAsia="Times New Roman" w:hAnsi="Times New Roman" w:cs="Times New Roman"/>
                <w:color w:val="000000" w:themeColor="text1"/>
                <w:sz w:val="24"/>
                <w:szCs w:val="24"/>
              </w:rPr>
              <w:t>modifica</w:t>
            </w:r>
            <w:r>
              <w:rPr>
                <w:rFonts w:ascii="Times New Roman" w:eastAsia="Times New Roman" w:hAnsi="Times New Roman" w:cs="Times New Roman"/>
                <w:color w:val="000000" w:themeColor="text1"/>
                <w:sz w:val="24"/>
                <w:szCs w:val="24"/>
              </w:rPr>
              <w:t xml:space="preserve"> los límites actuales del impuesto predial unificado con el ánimo de </w:t>
            </w:r>
            <w:r w:rsidR="00465F44">
              <w:rPr>
                <w:rFonts w:ascii="Times New Roman" w:eastAsia="Times New Roman" w:hAnsi="Times New Roman" w:cs="Times New Roman"/>
                <w:color w:val="000000" w:themeColor="text1"/>
                <w:sz w:val="24"/>
                <w:szCs w:val="24"/>
              </w:rPr>
              <w:t>minimizar</w:t>
            </w:r>
            <w:r>
              <w:rPr>
                <w:rFonts w:ascii="Times New Roman" w:eastAsia="Times New Roman" w:hAnsi="Times New Roman" w:cs="Times New Roman"/>
                <w:color w:val="000000" w:themeColor="text1"/>
                <w:sz w:val="24"/>
                <w:szCs w:val="24"/>
              </w:rPr>
              <w:t xml:space="preserve"> el incremento del valor del tributo en los hogares de menores ingresos</w:t>
            </w:r>
            <w:r w:rsidR="0031263C">
              <w:rPr>
                <w:rFonts w:ascii="Times New Roman" w:eastAsia="Times New Roman" w:hAnsi="Times New Roman" w:cs="Times New Roman"/>
                <w:color w:val="000000" w:themeColor="text1"/>
                <w:sz w:val="24"/>
                <w:szCs w:val="24"/>
              </w:rPr>
              <w:t xml:space="preserve">, </w:t>
            </w:r>
            <w:r w:rsidR="0031263C" w:rsidRPr="1C809079">
              <w:rPr>
                <w:rFonts w:ascii="Times New Roman" w:eastAsia="Times New Roman" w:hAnsi="Times New Roman" w:cs="Times New Roman"/>
                <w:color w:val="000000" w:themeColor="text1"/>
                <w:sz w:val="24"/>
                <w:szCs w:val="24"/>
              </w:rPr>
              <w:t>así las cosas, se propone eliminar la restricción del límite de crecimiento para únicamente los predios objeto de actualización, de manera que con esta norma aplicaría para los predios de conservación</w:t>
            </w:r>
            <w:r w:rsidR="001505F2">
              <w:rPr>
                <w:rFonts w:ascii="Times New Roman" w:eastAsia="Times New Roman" w:hAnsi="Times New Roman" w:cs="Times New Roman"/>
                <w:color w:val="000000" w:themeColor="text1"/>
                <w:sz w:val="24"/>
                <w:szCs w:val="24"/>
              </w:rPr>
              <w:t>, esto constituye, además un incentivo en los términos del artículo 377 del Decreto Distrital 555 de 2021, en concordancia con el artículo 28 del Decreto Distrital 563 de 2023.</w:t>
            </w:r>
          </w:p>
          <w:p w14:paraId="14A21676" w14:textId="2D2120C2" w:rsidR="003A7E0E" w:rsidRPr="009D74A3" w:rsidRDefault="003A7E0E" w:rsidP="008B29A2">
            <w:pPr>
              <w:contextualSpacing/>
              <w:jc w:val="both"/>
              <w:rPr>
                <w:rFonts w:ascii="Times New Roman" w:eastAsia="Times New Roman" w:hAnsi="Times New Roman" w:cs="Times New Roman"/>
                <w:color w:val="000000" w:themeColor="text1"/>
                <w:sz w:val="24"/>
                <w:szCs w:val="24"/>
              </w:rPr>
            </w:pPr>
          </w:p>
          <w:p w14:paraId="60A787B7" w14:textId="146A18F2" w:rsidR="003A7E0E" w:rsidRPr="009D74A3" w:rsidRDefault="7FA5FC1B" w:rsidP="008B29A2">
            <w:pPr>
              <w:contextualSpacing/>
              <w:jc w:val="both"/>
              <w:rPr>
                <w:rFonts w:ascii="Times New Roman" w:eastAsia="Times New Roman" w:hAnsi="Times New Roman" w:cs="Times New Roman"/>
                <w:b/>
                <w:bCs/>
                <w:color w:val="000000" w:themeColor="text1"/>
                <w:sz w:val="24"/>
                <w:szCs w:val="24"/>
              </w:rPr>
            </w:pPr>
            <w:r w:rsidRPr="009D74A3">
              <w:rPr>
                <w:rFonts w:ascii="Times New Roman" w:eastAsia="Times New Roman" w:hAnsi="Times New Roman" w:cs="Times New Roman"/>
                <w:b/>
                <w:bCs/>
                <w:color w:val="000000" w:themeColor="text1"/>
                <w:sz w:val="24"/>
                <w:szCs w:val="24"/>
              </w:rPr>
              <w:t xml:space="preserve">Impuesto de alumbrado </w:t>
            </w:r>
            <w:r w:rsidR="11DE3E0E" w:rsidRPr="009D74A3">
              <w:rPr>
                <w:rFonts w:ascii="Times New Roman" w:eastAsia="Times New Roman" w:hAnsi="Times New Roman" w:cs="Times New Roman"/>
                <w:b/>
                <w:bCs/>
                <w:color w:val="000000" w:themeColor="text1"/>
                <w:sz w:val="24"/>
                <w:szCs w:val="24"/>
              </w:rPr>
              <w:t>público</w:t>
            </w:r>
          </w:p>
          <w:p w14:paraId="3DD55E27" w14:textId="2F5C7CA4" w:rsidR="003A7E0E" w:rsidRPr="009D74A3" w:rsidRDefault="003A7E0E" w:rsidP="008B29A2">
            <w:pPr>
              <w:contextualSpacing/>
              <w:jc w:val="both"/>
              <w:rPr>
                <w:rFonts w:ascii="Times New Roman" w:eastAsia="Times New Roman" w:hAnsi="Times New Roman" w:cs="Times New Roman"/>
                <w:color w:val="000000" w:themeColor="text1"/>
                <w:sz w:val="24"/>
                <w:szCs w:val="24"/>
              </w:rPr>
            </w:pPr>
          </w:p>
          <w:p w14:paraId="00FD568A" w14:textId="1E30203A" w:rsidR="003A7E0E" w:rsidRPr="009D74A3" w:rsidRDefault="7FA5FC1B" w:rsidP="008B29A2">
            <w:pPr>
              <w:contextualSpacing/>
              <w:jc w:val="both"/>
              <w:rPr>
                <w:rFonts w:ascii="Times New Roman" w:eastAsia="Times New Roman" w:hAnsi="Times New Roman" w:cs="Times New Roman"/>
                <w:color w:val="000000" w:themeColor="text1"/>
                <w:sz w:val="24"/>
                <w:szCs w:val="24"/>
              </w:rPr>
            </w:pPr>
            <w:r w:rsidRPr="009D74A3">
              <w:rPr>
                <w:rFonts w:ascii="Times New Roman" w:eastAsia="Times New Roman" w:hAnsi="Times New Roman" w:cs="Times New Roman"/>
                <w:color w:val="000000" w:themeColor="text1"/>
                <w:sz w:val="24"/>
                <w:szCs w:val="24"/>
              </w:rPr>
              <w:t xml:space="preserve">Los </w:t>
            </w:r>
            <w:r w:rsidR="50965855" w:rsidRPr="009D74A3">
              <w:rPr>
                <w:rFonts w:ascii="Times New Roman" w:eastAsia="Times New Roman" w:hAnsi="Times New Roman" w:cs="Times New Roman"/>
                <w:color w:val="000000" w:themeColor="text1"/>
                <w:sz w:val="24"/>
                <w:szCs w:val="24"/>
              </w:rPr>
              <w:t>artículos</w:t>
            </w:r>
            <w:r w:rsidRPr="009D74A3">
              <w:rPr>
                <w:rFonts w:ascii="Times New Roman" w:eastAsia="Times New Roman" w:hAnsi="Times New Roman" w:cs="Times New Roman"/>
                <w:color w:val="000000" w:themeColor="text1"/>
                <w:sz w:val="24"/>
                <w:szCs w:val="24"/>
              </w:rPr>
              <w:t xml:space="preserve"> </w:t>
            </w:r>
            <w:r w:rsidR="009D74A3">
              <w:rPr>
                <w:rFonts w:ascii="Times New Roman" w:eastAsia="Times New Roman" w:hAnsi="Times New Roman" w:cs="Times New Roman"/>
                <w:color w:val="000000" w:themeColor="text1"/>
                <w:sz w:val="24"/>
                <w:szCs w:val="24"/>
              </w:rPr>
              <w:t>11</w:t>
            </w:r>
            <w:r w:rsidRPr="009D74A3">
              <w:rPr>
                <w:rFonts w:ascii="Times New Roman" w:eastAsia="Times New Roman" w:hAnsi="Times New Roman" w:cs="Times New Roman"/>
                <w:color w:val="000000" w:themeColor="text1"/>
                <w:sz w:val="24"/>
                <w:szCs w:val="24"/>
              </w:rPr>
              <w:t xml:space="preserve"> a </w:t>
            </w:r>
            <w:r w:rsidR="009D74A3">
              <w:rPr>
                <w:rFonts w:ascii="Times New Roman" w:eastAsia="Times New Roman" w:hAnsi="Times New Roman" w:cs="Times New Roman"/>
                <w:color w:val="000000" w:themeColor="text1"/>
                <w:sz w:val="24"/>
                <w:szCs w:val="24"/>
              </w:rPr>
              <w:t>20</w:t>
            </w:r>
            <w:r w:rsidRPr="009D74A3">
              <w:rPr>
                <w:rFonts w:ascii="Times New Roman" w:eastAsia="Times New Roman" w:hAnsi="Times New Roman" w:cs="Times New Roman"/>
                <w:color w:val="000000" w:themeColor="text1"/>
                <w:sz w:val="24"/>
                <w:szCs w:val="24"/>
              </w:rPr>
              <w:t xml:space="preserve"> del proyecto, buscan adoptar el impuesto al alumbrado público con el fin de asegurar su sostenibilidad financiera, bajo criterios de equidad, eficiencia y capacidad de pago. Este impuesto tendría una estructura tarifaria diferenciada según el tipo de usuario, nivel socioeconómico y si pertenece al mercado regulado o no regulado, con tarifas que oscilarían entre el 7 % y el 10 %, dependiendo del sector.</w:t>
            </w:r>
          </w:p>
          <w:p w14:paraId="5602DC1B" w14:textId="69111214" w:rsidR="003A7E0E" w:rsidRPr="009D74A3" w:rsidRDefault="003A7E0E" w:rsidP="008B29A2">
            <w:pPr>
              <w:contextualSpacing/>
              <w:jc w:val="both"/>
              <w:rPr>
                <w:rFonts w:ascii="Times New Roman" w:eastAsia="Times New Roman" w:hAnsi="Times New Roman" w:cs="Times New Roman"/>
                <w:color w:val="000000" w:themeColor="text1"/>
                <w:sz w:val="24"/>
                <w:szCs w:val="24"/>
              </w:rPr>
            </w:pPr>
          </w:p>
          <w:p w14:paraId="1B944E02" w14:textId="626473C9" w:rsidR="003A7E0E" w:rsidRPr="009D74A3" w:rsidRDefault="7FA5FC1B" w:rsidP="008B29A2">
            <w:pPr>
              <w:contextualSpacing/>
              <w:jc w:val="both"/>
              <w:rPr>
                <w:rFonts w:ascii="Times New Roman" w:eastAsia="Times New Roman" w:hAnsi="Times New Roman" w:cs="Times New Roman"/>
                <w:color w:val="000000" w:themeColor="text1"/>
                <w:sz w:val="24"/>
                <w:szCs w:val="24"/>
              </w:rPr>
            </w:pPr>
            <w:r w:rsidRPr="009D74A3">
              <w:rPr>
                <w:rFonts w:ascii="Times New Roman" w:eastAsia="Times New Roman" w:hAnsi="Times New Roman" w:cs="Times New Roman"/>
                <w:color w:val="000000" w:themeColor="text1"/>
                <w:sz w:val="24"/>
                <w:szCs w:val="24"/>
              </w:rPr>
              <w:t>La medida permitiría recaudar aproximadamente $374.215 millones anuales, cubriendo así el costo total estimado del servicio para 2025. La base de contribuyentes estaría compuesta por 809 mil usuarios, lo que garantiza una distribución amplia y equitativa del costo del servicio entre los distintos sectores de la población</w:t>
            </w:r>
          </w:p>
          <w:p w14:paraId="248105B8" w14:textId="33AACB48" w:rsidR="003A7E0E" w:rsidRPr="009D74A3" w:rsidRDefault="003A7E0E" w:rsidP="008B29A2">
            <w:pPr>
              <w:contextualSpacing/>
              <w:jc w:val="both"/>
              <w:rPr>
                <w:rFonts w:ascii="Times New Roman" w:eastAsia="Times New Roman" w:hAnsi="Times New Roman" w:cs="Times New Roman"/>
                <w:color w:val="000000" w:themeColor="text1"/>
                <w:sz w:val="24"/>
                <w:szCs w:val="24"/>
              </w:rPr>
            </w:pPr>
          </w:p>
          <w:p w14:paraId="471BA454" w14:textId="30FE3736" w:rsidR="003A7E0E" w:rsidRPr="009D74A3" w:rsidRDefault="64879006" w:rsidP="008B29A2">
            <w:pPr>
              <w:contextualSpacing/>
              <w:jc w:val="both"/>
              <w:rPr>
                <w:rFonts w:ascii="Times New Roman" w:eastAsia="Times New Roman" w:hAnsi="Times New Roman" w:cs="Times New Roman"/>
                <w:b/>
                <w:bCs/>
                <w:color w:val="000000" w:themeColor="text1"/>
                <w:sz w:val="24"/>
                <w:szCs w:val="24"/>
              </w:rPr>
            </w:pPr>
            <w:r w:rsidRPr="009D74A3">
              <w:rPr>
                <w:rFonts w:ascii="Times New Roman" w:eastAsia="Times New Roman" w:hAnsi="Times New Roman" w:cs="Times New Roman"/>
                <w:b/>
                <w:bCs/>
                <w:color w:val="000000" w:themeColor="text1"/>
                <w:sz w:val="24"/>
                <w:szCs w:val="24"/>
              </w:rPr>
              <w:t>Incentivos tributarios</w:t>
            </w:r>
          </w:p>
          <w:p w14:paraId="11C8B135" w14:textId="200B9985" w:rsidR="003A7E0E" w:rsidRPr="009D74A3" w:rsidRDefault="003A7E0E" w:rsidP="008B29A2">
            <w:pPr>
              <w:contextualSpacing/>
              <w:jc w:val="both"/>
              <w:rPr>
                <w:rFonts w:ascii="Times New Roman" w:eastAsia="Times New Roman" w:hAnsi="Times New Roman" w:cs="Times New Roman"/>
                <w:color w:val="000000" w:themeColor="text1"/>
                <w:sz w:val="24"/>
                <w:szCs w:val="24"/>
              </w:rPr>
            </w:pPr>
          </w:p>
          <w:p w14:paraId="78213A86" w14:textId="0170B8E7" w:rsidR="003A7E0E" w:rsidRDefault="64879006" w:rsidP="008B29A2">
            <w:pPr>
              <w:contextualSpacing/>
              <w:jc w:val="both"/>
              <w:rPr>
                <w:rFonts w:ascii="Times New Roman" w:eastAsia="Times New Roman" w:hAnsi="Times New Roman" w:cs="Times New Roman"/>
                <w:color w:val="000000" w:themeColor="text1"/>
                <w:sz w:val="24"/>
                <w:szCs w:val="24"/>
              </w:rPr>
            </w:pPr>
            <w:r w:rsidRPr="009D74A3">
              <w:rPr>
                <w:rFonts w:ascii="Times New Roman" w:eastAsia="Times New Roman" w:hAnsi="Times New Roman" w:cs="Times New Roman"/>
                <w:color w:val="000000" w:themeColor="text1"/>
                <w:sz w:val="24"/>
                <w:szCs w:val="24"/>
              </w:rPr>
              <w:t xml:space="preserve">Los artículos </w:t>
            </w:r>
            <w:r w:rsidR="0181C0FA" w:rsidRPr="009D74A3">
              <w:rPr>
                <w:rFonts w:ascii="Times New Roman" w:eastAsia="Times New Roman" w:hAnsi="Times New Roman" w:cs="Times New Roman"/>
                <w:color w:val="000000" w:themeColor="text1"/>
                <w:sz w:val="24"/>
                <w:szCs w:val="24"/>
              </w:rPr>
              <w:t>2</w:t>
            </w:r>
            <w:r w:rsidR="009D74A3">
              <w:rPr>
                <w:rFonts w:ascii="Times New Roman" w:eastAsia="Times New Roman" w:hAnsi="Times New Roman" w:cs="Times New Roman"/>
                <w:color w:val="000000" w:themeColor="text1"/>
                <w:sz w:val="24"/>
                <w:szCs w:val="24"/>
              </w:rPr>
              <w:t>1</w:t>
            </w:r>
            <w:r w:rsidRPr="009D74A3">
              <w:rPr>
                <w:rFonts w:ascii="Times New Roman" w:eastAsia="Times New Roman" w:hAnsi="Times New Roman" w:cs="Times New Roman"/>
                <w:color w:val="000000" w:themeColor="text1"/>
                <w:sz w:val="24"/>
                <w:szCs w:val="24"/>
              </w:rPr>
              <w:t xml:space="preserve"> a </w:t>
            </w:r>
            <w:r w:rsidR="55B1F124" w:rsidRPr="009D74A3">
              <w:rPr>
                <w:rFonts w:ascii="Times New Roman" w:eastAsia="Times New Roman" w:hAnsi="Times New Roman" w:cs="Times New Roman"/>
                <w:color w:val="000000" w:themeColor="text1"/>
                <w:sz w:val="24"/>
                <w:szCs w:val="24"/>
              </w:rPr>
              <w:t>2</w:t>
            </w:r>
            <w:r w:rsidR="009D74A3">
              <w:rPr>
                <w:rFonts w:ascii="Times New Roman" w:eastAsia="Times New Roman" w:hAnsi="Times New Roman" w:cs="Times New Roman"/>
                <w:color w:val="000000" w:themeColor="text1"/>
                <w:sz w:val="24"/>
                <w:szCs w:val="24"/>
              </w:rPr>
              <w:t>6</w:t>
            </w:r>
            <w:r w:rsidRPr="009D74A3">
              <w:rPr>
                <w:rFonts w:ascii="Times New Roman" w:eastAsia="Times New Roman" w:hAnsi="Times New Roman" w:cs="Times New Roman"/>
                <w:color w:val="000000" w:themeColor="text1"/>
                <w:sz w:val="24"/>
                <w:szCs w:val="24"/>
              </w:rPr>
              <w:t xml:space="preserve"> contemplan </w:t>
            </w:r>
            <w:r w:rsidR="00716567" w:rsidRPr="009D74A3">
              <w:rPr>
                <w:rFonts w:ascii="Times New Roman" w:eastAsia="Times New Roman" w:hAnsi="Times New Roman" w:cs="Times New Roman"/>
                <w:color w:val="000000" w:themeColor="text1"/>
                <w:sz w:val="24"/>
                <w:szCs w:val="24"/>
              </w:rPr>
              <w:t xml:space="preserve">diferentes </w:t>
            </w:r>
            <w:r w:rsidR="586C3ACF" w:rsidRPr="009D74A3">
              <w:rPr>
                <w:rFonts w:ascii="Times New Roman" w:eastAsia="Times New Roman" w:hAnsi="Times New Roman" w:cs="Times New Roman"/>
                <w:color w:val="000000" w:themeColor="text1"/>
                <w:sz w:val="24"/>
                <w:szCs w:val="24"/>
              </w:rPr>
              <w:t xml:space="preserve">beneficios </w:t>
            </w:r>
            <w:r w:rsidRPr="009D74A3">
              <w:rPr>
                <w:rFonts w:ascii="Times New Roman" w:eastAsia="Times New Roman" w:hAnsi="Times New Roman" w:cs="Times New Roman"/>
                <w:color w:val="000000" w:themeColor="text1"/>
                <w:sz w:val="24"/>
                <w:szCs w:val="24"/>
              </w:rPr>
              <w:t>tributarios, que buscan</w:t>
            </w:r>
            <w:r w:rsidR="1FA30972" w:rsidRPr="009D74A3">
              <w:rPr>
                <w:rFonts w:ascii="Times New Roman" w:eastAsia="Times New Roman" w:hAnsi="Times New Roman" w:cs="Times New Roman"/>
                <w:color w:val="000000" w:themeColor="text1"/>
                <w:sz w:val="24"/>
                <w:szCs w:val="24"/>
              </w:rPr>
              <w:t xml:space="preserve"> incentivar las inversiones de nuevos contribuyentes en el Distrito Capital, así como la</w:t>
            </w:r>
            <w:r w:rsidR="244288C0" w:rsidRPr="009D74A3">
              <w:rPr>
                <w:rFonts w:ascii="Times New Roman" w:eastAsia="Times New Roman" w:hAnsi="Times New Roman" w:cs="Times New Roman"/>
                <w:color w:val="000000" w:themeColor="text1"/>
                <w:sz w:val="24"/>
                <w:szCs w:val="24"/>
              </w:rPr>
              <w:t xml:space="preserve"> creación de nuevos empleos</w:t>
            </w:r>
            <w:r w:rsidR="75CBB0BA" w:rsidRPr="009D74A3">
              <w:rPr>
                <w:rFonts w:ascii="Times New Roman" w:eastAsia="Times New Roman" w:hAnsi="Times New Roman" w:cs="Times New Roman"/>
                <w:color w:val="000000" w:themeColor="text1"/>
                <w:sz w:val="24"/>
                <w:szCs w:val="24"/>
              </w:rPr>
              <w:t xml:space="preserve"> y la reducción de la evasión en el impuesto predial unificado</w:t>
            </w:r>
            <w:r w:rsidR="244288C0" w:rsidRPr="009D74A3">
              <w:rPr>
                <w:rFonts w:ascii="Times New Roman" w:eastAsia="Times New Roman" w:hAnsi="Times New Roman" w:cs="Times New Roman"/>
                <w:color w:val="000000" w:themeColor="text1"/>
                <w:sz w:val="24"/>
                <w:szCs w:val="24"/>
              </w:rPr>
              <w:t>. Todo lo anterior, respecto de actividades que han sido diagnosticadas como prioritarias y dinamizadoras de la economía distrital.</w:t>
            </w:r>
          </w:p>
          <w:p w14:paraId="7A16D6CE" w14:textId="77777777" w:rsidR="001505F2" w:rsidRDefault="001505F2" w:rsidP="008B29A2">
            <w:pPr>
              <w:contextualSpacing/>
              <w:jc w:val="both"/>
              <w:rPr>
                <w:rFonts w:ascii="Times New Roman" w:eastAsia="Times New Roman" w:hAnsi="Times New Roman" w:cs="Times New Roman"/>
                <w:color w:val="000000" w:themeColor="text1"/>
                <w:sz w:val="24"/>
                <w:szCs w:val="24"/>
              </w:rPr>
            </w:pPr>
          </w:p>
          <w:p w14:paraId="67CF05DA" w14:textId="39733185" w:rsidR="001505F2" w:rsidRPr="009D74A3" w:rsidRDefault="001505F2" w:rsidP="001505F2">
            <w:pPr>
              <w:contextualSpacing/>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En lo que respecta al artículo 23, debe precisarse que </w:t>
            </w:r>
            <w:r w:rsidR="004A2BA1">
              <w:rPr>
                <w:rFonts w:ascii="Times New Roman" w:eastAsia="Times New Roman" w:hAnsi="Times New Roman" w:cs="Times New Roman"/>
                <w:color w:val="000000" w:themeColor="text1"/>
                <w:sz w:val="24"/>
                <w:szCs w:val="24"/>
              </w:rPr>
              <w:t>también se</w:t>
            </w:r>
            <w:r>
              <w:rPr>
                <w:rFonts w:ascii="Times New Roman" w:eastAsia="Times New Roman" w:hAnsi="Times New Roman" w:cs="Times New Roman"/>
                <w:color w:val="000000" w:themeColor="text1"/>
                <w:sz w:val="24"/>
                <w:szCs w:val="24"/>
              </w:rPr>
              <w:t xml:space="preserve"> constituye como un incentivo</w:t>
            </w:r>
            <w:r w:rsidR="004A2BA1">
              <w:rPr>
                <w:rFonts w:ascii="Times New Roman" w:eastAsia="Times New Roman" w:hAnsi="Times New Roman" w:cs="Times New Roman"/>
                <w:color w:val="000000" w:themeColor="text1"/>
                <w:sz w:val="24"/>
                <w:szCs w:val="24"/>
              </w:rPr>
              <w:t xml:space="preserve"> </w:t>
            </w:r>
            <w:r w:rsidR="004A2BA1" w:rsidRPr="004A2BA1">
              <w:rPr>
                <w:rFonts w:ascii="Times New Roman" w:eastAsia="Times New Roman" w:hAnsi="Times New Roman" w:cs="Times New Roman"/>
                <w:color w:val="000000" w:themeColor="text1"/>
                <w:sz w:val="24"/>
                <w:szCs w:val="24"/>
              </w:rPr>
              <w:t>para la permanencia de moradores y actividades productivas</w:t>
            </w:r>
            <w:r w:rsidR="004A2BA1">
              <w:rPr>
                <w:rFonts w:ascii="Times New Roman" w:eastAsia="Times New Roman" w:hAnsi="Times New Roman" w:cs="Times New Roman"/>
                <w:color w:val="000000" w:themeColor="text1"/>
                <w:sz w:val="24"/>
                <w:szCs w:val="24"/>
              </w:rPr>
              <w:t xml:space="preserve"> </w:t>
            </w:r>
            <w:r>
              <w:rPr>
                <w:rFonts w:ascii="Times New Roman" w:eastAsia="Times New Roman" w:hAnsi="Times New Roman" w:cs="Times New Roman"/>
                <w:color w:val="000000" w:themeColor="text1"/>
                <w:sz w:val="24"/>
                <w:szCs w:val="24"/>
              </w:rPr>
              <w:t>en los términos del artículo 377 del Decreto Distrital 555 de 2021, en concordancia con el artículo 28 del Decreto Distrital 563 de 2023.</w:t>
            </w:r>
          </w:p>
          <w:p w14:paraId="7213787A" w14:textId="133F9F33" w:rsidR="003A7E0E" w:rsidRPr="009D74A3" w:rsidRDefault="001505F2" w:rsidP="008B29A2">
            <w:pPr>
              <w:contextualSpacing/>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 xml:space="preserve"> </w:t>
            </w:r>
          </w:p>
          <w:p w14:paraId="477E11A3" w14:textId="368763A9" w:rsidR="003A7E0E" w:rsidRPr="009D74A3" w:rsidRDefault="42201CBC" w:rsidP="008B29A2">
            <w:pPr>
              <w:contextualSpacing/>
              <w:jc w:val="both"/>
              <w:rPr>
                <w:rFonts w:ascii="Times New Roman" w:eastAsia="Times New Roman" w:hAnsi="Times New Roman" w:cs="Times New Roman"/>
                <w:b/>
                <w:bCs/>
                <w:color w:val="000000" w:themeColor="text1"/>
                <w:sz w:val="24"/>
                <w:szCs w:val="24"/>
                <w:lang w:val="es-ES"/>
              </w:rPr>
            </w:pPr>
            <w:r w:rsidRPr="009D74A3">
              <w:rPr>
                <w:rFonts w:ascii="Times New Roman" w:eastAsia="Times New Roman" w:hAnsi="Times New Roman" w:cs="Times New Roman"/>
                <w:b/>
                <w:bCs/>
                <w:color w:val="000000" w:themeColor="text1"/>
                <w:sz w:val="24"/>
                <w:szCs w:val="24"/>
                <w:lang w:val="es-ES"/>
              </w:rPr>
              <w:t>Procedimiento tributario - Notificaciones</w:t>
            </w:r>
          </w:p>
          <w:p w14:paraId="1021553D" w14:textId="4FE1A9F5" w:rsidR="003A7E0E" w:rsidRPr="009D74A3" w:rsidRDefault="003A7E0E" w:rsidP="008B29A2">
            <w:pPr>
              <w:contextualSpacing/>
              <w:jc w:val="both"/>
              <w:rPr>
                <w:rFonts w:ascii="Times New Roman" w:eastAsia="Times New Roman" w:hAnsi="Times New Roman" w:cs="Times New Roman"/>
                <w:i/>
                <w:iCs/>
                <w:color w:val="767171" w:themeColor="background2" w:themeShade="80"/>
                <w:sz w:val="24"/>
                <w:szCs w:val="24"/>
              </w:rPr>
            </w:pPr>
          </w:p>
          <w:p w14:paraId="22F6203C" w14:textId="3971DDC7" w:rsidR="003A7E0E" w:rsidRPr="009D74A3" w:rsidRDefault="42201CBC" w:rsidP="008B29A2">
            <w:pPr>
              <w:contextualSpacing/>
              <w:jc w:val="both"/>
              <w:rPr>
                <w:rFonts w:ascii="Times New Roman" w:eastAsia="Times New Roman" w:hAnsi="Times New Roman" w:cs="Times New Roman"/>
                <w:sz w:val="24"/>
                <w:szCs w:val="24"/>
              </w:rPr>
            </w:pPr>
            <w:r w:rsidRPr="009D74A3">
              <w:rPr>
                <w:rFonts w:ascii="Times New Roman" w:eastAsia="Times New Roman" w:hAnsi="Times New Roman" w:cs="Times New Roman"/>
                <w:sz w:val="24"/>
                <w:szCs w:val="24"/>
              </w:rPr>
              <w:t>Los artículos 2</w:t>
            </w:r>
            <w:r w:rsidR="009D74A3">
              <w:rPr>
                <w:rFonts w:ascii="Times New Roman" w:eastAsia="Times New Roman" w:hAnsi="Times New Roman" w:cs="Times New Roman"/>
                <w:sz w:val="24"/>
                <w:szCs w:val="24"/>
              </w:rPr>
              <w:t>7</w:t>
            </w:r>
            <w:r w:rsidR="438C19C3" w:rsidRPr="009D74A3">
              <w:rPr>
                <w:rFonts w:ascii="Times New Roman" w:eastAsia="Times New Roman" w:hAnsi="Times New Roman" w:cs="Times New Roman"/>
                <w:sz w:val="24"/>
                <w:szCs w:val="24"/>
              </w:rPr>
              <w:t xml:space="preserve"> a 2</w:t>
            </w:r>
            <w:r w:rsidR="009D74A3">
              <w:rPr>
                <w:rFonts w:ascii="Times New Roman" w:eastAsia="Times New Roman" w:hAnsi="Times New Roman" w:cs="Times New Roman"/>
                <w:sz w:val="24"/>
                <w:szCs w:val="24"/>
              </w:rPr>
              <w:t>9</w:t>
            </w:r>
            <w:r w:rsidRPr="009D74A3">
              <w:rPr>
                <w:rFonts w:ascii="Times New Roman" w:eastAsia="Times New Roman" w:hAnsi="Times New Roman" w:cs="Times New Roman"/>
                <w:sz w:val="24"/>
                <w:szCs w:val="24"/>
              </w:rPr>
              <w:t xml:space="preserve"> del proyecto de acuerdo unifican todas las normas aplicables al Distrito Capital en materia de notificaciones, con el fin de facilitar a los contribuyentes el ejercicio del derecho de defensa. Estos artículos también actualizan las formas de notificación y las direcciones que pueden utilizarse en el procedimiento tributario, en aras de garantizar el debido </w:t>
            </w:r>
            <w:r w:rsidR="00EC1155" w:rsidRPr="009D74A3">
              <w:rPr>
                <w:rFonts w:ascii="Times New Roman" w:eastAsia="Times New Roman" w:hAnsi="Times New Roman" w:cs="Times New Roman"/>
                <w:sz w:val="24"/>
                <w:szCs w:val="24"/>
              </w:rPr>
              <w:t>proceso,</w:t>
            </w:r>
            <w:r w:rsidRPr="009D74A3">
              <w:rPr>
                <w:rFonts w:ascii="Times New Roman" w:eastAsia="Times New Roman" w:hAnsi="Times New Roman" w:cs="Times New Roman"/>
                <w:sz w:val="24"/>
                <w:szCs w:val="24"/>
              </w:rPr>
              <w:t xml:space="preserve"> así como facilitar la publicidad de los actos administrativos.</w:t>
            </w:r>
          </w:p>
          <w:p w14:paraId="50135A38" w14:textId="04B764D1" w:rsidR="003A7E0E" w:rsidRPr="009D74A3" w:rsidRDefault="003A7E0E" w:rsidP="008B29A2">
            <w:pPr>
              <w:contextualSpacing/>
              <w:jc w:val="both"/>
              <w:rPr>
                <w:rFonts w:ascii="Times New Roman" w:eastAsia="Times New Roman" w:hAnsi="Times New Roman" w:cs="Times New Roman"/>
                <w:color w:val="000000" w:themeColor="text1"/>
                <w:sz w:val="24"/>
                <w:szCs w:val="24"/>
              </w:rPr>
            </w:pPr>
          </w:p>
          <w:p w14:paraId="63E03C14" w14:textId="347F7097" w:rsidR="03BD7A42" w:rsidRPr="009D74A3" w:rsidRDefault="03BD7A42" w:rsidP="008B29A2">
            <w:pPr>
              <w:contextualSpacing/>
              <w:jc w:val="both"/>
              <w:rPr>
                <w:rFonts w:ascii="Times New Roman" w:eastAsia="Times New Roman" w:hAnsi="Times New Roman" w:cs="Times New Roman"/>
                <w:b/>
                <w:bCs/>
                <w:color w:val="000000" w:themeColor="text1"/>
                <w:sz w:val="24"/>
                <w:szCs w:val="24"/>
                <w:lang w:val="es-ES"/>
              </w:rPr>
            </w:pPr>
            <w:r w:rsidRPr="009D74A3">
              <w:rPr>
                <w:rFonts w:ascii="Times New Roman" w:eastAsia="Times New Roman" w:hAnsi="Times New Roman" w:cs="Times New Roman"/>
                <w:b/>
                <w:bCs/>
                <w:color w:val="000000" w:themeColor="text1"/>
                <w:sz w:val="24"/>
                <w:szCs w:val="24"/>
                <w:lang w:val="es-ES"/>
              </w:rPr>
              <w:t>Procedimiento tributario - Sanciones por no envío de información</w:t>
            </w:r>
          </w:p>
          <w:p w14:paraId="47AFC1EF" w14:textId="3940CD3F" w:rsidR="766F28FF" w:rsidRPr="009D74A3" w:rsidRDefault="766F28FF" w:rsidP="008B29A2">
            <w:pPr>
              <w:contextualSpacing/>
              <w:jc w:val="both"/>
              <w:rPr>
                <w:rFonts w:ascii="Times New Roman" w:eastAsia="Times New Roman" w:hAnsi="Times New Roman" w:cs="Times New Roman"/>
                <w:sz w:val="24"/>
                <w:szCs w:val="24"/>
              </w:rPr>
            </w:pPr>
          </w:p>
          <w:p w14:paraId="5E91FA32" w14:textId="7B3CC1D9" w:rsidR="03BD7A42" w:rsidRPr="009D74A3" w:rsidRDefault="03BD7A42" w:rsidP="404A07B1">
            <w:pPr>
              <w:contextualSpacing/>
              <w:jc w:val="both"/>
              <w:rPr>
                <w:rFonts w:ascii="Times New Roman" w:eastAsia="Times New Roman" w:hAnsi="Times New Roman" w:cs="Times New Roman"/>
                <w:i/>
                <w:iCs/>
                <w:color w:val="767171" w:themeColor="background2" w:themeShade="80"/>
                <w:sz w:val="24"/>
                <w:szCs w:val="24"/>
              </w:rPr>
            </w:pPr>
            <w:r w:rsidRPr="009D74A3">
              <w:rPr>
                <w:rFonts w:ascii="Times New Roman" w:eastAsia="Times New Roman" w:hAnsi="Times New Roman" w:cs="Times New Roman"/>
                <w:sz w:val="24"/>
                <w:szCs w:val="24"/>
              </w:rPr>
              <w:t xml:space="preserve">El artículo </w:t>
            </w:r>
            <w:r w:rsidR="009D74A3">
              <w:rPr>
                <w:rFonts w:ascii="Times New Roman" w:eastAsia="Times New Roman" w:hAnsi="Times New Roman" w:cs="Times New Roman"/>
                <w:sz w:val="24"/>
                <w:szCs w:val="24"/>
              </w:rPr>
              <w:t>30</w:t>
            </w:r>
            <w:r w:rsidRPr="009D74A3">
              <w:rPr>
                <w:rFonts w:ascii="Times New Roman" w:eastAsia="Times New Roman" w:hAnsi="Times New Roman" w:cs="Times New Roman"/>
                <w:sz w:val="24"/>
                <w:szCs w:val="24"/>
              </w:rPr>
              <w:t xml:space="preserve"> buscar adecuar las sanciones distritales por no envío de información con la norma nacional, esto es, el artículo 651 del Estatuto Tributario Nacional, en cumplimiento de lo dispuesto en el artículo 59 de la Ley 788 de 2000, según la cual </w:t>
            </w:r>
            <w:r w:rsidRPr="009D74A3">
              <w:rPr>
                <w:rFonts w:ascii="Times New Roman" w:eastAsia="Times New Roman" w:hAnsi="Times New Roman" w:cs="Times New Roman"/>
                <w:i/>
                <w:iCs/>
                <w:sz w:val="24"/>
                <w:szCs w:val="24"/>
              </w:rPr>
              <w:t>“El monto de las sanciones y el término de la aplicación de los procedimientos anteriores, podrán disminuirse y simplificarse acorde con la naturaleza de sus tributos, y teniendo en cuenta la proporcionalidad de estas respecto del monto de los impuestos”</w:t>
            </w:r>
          </w:p>
          <w:p w14:paraId="26EF6378" w14:textId="0B067A34" w:rsidR="766F28FF" w:rsidRPr="009D74A3" w:rsidRDefault="766F28FF" w:rsidP="008B29A2">
            <w:pPr>
              <w:contextualSpacing/>
              <w:jc w:val="both"/>
              <w:rPr>
                <w:rFonts w:ascii="Times New Roman" w:eastAsia="Times New Roman" w:hAnsi="Times New Roman" w:cs="Times New Roman"/>
                <w:color w:val="000000" w:themeColor="text1"/>
                <w:sz w:val="24"/>
                <w:szCs w:val="24"/>
              </w:rPr>
            </w:pPr>
          </w:p>
          <w:p w14:paraId="44DE0B57" w14:textId="198C4778" w:rsidR="766F28FF" w:rsidRPr="009D74A3" w:rsidRDefault="03BD7A42" w:rsidP="008B29A2">
            <w:pPr>
              <w:contextualSpacing/>
              <w:jc w:val="both"/>
              <w:rPr>
                <w:rFonts w:ascii="Times New Roman" w:eastAsia="Times New Roman" w:hAnsi="Times New Roman" w:cs="Times New Roman"/>
                <w:b/>
                <w:bCs/>
                <w:color w:val="000000" w:themeColor="text1"/>
                <w:sz w:val="24"/>
                <w:szCs w:val="24"/>
                <w:lang w:val="es-ES"/>
              </w:rPr>
            </w:pPr>
            <w:r w:rsidRPr="009D74A3">
              <w:rPr>
                <w:rFonts w:ascii="Times New Roman" w:eastAsia="Times New Roman" w:hAnsi="Times New Roman" w:cs="Times New Roman"/>
                <w:b/>
                <w:bCs/>
                <w:color w:val="000000" w:themeColor="text1"/>
                <w:sz w:val="24"/>
                <w:szCs w:val="24"/>
                <w:lang w:val="es-ES"/>
              </w:rPr>
              <w:t>Procedimiento tributario - Principios de lesividad, proporcionalidad, gradualidad y favorabilidad en el régimen sancionatorio.</w:t>
            </w:r>
          </w:p>
          <w:p w14:paraId="10235350" w14:textId="36F20D25" w:rsidR="766F28FF" w:rsidRPr="009D74A3" w:rsidRDefault="766F28FF" w:rsidP="008B29A2">
            <w:pPr>
              <w:contextualSpacing/>
              <w:jc w:val="both"/>
              <w:rPr>
                <w:rFonts w:ascii="Times New Roman" w:eastAsia="Times New Roman" w:hAnsi="Times New Roman" w:cs="Times New Roman"/>
                <w:i/>
                <w:iCs/>
                <w:sz w:val="24"/>
                <w:szCs w:val="24"/>
              </w:rPr>
            </w:pPr>
          </w:p>
          <w:p w14:paraId="2485B23D" w14:textId="6AB48B56" w:rsidR="766F28FF" w:rsidRPr="009D74A3" w:rsidRDefault="03BD7A42" w:rsidP="008B29A2">
            <w:pPr>
              <w:contextualSpacing/>
              <w:jc w:val="both"/>
              <w:rPr>
                <w:rFonts w:ascii="Times New Roman" w:eastAsia="Times New Roman" w:hAnsi="Times New Roman" w:cs="Times New Roman"/>
                <w:sz w:val="24"/>
                <w:szCs w:val="24"/>
              </w:rPr>
            </w:pPr>
            <w:r w:rsidRPr="009D74A3">
              <w:rPr>
                <w:rFonts w:ascii="Times New Roman" w:eastAsia="Times New Roman" w:hAnsi="Times New Roman" w:cs="Times New Roman"/>
                <w:sz w:val="24"/>
                <w:szCs w:val="24"/>
              </w:rPr>
              <w:t xml:space="preserve">El artículo </w:t>
            </w:r>
            <w:r w:rsidR="2020902C" w:rsidRPr="009D74A3">
              <w:rPr>
                <w:rFonts w:ascii="Times New Roman" w:eastAsia="Times New Roman" w:hAnsi="Times New Roman" w:cs="Times New Roman"/>
                <w:sz w:val="24"/>
                <w:szCs w:val="24"/>
              </w:rPr>
              <w:t>3</w:t>
            </w:r>
            <w:r w:rsidR="009D74A3">
              <w:rPr>
                <w:rFonts w:ascii="Times New Roman" w:eastAsia="Times New Roman" w:hAnsi="Times New Roman" w:cs="Times New Roman"/>
                <w:sz w:val="24"/>
                <w:szCs w:val="24"/>
              </w:rPr>
              <w:t>1</w:t>
            </w:r>
            <w:r w:rsidRPr="009D74A3">
              <w:rPr>
                <w:rFonts w:ascii="Times New Roman" w:eastAsia="Times New Roman" w:hAnsi="Times New Roman" w:cs="Times New Roman"/>
                <w:sz w:val="24"/>
                <w:szCs w:val="24"/>
              </w:rPr>
              <w:t xml:space="preserve"> del proyecto de acuerdo procura adecuar el artículo 1º del Acuerdo </w:t>
            </w:r>
            <w:r w:rsidR="00E97B69">
              <w:rPr>
                <w:rFonts w:ascii="Times New Roman" w:eastAsia="Times New Roman" w:hAnsi="Times New Roman" w:cs="Times New Roman"/>
                <w:sz w:val="24"/>
                <w:szCs w:val="24"/>
              </w:rPr>
              <w:t xml:space="preserve">Distrital </w:t>
            </w:r>
            <w:r w:rsidRPr="009D74A3">
              <w:rPr>
                <w:rFonts w:ascii="Times New Roman" w:eastAsia="Times New Roman" w:hAnsi="Times New Roman" w:cs="Times New Roman"/>
                <w:sz w:val="24"/>
                <w:szCs w:val="24"/>
              </w:rPr>
              <w:t>671 de 2017, que adopta los principios de lesividad, proporcionalidad, gradualidad y favorabilidad en el régimen sancionatorio Distrital, a los impuestos a la propiedad, esto es, impuesto sobre vehículos automotores y predial unificado.</w:t>
            </w:r>
          </w:p>
          <w:p w14:paraId="1B8CDC39" w14:textId="3A971A5F" w:rsidR="766F28FF" w:rsidRPr="009D74A3" w:rsidRDefault="766F28FF" w:rsidP="008B29A2">
            <w:pPr>
              <w:contextualSpacing/>
              <w:jc w:val="both"/>
              <w:rPr>
                <w:rFonts w:ascii="Times New Roman" w:eastAsia="Times New Roman" w:hAnsi="Times New Roman" w:cs="Times New Roman"/>
                <w:color w:val="000000" w:themeColor="text1"/>
                <w:sz w:val="24"/>
                <w:szCs w:val="24"/>
              </w:rPr>
            </w:pPr>
          </w:p>
          <w:p w14:paraId="3E1CE04A" w14:textId="2D6F884C" w:rsidR="03BD7A42" w:rsidRPr="009D74A3" w:rsidRDefault="03BD7A42" w:rsidP="008B29A2">
            <w:pPr>
              <w:contextualSpacing/>
              <w:jc w:val="both"/>
              <w:rPr>
                <w:rFonts w:ascii="Times New Roman" w:eastAsia="Times New Roman" w:hAnsi="Times New Roman" w:cs="Times New Roman"/>
                <w:b/>
                <w:bCs/>
                <w:color w:val="000000" w:themeColor="text1"/>
                <w:sz w:val="24"/>
                <w:szCs w:val="24"/>
                <w:lang w:val="es-ES"/>
              </w:rPr>
            </w:pPr>
            <w:r w:rsidRPr="009D74A3">
              <w:rPr>
                <w:rFonts w:ascii="Times New Roman" w:eastAsia="Times New Roman" w:hAnsi="Times New Roman" w:cs="Times New Roman"/>
                <w:b/>
                <w:bCs/>
                <w:color w:val="000000" w:themeColor="text1"/>
                <w:sz w:val="24"/>
                <w:szCs w:val="24"/>
                <w:lang w:val="es-ES"/>
              </w:rPr>
              <w:t xml:space="preserve">Procedimiento tributario – Doctrina tributaria distrital. </w:t>
            </w:r>
          </w:p>
          <w:p w14:paraId="3A3AB646" w14:textId="15F35D9A" w:rsidR="55EC6734" w:rsidRPr="009D74A3" w:rsidRDefault="55EC6734" w:rsidP="008B29A2">
            <w:pPr>
              <w:contextualSpacing/>
              <w:jc w:val="both"/>
              <w:rPr>
                <w:rFonts w:ascii="Times New Roman" w:eastAsia="Times New Roman" w:hAnsi="Times New Roman" w:cs="Times New Roman"/>
                <w:i/>
                <w:iCs/>
                <w:sz w:val="24"/>
                <w:szCs w:val="24"/>
              </w:rPr>
            </w:pPr>
          </w:p>
          <w:p w14:paraId="520029B5" w14:textId="696D443C" w:rsidR="03BD7A42" w:rsidRPr="009D74A3" w:rsidRDefault="03BD7A42" w:rsidP="008B29A2">
            <w:pPr>
              <w:contextualSpacing/>
              <w:jc w:val="both"/>
              <w:rPr>
                <w:rFonts w:ascii="Times New Roman" w:eastAsia="Times New Roman" w:hAnsi="Times New Roman" w:cs="Times New Roman"/>
                <w:sz w:val="24"/>
                <w:szCs w:val="24"/>
              </w:rPr>
            </w:pPr>
            <w:r w:rsidRPr="009D74A3">
              <w:rPr>
                <w:rFonts w:ascii="Times New Roman" w:eastAsia="Times New Roman" w:hAnsi="Times New Roman" w:cs="Times New Roman"/>
                <w:sz w:val="24"/>
                <w:szCs w:val="24"/>
              </w:rPr>
              <w:t xml:space="preserve">Teniendo en cuenta lo dispuesto en el artículo 3º del Decreto Distrital 807 de 1993, que remite al Estatuto Tributario Nacional, el artículo </w:t>
            </w:r>
            <w:r w:rsidR="1B298A12" w:rsidRPr="009D74A3">
              <w:rPr>
                <w:rFonts w:ascii="Times New Roman" w:eastAsia="Times New Roman" w:hAnsi="Times New Roman" w:cs="Times New Roman"/>
                <w:sz w:val="24"/>
                <w:szCs w:val="24"/>
              </w:rPr>
              <w:t>3</w:t>
            </w:r>
            <w:r w:rsidR="009D74A3">
              <w:rPr>
                <w:rFonts w:ascii="Times New Roman" w:eastAsia="Times New Roman" w:hAnsi="Times New Roman" w:cs="Times New Roman"/>
                <w:sz w:val="24"/>
                <w:szCs w:val="24"/>
              </w:rPr>
              <w:t>2</w:t>
            </w:r>
            <w:r w:rsidRPr="009D74A3">
              <w:rPr>
                <w:rFonts w:ascii="Times New Roman" w:eastAsia="Times New Roman" w:hAnsi="Times New Roman" w:cs="Times New Roman"/>
                <w:sz w:val="24"/>
                <w:szCs w:val="24"/>
              </w:rPr>
              <w:t xml:space="preserve"> tiene por objeto adoptar de forma expresa el artículo 131 de la Ley 2010 de 2019, según el cual </w:t>
            </w:r>
            <w:r w:rsidRPr="009D74A3">
              <w:rPr>
                <w:rFonts w:ascii="Times New Roman" w:eastAsia="Times New Roman" w:hAnsi="Times New Roman" w:cs="Times New Roman"/>
                <w:i/>
                <w:iCs/>
                <w:sz w:val="24"/>
                <w:szCs w:val="24"/>
              </w:rPr>
              <w:t xml:space="preserve">“Los conceptos emitidos por la dirección de gestión jurídica o la subdirección de gestión de normativa y doctrina de la Dirección de Impuestos y Aduanas Nacionales, constituyen interpretación oficial para los empleados públicos de la Dirección de Impuestos y Aduanas Nacionales; por lo tanto, tendrán carácter obligatorio para los mismos. Los contribuyentes podrán sustentar sus actuaciones en la vía gubernativa y en la jurisdiccional con base en la ley.” </w:t>
            </w:r>
            <w:r w:rsidRPr="009D74A3">
              <w:rPr>
                <w:rFonts w:ascii="Times New Roman" w:eastAsia="Times New Roman" w:hAnsi="Times New Roman" w:cs="Times New Roman"/>
                <w:sz w:val="24"/>
                <w:szCs w:val="24"/>
              </w:rPr>
              <w:t>Lo anterior, con el fin de actualizar el artículo 164 del Decreto Distrital 807 de 1993, cuyo contenido replica el derogado artículo 264 de la Ley 223 de 1995.</w:t>
            </w:r>
          </w:p>
          <w:p w14:paraId="6F67A115" w14:textId="3FCE0FD9" w:rsidR="003A7E0E" w:rsidRPr="009D74A3" w:rsidRDefault="003A7E0E" w:rsidP="008B29A2">
            <w:pPr>
              <w:contextualSpacing/>
              <w:jc w:val="both"/>
              <w:rPr>
                <w:rFonts w:ascii="Times New Roman" w:eastAsia="Times New Roman" w:hAnsi="Times New Roman" w:cs="Times New Roman"/>
                <w:color w:val="000000" w:themeColor="text1"/>
                <w:sz w:val="24"/>
                <w:szCs w:val="24"/>
                <w:lang w:val="es-ES"/>
              </w:rPr>
            </w:pPr>
          </w:p>
          <w:p w14:paraId="2214A82F" w14:textId="71B2CB58" w:rsidR="003A7E0E" w:rsidRPr="009D74A3" w:rsidRDefault="0B96B5FF" w:rsidP="008B29A2">
            <w:pPr>
              <w:contextualSpacing/>
              <w:jc w:val="both"/>
              <w:rPr>
                <w:rFonts w:ascii="Times New Roman" w:eastAsia="Times New Roman" w:hAnsi="Times New Roman" w:cs="Times New Roman"/>
                <w:sz w:val="24"/>
                <w:szCs w:val="24"/>
              </w:rPr>
            </w:pPr>
            <w:r w:rsidRPr="009D74A3">
              <w:rPr>
                <w:rFonts w:ascii="Times New Roman" w:eastAsia="Times New Roman" w:hAnsi="Times New Roman" w:cs="Times New Roman"/>
                <w:b/>
                <w:bCs/>
                <w:sz w:val="24"/>
                <w:szCs w:val="24"/>
              </w:rPr>
              <w:t>Procedimiento tributario</w:t>
            </w:r>
            <w:r w:rsidRPr="009D74A3">
              <w:rPr>
                <w:rFonts w:ascii="Times New Roman" w:eastAsia="Times New Roman" w:hAnsi="Times New Roman" w:cs="Times New Roman"/>
                <w:sz w:val="24"/>
                <w:szCs w:val="24"/>
              </w:rPr>
              <w:t xml:space="preserve"> -</w:t>
            </w:r>
            <w:r w:rsidRPr="009D74A3">
              <w:rPr>
                <w:rFonts w:ascii="Times New Roman" w:eastAsia="Times New Roman" w:hAnsi="Times New Roman" w:cs="Times New Roman"/>
                <w:b/>
                <w:bCs/>
                <w:sz w:val="24"/>
                <w:szCs w:val="24"/>
              </w:rPr>
              <w:t xml:space="preserve"> Priorización de la gestión en la etapa de determinación tributaria:</w:t>
            </w:r>
          </w:p>
          <w:p w14:paraId="41492FF8" w14:textId="1EEC3D91" w:rsidR="003A7E0E" w:rsidRPr="009D74A3" w:rsidRDefault="003A7E0E" w:rsidP="008B29A2">
            <w:pPr>
              <w:contextualSpacing/>
              <w:jc w:val="both"/>
              <w:rPr>
                <w:rFonts w:ascii="Times New Roman" w:eastAsia="Times New Roman" w:hAnsi="Times New Roman" w:cs="Times New Roman"/>
                <w:sz w:val="24"/>
                <w:szCs w:val="24"/>
              </w:rPr>
            </w:pPr>
          </w:p>
          <w:p w14:paraId="239A16CA" w14:textId="63749EE7" w:rsidR="003A7E0E" w:rsidRPr="009D74A3" w:rsidRDefault="0B96B5FF" w:rsidP="008B29A2">
            <w:pPr>
              <w:contextualSpacing/>
              <w:jc w:val="both"/>
              <w:rPr>
                <w:rFonts w:ascii="Times New Roman" w:eastAsia="Times New Roman" w:hAnsi="Times New Roman" w:cs="Times New Roman"/>
                <w:sz w:val="24"/>
                <w:szCs w:val="24"/>
              </w:rPr>
            </w:pPr>
            <w:r w:rsidRPr="009D74A3">
              <w:rPr>
                <w:rFonts w:ascii="Times New Roman" w:eastAsia="Times New Roman" w:hAnsi="Times New Roman" w:cs="Times New Roman"/>
                <w:sz w:val="24"/>
                <w:szCs w:val="24"/>
              </w:rPr>
              <w:t xml:space="preserve">El artículo </w:t>
            </w:r>
            <w:r w:rsidR="7464F930" w:rsidRPr="009D74A3">
              <w:rPr>
                <w:rFonts w:ascii="Times New Roman" w:eastAsia="Times New Roman" w:hAnsi="Times New Roman" w:cs="Times New Roman"/>
                <w:sz w:val="24"/>
                <w:szCs w:val="24"/>
              </w:rPr>
              <w:t>3</w:t>
            </w:r>
            <w:r w:rsidR="009D74A3">
              <w:rPr>
                <w:rFonts w:ascii="Times New Roman" w:eastAsia="Times New Roman" w:hAnsi="Times New Roman" w:cs="Times New Roman"/>
                <w:sz w:val="24"/>
                <w:szCs w:val="24"/>
              </w:rPr>
              <w:t>3</w:t>
            </w:r>
            <w:r w:rsidRPr="009D74A3">
              <w:rPr>
                <w:rFonts w:ascii="Times New Roman" w:eastAsia="Times New Roman" w:hAnsi="Times New Roman" w:cs="Times New Roman"/>
                <w:sz w:val="24"/>
                <w:szCs w:val="24"/>
              </w:rPr>
              <w:t xml:space="preserve"> pretende fijar criterios para que la administración tributaria priorice los casos que gestiona durante la etapa de determinación de impuestos. Los criterios sugeridos son objetivos como el riesgo, la cuantía, la antigüedad y la reincidencia de las conductas. Esto con el fin de enfocar sus recursos en los casos que tengan mayor impacto en el cumplimiento tributario. Para ello, la Secretaría Distrital de Hacienda debe definir las políticas que orienten esta gestión, considerando su capacidad operativa y el modelo de gestión adoptado.</w:t>
            </w:r>
          </w:p>
          <w:p w14:paraId="15248961" w14:textId="6C259657" w:rsidR="404A07B1" w:rsidRPr="009D74A3" w:rsidRDefault="404A07B1" w:rsidP="404A07B1">
            <w:pPr>
              <w:contextualSpacing/>
              <w:jc w:val="both"/>
              <w:rPr>
                <w:rFonts w:ascii="Times New Roman" w:eastAsia="Times New Roman" w:hAnsi="Times New Roman" w:cs="Times New Roman"/>
                <w:sz w:val="24"/>
                <w:szCs w:val="24"/>
              </w:rPr>
            </w:pPr>
          </w:p>
          <w:p w14:paraId="0780360A" w14:textId="2453AFEC" w:rsidR="5B1AEFCE" w:rsidRPr="009D74A3" w:rsidRDefault="5B1AEFCE" w:rsidP="404A07B1">
            <w:pPr>
              <w:contextualSpacing/>
              <w:jc w:val="both"/>
              <w:rPr>
                <w:rFonts w:ascii="Times New Roman" w:eastAsia="Times New Roman" w:hAnsi="Times New Roman" w:cs="Times New Roman"/>
                <w:b/>
                <w:bCs/>
                <w:sz w:val="24"/>
                <w:szCs w:val="24"/>
              </w:rPr>
            </w:pPr>
            <w:r w:rsidRPr="009D74A3">
              <w:rPr>
                <w:rFonts w:ascii="Times New Roman" w:eastAsia="Times New Roman" w:hAnsi="Times New Roman" w:cs="Times New Roman"/>
                <w:b/>
                <w:bCs/>
                <w:sz w:val="24"/>
                <w:szCs w:val="24"/>
              </w:rPr>
              <w:t>Procedimiento tributario – Intercambio de información tributaria.</w:t>
            </w:r>
          </w:p>
          <w:p w14:paraId="534D89E9" w14:textId="17919BC1" w:rsidR="404A07B1" w:rsidRPr="009D74A3" w:rsidRDefault="404A07B1" w:rsidP="404A07B1">
            <w:pPr>
              <w:contextualSpacing/>
              <w:jc w:val="both"/>
              <w:rPr>
                <w:rFonts w:ascii="Times New Roman" w:eastAsia="Times New Roman" w:hAnsi="Times New Roman" w:cs="Times New Roman"/>
                <w:b/>
                <w:bCs/>
                <w:sz w:val="24"/>
                <w:szCs w:val="24"/>
              </w:rPr>
            </w:pPr>
          </w:p>
          <w:p w14:paraId="4FB951AB" w14:textId="2AAFE454" w:rsidR="5B1AEFCE" w:rsidRPr="009D74A3" w:rsidRDefault="009D74A3" w:rsidP="404A07B1">
            <w:pPr>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w:t>
            </w:r>
            <w:r w:rsidR="5B1AEFCE" w:rsidRPr="009D74A3">
              <w:rPr>
                <w:rFonts w:ascii="Times New Roman" w:eastAsia="Times New Roman" w:hAnsi="Times New Roman" w:cs="Times New Roman"/>
                <w:sz w:val="24"/>
                <w:szCs w:val="24"/>
              </w:rPr>
              <w:t>l artículo 3</w:t>
            </w:r>
            <w:r>
              <w:rPr>
                <w:rFonts w:ascii="Times New Roman" w:eastAsia="Times New Roman" w:hAnsi="Times New Roman" w:cs="Times New Roman"/>
                <w:sz w:val="24"/>
                <w:szCs w:val="24"/>
              </w:rPr>
              <w:t>4</w:t>
            </w:r>
            <w:r w:rsidR="5B1AEFCE" w:rsidRPr="009D74A3">
              <w:rPr>
                <w:rFonts w:ascii="Times New Roman" w:eastAsia="Times New Roman" w:hAnsi="Times New Roman" w:cs="Times New Roman"/>
                <w:sz w:val="24"/>
                <w:szCs w:val="24"/>
              </w:rPr>
              <w:t xml:space="preserve"> propone la implementación de una norma que obligue a determinadas personas y entidades a suministrar información tributaria bajo los lineamientos del artículo 162 del Decreto Ley 1421 de 1993 y el artículo 585 del Estatuto Tributario Nacional, permitiendo así a la Dirección Distrital de Impuestos de Bogotá ejercer sus funciones con mayor eficacia y transparencia.</w:t>
            </w:r>
          </w:p>
          <w:p w14:paraId="2291EA2B" w14:textId="3C6A286C" w:rsidR="4BF3870E" w:rsidRPr="009D74A3" w:rsidRDefault="4BF3870E" w:rsidP="008B29A2">
            <w:pPr>
              <w:contextualSpacing/>
              <w:jc w:val="both"/>
              <w:rPr>
                <w:rFonts w:ascii="Times New Roman" w:eastAsia="Times New Roman" w:hAnsi="Times New Roman" w:cs="Times New Roman"/>
                <w:sz w:val="24"/>
                <w:szCs w:val="24"/>
              </w:rPr>
            </w:pPr>
          </w:p>
          <w:p w14:paraId="631C1A30" w14:textId="4BFD6140" w:rsidR="4BF3870E" w:rsidRPr="009D74A3" w:rsidRDefault="0B96B5FF" w:rsidP="008B29A2">
            <w:pPr>
              <w:contextualSpacing/>
              <w:jc w:val="both"/>
              <w:rPr>
                <w:rFonts w:ascii="Times New Roman" w:eastAsia="Times New Roman" w:hAnsi="Times New Roman" w:cs="Times New Roman"/>
                <w:b/>
                <w:bCs/>
                <w:color w:val="000000" w:themeColor="text1"/>
                <w:sz w:val="24"/>
                <w:szCs w:val="24"/>
              </w:rPr>
            </w:pPr>
            <w:r w:rsidRPr="009D74A3">
              <w:rPr>
                <w:rFonts w:ascii="Times New Roman" w:eastAsia="Times New Roman" w:hAnsi="Times New Roman" w:cs="Times New Roman"/>
                <w:b/>
                <w:bCs/>
                <w:color w:val="000000" w:themeColor="text1"/>
                <w:sz w:val="24"/>
                <w:szCs w:val="24"/>
              </w:rPr>
              <w:t>Eliminación de impuestos</w:t>
            </w:r>
          </w:p>
          <w:p w14:paraId="6C239623" w14:textId="398FA71F" w:rsidR="4BF3870E" w:rsidRPr="009D74A3" w:rsidRDefault="4BF3870E" w:rsidP="008B29A2">
            <w:pPr>
              <w:contextualSpacing/>
              <w:jc w:val="both"/>
              <w:rPr>
                <w:rFonts w:ascii="Times New Roman" w:eastAsia="Times New Roman" w:hAnsi="Times New Roman" w:cs="Times New Roman"/>
                <w:b/>
                <w:bCs/>
                <w:color w:val="000000" w:themeColor="text1"/>
                <w:sz w:val="24"/>
                <w:szCs w:val="24"/>
              </w:rPr>
            </w:pPr>
          </w:p>
          <w:p w14:paraId="690C6E77" w14:textId="71B307EE" w:rsidR="4BF3870E" w:rsidRPr="009D74A3" w:rsidRDefault="0B96B5FF" w:rsidP="008B29A2">
            <w:pPr>
              <w:contextualSpacing/>
              <w:jc w:val="both"/>
              <w:rPr>
                <w:rFonts w:ascii="Times New Roman" w:eastAsia="Times New Roman" w:hAnsi="Times New Roman" w:cs="Times New Roman"/>
                <w:color w:val="000000" w:themeColor="text1"/>
                <w:sz w:val="24"/>
                <w:szCs w:val="24"/>
                <w:lang w:val="es-ES"/>
              </w:rPr>
            </w:pPr>
            <w:r w:rsidRPr="009D74A3">
              <w:rPr>
                <w:rFonts w:ascii="Times New Roman" w:eastAsia="Times New Roman" w:hAnsi="Times New Roman" w:cs="Times New Roman"/>
                <w:color w:val="000000" w:themeColor="text1"/>
                <w:sz w:val="24"/>
                <w:szCs w:val="24"/>
              </w:rPr>
              <w:t xml:space="preserve">Con el fin de simplificar el sistema tributario distrital y aliviar las cargas de los contribuyentes, el artículo </w:t>
            </w:r>
            <w:r w:rsidR="59645D0C" w:rsidRPr="009D74A3">
              <w:rPr>
                <w:rFonts w:ascii="Times New Roman" w:eastAsia="Times New Roman" w:hAnsi="Times New Roman" w:cs="Times New Roman"/>
                <w:color w:val="000000" w:themeColor="text1"/>
                <w:sz w:val="24"/>
                <w:szCs w:val="24"/>
              </w:rPr>
              <w:t>3</w:t>
            </w:r>
            <w:r w:rsidR="009D74A3">
              <w:rPr>
                <w:rFonts w:ascii="Times New Roman" w:eastAsia="Times New Roman" w:hAnsi="Times New Roman" w:cs="Times New Roman"/>
                <w:color w:val="000000" w:themeColor="text1"/>
                <w:sz w:val="24"/>
                <w:szCs w:val="24"/>
              </w:rPr>
              <w:t>5</w:t>
            </w:r>
            <w:r w:rsidRPr="009D74A3">
              <w:rPr>
                <w:rFonts w:ascii="Times New Roman" w:eastAsia="Times New Roman" w:hAnsi="Times New Roman" w:cs="Times New Roman"/>
                <w:color w:val="000000" w:themeColor="text1"/>
                <w:sz w:val="24"/>
                <w:szCs w:val="24"/>
              </w:rPr>
              <w:t xml:space="preserve"> pretende eliminar </w:t>
            </w:r>
            <w:r w:rsidR="009D74A3">
              <w:rPr>
                <w:rFonts w:ascii="Times New Roman" w:eastAsia="Times New Roman" w:hAnsi="Times New Roman" w:cs="Times New Roman"/>
                <w:color w:val="000000" w:themeColor="text1"/>
                <w:sz w:val="24"/>
                <w:szCs w:val="24"/>
              </w:rPr>
              <w:t>el impuesto</w:t>
            </w:r>
            <w:r w:rsidRPr="009D74A3">
              <w:rPr>
                <w:rFonts w:ascii="Times New Roman" w:eastAsia="Times New Roman" w:hAnsi="Times New Roman" w:cs="Times New Roman"/>
                <w:color w:val="000000" w:themeColor="text1"/>
                <w:sz w:val="24"/>
                <w:szCs w:val="24"/>
              </w:rPr>
              <w:t xml:space="preserve"> </w:t>
            </w:r>
            <w:r w:rsidRPr="009D74A3">
              <w:rPr>
                <w:rFonts w:ascii="Times New Roman" w:eastAsia="Times New Roman" w:hAnsi="Times New Roman" w:cs="Times New Roman"/>
                <w:color w:val="000000" w:themeColor="text1"/>
                <w:sz w:val="24"/>
                <w:szCs w:val="24"/>
                <w:lang w:val="es-ES"/>
              </w:rPr>
              <w:t>de publicidad exterior visual</w:t>
            </w:r>
            <w:r w:rsidR="009D74A3">
              <w:rPr>
                <w:rFonts w:ascii="Times New Roman" w:eastAsia="Times New Roman" w:hAnsi="Times New Roman" w:cs="Times New Roman"/>
                <w:color w:val="000000" w:themeColor="text1"/>
                <w:sz w:val="24"/>
                <w:szCs w:val="24"/>
                <w:lang w:val="es-ES"/>
              </w:rPr>
              <w:t>.</w:t>
            </w:r>
          </w:p>
          <w:p w14:paraId="1E81535D" w14:textId="247AAEA2" w:rsidR="4BF3870E" w:rsidRPr="009D74A3" w:rsidRDefault="4BF3870E" w:rsidP="008B29A2">
            <w:pPr>
              <w:contextualSpacing/>
              <w:jc w:val="both"/>
              <w:rPr>
                <w:rFonts w:ascii="Times New Roman" w:eastAsia="Times New Roman" w:hAnsi="Times New Roman" w:cs="Times New Roman"/>
                <w:sz w:val="24"/>
                <w:szCs w:val="24"/>
              </w:rPr>
            </w:pPr>
          </w:p>
          <w:p w14:paraId="67B029C2" w14:textId="0C2FAA2E" w:rsidR="0529D278" w:rsidRPr="009D74A3" w:rsidRDefault="0529D278" w:rsidP="008B29A2">
            <w:pPr>
              <w:contextualSpacing/>
              <w:jc w:val="both"/>
              <w:rPr>
                <w:rFonts w:ascii="Times New Roman" w:eastAsia="Times New Roman" w:hAnsi="Times New Roman" w:cs="Times New Roman"/>
                <w:b/>
                <w:bCs/>
                <w:color w:val="000000" w:themeColor="text1"/>
                <w:sz w:val="24"/>
                <w:szCs w:val="24"/>
                <w:lang w:val="es-ES"/>
              </w:rPr>
            </w:pPr>
            <w:r w:rsidRPr="009D74A3">
              <w:rPr>
                <w:rFonts w:ascii="Times New Roman" w:eastAsia="Times New Roman" w:hAnsi="Times New Roman" w:cs="Times New Roman"/>
                <w:b/>
                <w:bCs/>
                <w:color w:val="000000" w:themeColor="text1"/>
                <w:sz w:val="24"/>
                <w:szCs w:val="24"/>
                <w:lang w:val="es-ES"/>
              </w:rPr>
              <w:t xml:space="preserve">Procedimiento tributario – Sistema de pago alternativo por cuotas en el impuesto sobre </w:t>
            </w:r>
            <w:r w:rsidR="5B3BB93A" w:rsidRPr="009D74A3">
              <w:rPr>
                <w:rFonts w:ascii="Times New Roman" w:eastAsia="Times New Roman" w:hAnsi="Times New Roman" w:cs="Times New Roman"/>
                <w:b/>
                <w:bCs/>
                <w:color w:val="000000" w:themeColor="text1"/>
                <w:sz w:val="24"/>
                <w:szCs w:val="24"/>
                <w:lang w:val="es-ES"/>
              </w:rPr>
              <w:t>vehículos</w:t>
            </w:r>
            <w:r w:rsidRPr="009D74A3">
              <w:rPr>
                <w:rFonts w:ascii="Times New Roman" w:eastAsia="Times New Roman" w:hAnsi="Times New Roman" w:cs="Times New Roman"/>
                <w:b/>
                <w:bCs/>
                <w:color w:val="000000" w:themeColor="text1"/>
                <w:sz w:val="24"/>
                <w:szCs w:val="24"/>
                <w:lang w:val="es-ES"/>
              </w:rPr>
              <w:t xml:space="preserve"> automo</w:t>
            </w:r>
            <w:r w:rsidR="03EB635B" w:rsidRPr="009D74A3">
              <w:rPr>
                <w:rFonts w:ascii="Times New Roman" w:eastAsia="Times New Roman" w:hAnsi="Times New Roman" w:cs="Times New Roman"/>
                <w:b/>
                <w:bCs/>
                <w:color w:val="000000" w:themeColor="text1"/>
                <w:sz w:val="24"/>
                <w:szCs w:val="24"/>
                <w:lang w:val="es-ES"/>
              </w:rPr>
              <w:t>tores</w:t>
            </w:r>
          </w:p>
          <w:p w14:paraId="1CF43278" w14:textId="79B85ACC" w:rsidR="4BF3870E" w:rsidRPr="009D74A3" w:rsidRDefault="4BF3870E" w:rsidP="008B29A2">
            <w:pPr>
              <w:contextualSpacing/>
              <w:jc w:val="both"/>
              <w:rPr>
                <w:rFonts w:ascii="Times New Roman" w:eastAsia="Times New Roman" w:hAnsi="Times New Roman" w:cs="Times New Roman"/>
                <w:b/>
                <w:bCs/>
                <w:color w:val="000000" w:themeColor="text1"/>
                <w:sz w:val="24"/>
                <w:szCs w:val="24"/>
                <w:lang w:val="es-ES"/>
              </w:rPr>
            </w:pPr>
          </w:p>
          <w:p w14:paraId="2B5E4E29" w14:textId="7DC8B34F" w:rsidR="16D8F17D" w:rsidRDefault="16D8F17D" w:rsidP="008B29A2">
            <w:pPr>
              <w:contextualSpacing/>
              <w:jc w:val="both"/>
              <w:rPr>
                <w:rFonts w:ascii="Times New Roman" w:eastAsia="Times New Roman" w:hAnsi="Times New Roman" w:cs="Times New Roman"/>
                <w:color w:val="000000" w:themeColor="text1"/>
                <w:sz w:val="24"/>
                <w:szCs w:val="24"/>
                <w:lang w:val="es-ES"/>
              </w:rPr>
            </w:pPr>
            <w:r w:rsidRPr="009D74A3">
              <w:rPr>
                <w:rFonts w:ascii="Times New Roman" w:eastAsia="Times New Roman" w:hAnsi="Times New Roman" w:cs="Times New Roman"/>
                <w:color w:val="000000" w:themeColor="text1"/>
                <w:sz w:val="24"/>
                <w:szCs w:val="24"/>
                <w:lang w:val="es-ES"/>
              </w:rPr>
              <w:t xml:space="preserve">El artículo </w:t>
            </w:r>
            <w:r w:rsidR="5CA8D08D" w:rsidRPr="009D74A3">
              <w:rPr>
                <w:rFonts w:ascii="Times New Roman" w:eastAsia="Times New Roman" w:hAnsi="Times New Roman" w:cs="Times New Roman"/>
                <w:color w:val="000000" w:themeColor="text1"/>
                <w:sz w:val="24"/>
                <w:szCs w:val="24"/>
                <w:lang w:val="es-ES"/>
              </w:rPr>
              <w:t>3</w:t>
            </w:r>
            <w:r w:rsidR="009D74A3">
              <w:rPr>
                <w:rFonts w:ascii="Times New Roman" w:eastAsia="Times New Roman" w:hAnsi="Times New Roman" w:cs="Times New Roman"/>
                <w:color w:val="000000" w:themeColor="text1"/>
                <w:sz w:val="24"/>
                <w:szCs w:val="24"/>
                <w:lang w:val="es-ES"/>
              </w:rPr>
              <w:t>6</w:t>
            </w:r>
            <w:r w:rsidRPr="009D74A3">
              <w:rPr>
                <w:rFonts w:ascii="Times New Roman" w:eastAsia="Times New Roman" w:hAnsi="Times New Roman" w:cs="Times New Roman"/>
                <w:color w:val="000000" w:themeColor="text1"/>
                <w:sz w:val="24"/>
                <w:szCs w:val="24"/>
                <w:lang w:val="es-ES"/>
              </w:rPr>
              <w:t xml:space="preserve"> del proyecto de acuerdo modifica el artículo 296 del Acuerdo </w:t>
            </w:r>
            <w:r w:rsidR="00E97B69">
              <w:rPr>
                <w:rFonts w:ascii="Times New Roman" w:eastAsia="Times New Roman" w:hAnsi="Times New Roman" w:cs="Times New Roman"/>
                <w:color w:val="000000" w:themeColor="text1"/>
                <w:sz w:val="24"/>
                <w:szCs w:val="24"/>
                <w:lang w:val="es-ES"/>
              </w:rPr>
              <w:t xml:space="preserve">Distrital </w:t>
            </w:r>
            <w:r w:rsidRPr="009D74A3">
              <w:rPr>
                <w:rFonts w:ascii="Times New Roman" w:eastAsia="Times New Roman" w:hAnsi="Times New Roman" w:cs="Times New Roman"/>
                <w:color w:val="000000" w:themeColor="text1"/>
                <w:sz w:val="24"/>
                <w:szCs w:val="24"/>
                <w:lang w:val="es-ES"/>
              </w:rPr>
              <w:t xml:space="preserve">927 de 2024 con el fin de posponer la entrada en vigencia del </w:t>
            </w:r>
            <w:r w:rsidR="758E4395" w:rsidRPr="009D74A3">
              <w:rPr>
                <w:rFonts w:ascii="Times New Roman" w:eastAsia="Times New Roman" w:hAnsi="Times New Roman" w:cs="Times New Roman"/>
                <w:color w:val="000000" w:themeColor="text1"/>
                <w:sz w:val="24"/>
                <w:szCs w:val="24"/>
                <w:lang w:val="es-ES"/>
              </w:rPr>
              <w:t>Sistema de pago alternativo por cuotas</w:t>
            </w:r>
            <w:r w:rsidR="5A5C5E99" w:rsidRPr="009D74A3">
              <w:rPr>
                <w:rFonts w:ascii="Times New Roman" w:eastAsia="Times New Roman" w:hAnsi="Times New Roman" w:cs="Times New Roman"/>
                <w:color w:val="000000" w:themeColor="text1"/>
                <w:sz w:val="24"/>
                <w:szCs w:val="24"/>
                <w:lang w:val="es-ES"/>
              </w:rPr>
              <w:t xml:space="preserve"> - SPAC</w:t>
            </w:r>
            <w:r w:rsidR="758E4395" w:rsidRPr="009D74A3">
              <w:rPr>
                <w:rFonts w:ascii="Times New Roman" w:eastAsia="Times New Roman" w:hAnsi="Times New Roman" w:cs="Times New Roman"/>
                <w:color w:val="000000" w:themeColor="text1"/>
                <w:sz w:val="24"/>
                <w:szCs w:val="24"/>
                <w:lang w:val="es-ES"/>
              </w:rPr>
              <w:t xml:space="preserve"> en el impuesto sobre vehículos automotores en aras de garantizar la adecuada parametrización de los sistemas de la Secretaría Distrital de Hacienda </w:t>
            </w:r>
            <w:r w:rsidR="7169127C" w:rsidRPr="009D74A3">
              <w:rPr>
                <w:rFonts w:ascii="Times New Roman" w:eastAsia="Times New Roman" w:hAnsi="Times New Roman" w:cs="Times New Roman"/>
                <w:color w:val="000000" w:themeColor="text1"/>
                <w:sz w:val="24"/>
                <w:szCs w:val="24"/>
                <w:lang w:val="es-ES"/>
              </w:rPr>
              <w:t>así</w:t>
            </w:r>
            <w:r w:rsidR="758E4395" w:rsidRPr="009D74A3">
              <w:rPr>
                <w:rFonts w:ascii="Times New Roman" w:eastAsia="Times New Roman" w:hAnsi="Times New Roman" w:cs="Times New Roman"/>
                <w:color w:val="000000" w:themeColor="text1"/>
                <w:sz w:val="24"/>
                <w:szCs w:val="24"/>
                <w:lang w:val="es-ES"/>
              </w:rPr>
              <w:t xml:space="preserve"> como el adecuado servicio y funcionamiento</w:t>
            </w:r>
            <w:r w:rsidR="16BEEB32" w:rsidRPr="009D74A3">
              <w:rPr>
                <w:rFonts w:ascii="Times New Roman" w:eastAsia="Times New Roman" w:hAnsi="Times New Roman" w:cs="Times New Roman"/>
                <w:color w:val="000000" w:themeColor="text1"/>
                <w:sz w:val="24"/>
                <w:szCs w:val="24"/>
                <w:lang w:val="es-ES"/>
              </w:rPr>
              <w:t xml:space="preserve"> </w:t>
            </w:r>
            <w:r w:rsidR="0CE39BD0" w:rsidRPr="009D74A3">
              <w:rPr>
                <w:rFonts w:ascii="Times New Roman" w:eastAsia="Times New Roman" w:hAnsi="Times New Roman" w:cs="Times New Roman"/>
                <w:color w:val="000000" w:themeColor="text1"/>
                <w:sz w:val="24"/>
                <w:szCs w:val="24"/>
                <w:lang w:val="es-ES"/>
              </w:rPr>
              <w:t>del SPAC para los contribuyentes.</w:t>
            </w:r>
          </w:p>
          <w:p w14:paraId="4ACBA8B3" w14:textId="38B8470D" w:rsidR="4BF3870E" w:rsidRDefault="4BF3870E" w:rsidP="008B29A2">
            <w:pPr>
              <w:contextualSpacing/>
              <w:jc w:val="both"/>
              <w:rPr>
                <w:rFonts w:ascii="Times New Roman" w:eastAsia="Times New Roman" w:hAnsi="Times New Roman" w:cs="Times New Roman"/>
                <w:color w:val="000000" w:themeColor="text1"/>
                <w:sz w:val="24"/>
                <w:szCs w:val="24"/>
                <w:lang w:val="es-ES"/>
              </w:rPr>
            </w:pPr>
          </w:p>
          <w:p w14:paraId="108AA2BB" w14:textId="7494AC6F" w:rsidR="009D74A3" w:rsidRPr="009D74A3" w:rsidRDefault="009D74A3" w:rsidP="008B29A2">
            <w:pPr>
              <w:contextualSpacing/>
              <w:jc w:val="both"/>
              <w:rPr>
                <w:rFonts w:ascii="Times New Roman" w:eastAsia="Times New Roman" w:hAnsi="Times New Roman" w:cs="Times New Roman"/>
                <w:b/>
                <w:bCs/>
                <w:color w:val="000000" w:themeColor="text1"/>
                <w:sz w:val="24"/>
                <w:szCs w:val="24"/>
                <w:lang w:val="es-ES"/>
              </w:rPr>
            </w:pPr>
            <w:r w:rsidRPr="009D74A3">
              <w:rPr>
                <w:rFonts w:ascii="Times New Roman" w:eastAsia="Times New Roman" w:hAnsi="Times New Roman" w:cs="Times New Roman"/>
                <w:b/>
                <w:bCs/>
                <w:color w:val="000000" w:themeColor="text1"/>
                <w:sz w:val="24"/>
                <w:szCs w:val="24"/>
                <w:lang w:val="es-ES"/>
              </w:rPr>
              <w:t>Procedimiento tributario – Incentivos para el adecuado cumplimiento de las obligaciones tributarias</w:t>
            </w:r>
          </w:p>
          <w:p w14:paraId="37F67EA5" w14:textId="6B40AC70" w:rsidR="009D74A3" w:rsidRDefault="009D74A3" w:rsidP="008B29A2">
            <w:pPr>
              <w:contextualSpacing/>
              <w:jc w:val="both"/>
              <w:rPr>
                <w:rFonts w:ascii="Times New Roman" w:eastAsia="Times New Roman" w:hAnsi="Times New Roman" w:cs="Times New Roman"/>
                <w:color w:val="000000" w:themeColor="text1"/>
                <w:sz w:val="24"/>
                <w:szCs w:val="24"/>
                <w:lang w:val="es-ES"/>
              </w:rPr>
            </w:pPr>
          </w:p>
          <w:p w14:paraId="2B242B1E" w14:textId="400D589D" w:rsidR="009D74A3" w:rsidRDefault="009D74A3" w:rsidP="008B29A2">
            <w:pPr>
              <w:contextualSpacing/>
              <w:jc w:val="both"/>
              <w:rPr>
                <w:rFonts w:ascii="Times New Roman" w:eastAsia="Times New Roman" w:hAnsi="Times New Roman" w:cs="Times New Roman"/>
                <w:color w:val="000000" w:themeColor="text1"/>
                <w:sz w:val="24"/>
                <w:szCs w:val="24"/>
                <w:lang w:val="es-ES"/>
              </w:rPr>
            </w:pPr>
            <w:r>
              <w:rPr>
                <w:rFonts w:ascii="Times New Roman" w:eastAsia="Times New Roman" w:hAnsi="Times New Roman" w:cs="Times New Roman"/>
                <w:color w:val="000000" w:themeColor="text1"/>
                <w:sz w:val="24"/>
                <w:szCs w:val="24"/>
                <w:lang w:val="es-ES"/>
              </w:rPr>
              <w:t>El artículo 37 tiene por objeto flexibilizar los incentivos económicos que puede otorgar la Administración Tributaria a los contribuyentes por la realización de conductas asociadas al adecuado cumplimiento de sus obligaciones tributarias.</w:t>
            </w:r>
          </w:p>
          <w:p w14:paraId="77ED7223" w14:textId="77777777" w:rsidR="009D74A3" w:rsidRPr="009D74A3" w:rsidRDefault="009D74A3" w:rsidP="008B29A2">
            <w:pPr>
              <w:contextualSpacing/>
              <w:jc w:val="both"/>
              <w:rPr>
                <w:rFonts w:ascii="Times New Roman" w:eastAsia="Times New Roman" w:hAnsi="Times New Roman" w:cs="Times New Roman"/>
                <w:color w:val="000000" w:themeColor="text1"/>
                <w:sz w:val="24"/>
                <w:szCs w:val="24"/>
                <w:lang w:val="es-ES"/>
              </w:rPr>
            </w:pPr>
          </w:p>
          <w:p w14:paraId="21575B9C" w14:textId="13BAEF3C" w:rsidR="22C267D5" w:rsidRPr="009D74A3" w:rsidRDefault="22C267D5" w:rsidP="008B29A2">
            <w:pPr>
              <w:contextualSpacing/>
              <w:jc w:val="both"/>
              <w:rPr>
                <w:rFonts w:ascii="Times New Roman" w:eastAsia="Times New Roman" w:hAnsi="Times New Roman" w:cs="Times New Roman"/>
                <w:b/>
                <w:bCs/>
                <w:sz w:val="24"/>
                <w:szCs w:val="24"/>
              </w:rPr>
            </w:pPr>
            <w:r w:rsidRPr="009D74A3">
              <w:rPr>
                <w:rFonts w:ascii="Times New Roman" w:eastAsia="Times New Roman" w:hAnsi="Times New Roman" w:cs="Times New Roman"/>
                <w:b/>
                <w:bCs/>
                <w:sz w:val="24"/>
                <w:szCs w:val="24"/>
              </w:rPr>
              <w:t>Simplificación del ordenamiento jurídico tributario</w:t>
            </w:r>
          </w:p>
          <w:p w14:paraId="68959C5B" w14:textId="78381795" w:rsidR="4BF3870E" w:rsidRPr="009D74A3" w:rsidRDefault="4BF3870E" w:rsidP="008B29A2">
            <w:pPr>
              <w:contextualSpacing/>
              <w:jc w:val="both"/>
              <w:rPr>
                <w:rFonts w:ascii="Times New Roman" w:eastAsia="Times New Roman" w:hAnsi="Times New Roman" w:cs="Times New Roman"/>
                <w:sz w:val="24"/>
                <w:szCs w:val="24"/>
              </w:rPr>
            </w:pPr>
          </w:p>
          <w:p w14:paraId="67921AD9" w14:textId="2AB853CE" w:rsidR="401FF59F" w:rsidRPr="009D74A3" w:rsidRDefault="401FF59F" w:rsidP="008B29A2">
            <w:pPr>
              <w:contextualSpacing/>
              <w:jc w:val="both"/>
              <w:rPr>
                <w:rFonts w:ascii="Times New Roman" w:eastAsia="Times New Roman" w:hAnsi="Times New Roman" w:cs="Times New Roman"/>
                <w:sz w:val="24"/>
                <w:szCs w:val="24"/>
              </w:rPr>
            </w:pPr>
            <w:r w:rsidRPr="009D74A3">
              <w:rPr>
                <w:rFonts w:ascii="Times New Roman" w:eastAsia="Times New Roman" w:hAnsi="Times New Roman" w:cs="Times New Roman"/>
                <w:sz w:val="24"/>
                <w:szCs w:val="24"/>
              </w:rPr>
              <w:t xml:space="preserve">El </w:t>
            </w:r>
            <w:r w:rsidR="22F89182" w:rsidRPr="009D74A3">
              <w:rPr>
                <w:rFonts w:ascii="Times New Roman" w:eastAsia="Times New Roman" w:hAnsi="Times New Roman" w:cs="Times New Roman"/>
                <w:sz w:val="24"/>
                <w:szCs w:val="24"/>
              </w:rPr>
              <w:t>artículo</w:t>
            </w:r>
            <w:r w:rsidRPr="009D74A3">
              <w:rPr>
                <w:rFonts w:ascii="Times New Roman" w:eastAsia="Times New Roman" w:hAnsi="Times New Roman" w:cs="Times New Roman"/>
                <w:sz w:val="24"/>
                <w:szCs w:val="24"/>
              </w:rPr>
              <w:t xml:space="preserve"> </w:t>
            </w:r>
            <w:r w:rsidR="06D18876" w:rsidRPr="009D74A3">
              <w:rPr>
                <w:rFonts w:ascii="Times New Roman" w:eastAsia="Times New Roman" w:hAnsi="Times New Roman" w:cs="Times New Roman"/>
                <w:sz w:val="24"/>
                <w:szCs w:val="24"/>
              </w:rPr>
              <w:t>3</w:t>
            </w:r>
            <w:r w:rsidR="009D74A3">
              <w:rPr>
                <w:rFonts w:ascii="Times New Roman" w:eastAsia="Times New Roman" w:hAnsi="Times New Roman" w:cs="Times New Roman"/>
                <w:sz w:val="24"/>
                <w:szCs w:val="24"/>
              </w:rPr>
              <w:t>8</w:t>
            </w:r>
            <w:r w:rsidR="5D348BB3" w:rsidRPr="009D74A3">
              <w:rPr>
                <w:rFonts w:ascii="Times New Roman" w:eastAsia="Times New Roman" w:hAnsi="Times New Roman" w:cs="Times New Roman"/>
                <w:sz w:val="24"/>
                <w:szCs w:val="24"/>
              </w:rPr>
              <w:t xml:space="preserve"> busca facultar al Alcalde Mayor de Bogotá para expedir un Estatuto Único Tributario de Bogotá, con el fin de compilar </w:t>
            </w:r>
            <w:r w:rsidR="1F178DAC" w:rsidRPr="009D74A3">
              <w:rPr>
                <w:rFonts w:ascii="Times New Roman" w:eastAsia="Times New Roman" w:hAnsi="Times New Roman" w:cs="Times New Roman"/>
                <w:sz w:val="24"/>
                <w:szCs w:val="24"/>
              </w:rPr>
              <w:t>en un solo cuerpo normativo todas las normas tributarias vigentes en el Distrito Capital en aras de facilitar a los contribuyentes en el conocimiento, entendimiento y aplicación de las mismas en el cumplimiento de sus obligaciones.</w:t>
            </w:r>
          </w:p>
          <w:p w14:paraId="417E6FE4" w14:textId="2433B979" w:rsidR="003A7E0E" w:rsidRPr="009D74A3" w:rsidRDefault="003A7E0E" w:rsidP="008B29A2">
            <w:pPr>
              <w:contextualSpacing/>
              <w:jc w:val="center"/>
              <w:rPr>
                <w:rFonts w:ascii="Times New Roman" w:eastAsia="Times New Roman" w:hAnsi="Times New Roman" w:cs="Times New Roman"/>
                <w:i/>
                <w:iCs/>
                <w:color w:val="767171" w:themeColor="background2" w:themeShade="80"/>
                <w:sz w:val="24"/>
                <w:szCs w:val="24"/>
              </w:rPr>
            </w:pPr>
          </w:p>
          <w:p w14:paraId="358DED44" w14:textId="5A362C6A" w:rsidR="003A7E0E" w:rsidRPr="009D74A3" w:rsidRDefault="003A7E0E" w:rsidP="008B29A2">
            <w:pPr>
              <w:contextualSpacing/>
              <w:jc w:val="center"/>
              <w:rPr>
                <w:rFonts w:ascii="Times New Roman" w:eastAsia="Times New Roman" w:hAnsi="Times New Roman" w:cs="Times New Roman"/>
                <w:i/>
                <w:iCs/>
                <w:color w:val="767171" w:themeColor="background2" w:themeShade="80"/>
                <w:sz w:val="24"/>
                <w:szCs w:val="24"/>
              </w:rPr>
            </w:pPr>
          </w:p>
        </w:tc>
      </w:tr>
      <w:tr w:rsidR="003A7E0E" w:rsidRPr="00EA0322" w14:paraId="082FC73B" w14:textId="77777777" w:rsidTr="00740130">
        <w:trPr>
          <w:trHeight w:val="300"/>
        </w:trPr>
        <w:tc>
          <w:tcPr>
            <w:tcW w:w="10290" w:type="dxa"/>
          </w:tcPr>
          <w:p w14:paraId="04A6A5B5" w14:textId="59B1C27E" w:rsidR="003A7E0E" w:rsidRPr="00EA0322" w:rsidRDefault="0006315B" w:rsidP="008B29A2">
            <w:pPr>
              <w:contextualSpacing/>
              <w:jc w:val="center"/>
              <w:rPr>
                <w:rFonts w:ascii="Times New Roman" w:hAnsi="Times New Roman" w:cs="Times New Roman"/>
                <w:b/>
                <w:sz w:val="24"/>
                <w:szCs w:val="24"/>
              </w:rPr>
            </w:pPr>
            <w:r w:rsidRPr="00EA0322">
              <w:rPr>
                <w:rFonts w:ascii="Times New Roman" w:hAnsi="Times New Roman" w:cs="Times New Roman"/>
                <w:b/>
                <w:sz w:val="24"/>
                <w:szCs w:val="24"/>
              </w:rPr>
              <w:lastRenderedPageBreak/>
              <w:t>AMBITO DE APLICACIÓN</w:t>
            </w:r>
          </w:p>
        </w:tc>
      </w:tr>
      <w:tr w:rsidR="003A7E0E" w:rsidRPr="00EA0322" w14:paraId="513AB9D3" w14:textId="77777777" w:rsidTr="00740130">
        <w:trPr>
          <w:trHeight w:val="300"/>
        </w:trPr>
        <w:tc>
          <w:tcPr>
            <w:tcW w:w="10290" w:type="dxa"/>
          </w:tcPr>
          <w:p w14:paraId="2BFAD7EF" w14:textId="1AFE06A4" w:rsidR="003A7E0E" w:rsidRPr="00EA0322" w:rsidRDefault="008F4F65" w:rsidP="008B29A2">
            <w:pPr>
              <w:contextualSpacing/>
              <w:jc w:val="center"/>
              <w:rPr>
                <w:rFonts w:ascii="Times New Roman" w:hAnsi="Times New Roman" w:cs="Times New Roman"/>
                <w:i/>
                <w:color w:val="767171" w:themeColor="background2" w:themeShade="80"/>
                <w:sz w:val="24"/>
                <w:szCs w:val="24"/>
              </w:rPr>
            </w:pPr>
            <w:r w:rsidRPr="00EA0322">
              <w:rPr>
                <w:rFonts w:ascii="Times New Roman" w:hAnsi="Times New Roman" w:cs="Times New Roman"/>
                <w:i/>
                <w:sz w:val="24"/>
                <w:szCs w:val="24"/>
              </w:rPr>
              <w:t>Obligados tributarios del Distrito Capital</w:t>
            </w:r>
          </w:p>
        </w:tc>
      </w:tr>
      <w:tr w:rsidR="003A7E0E" w:rsidRPr="00EA0322" w14:paraId="3D48E6A0" w14:textId="77777777" w:rsidTr="00740130">
        <w:trPr>
          <w:trHeight w:val="300"/>
        </w:trPr>
        <w:tc>
          <w:tcPr>
            <w:tcW w:w="10290" w:type="dxa"/>
          </w:tcPr>
          <w:p w14:paraId="54F7B0DD" w14:textId="77777777" w:rsidR="003A7E0E" w:rsidRPr="00EA0322" w:rsidRDefault="00585E78" w:rsidP="008B29A2">
            <w:pPr>
              <w:contextualSpacing/>
              <w:jc w:val="center"/>
              <w:rPr>
                <w:rFonts w:ascii="Times New Roman" w:hAnsi="Times New Roman" w:cs="Times New Roman"/>
                <w:b/>
                <w:sz w:val="24"/>
                <w:szCs w:val="24"/>
              </w:rPr>
            </w:pPr>
            <w:r w:rsidRPr="00EA0322">
              <w:rPr>
                <w:rFonts w:ascii="Times New Roman" w:hAnsi="Times New Roman" w:cs="Times New Roman"/>
                <w:b/>
                <w:sz w:val="24"/>
                <w:szCs w:val="24"/>
              </w:rPr>
              <w:t xml:space="preserve">MARCO </w:t>
            </w:r>
            <w:r w:rsidR="0067116F" w:rsidRPr="00EA0322">
              <w:rPr>
                <w:rFonts w:ascii="Times New Roman" w:hAnsi="Times New Roman" w:cs="Times New Roman"/>
                <w:b/>
                <w:sz w:val="24"/>
                <w:szCs w:val="24"/>
              </w:rPr>
              <w:t>JURÍDICO</w:t>
            </w:r>
          </w:p>
        </w:tc>
      </w:tr>
      <w:tr w:rsidR="003A7E0E" w:rsidRPr="00EA0322" w14:paraId="33539592" w14:textId="77777777" w:rsidTr="00740130">
        <w:trPr>
          <w:trHeight w:val="300"/>
        </w:trPr>
        <w:tc>
          <w:tcPr>
            <w:tcW w:w="10290" w:type="dxa"/>
          </w:tcPr>
          <w:p w14:paraId="22984353" w14:textId="77777777" w:rsidR="00F84961" w:rsidRPr="00EA0322" w:rsidRDefault="00F84961" w:rsidP="008B29A2">
            <w:pPr>
              <w:contextualSpacing/>
              <w:rPr>
                <w:rFonts w:ascii="Times New Roman" w:hAnsi="Times New Roman" w:cs="Times New Roman"/>
                <w:i/>
                <w:color w:val="767171" w:themeColor="background2" w:themeShade="80"/>
                <w:sz w:val="24"/>
                <w:szCs w:val="24"/>
              </w:rPr>
            </w:pPr>
          </w:p>
          <w:p w14:paraId="12C0E1FF" w14:textId="41E4F49D" w:rsidR="00F84961" w:rsidRPr="00EA0322" w:rsidRDefault="00F84961" w:rsidP="008B29A2">
            <w:pPr>
              <w:snapToGrid w:val="0"/>
              <w:contextualSpacing/>
              <w:rPr>
                <w:rFonts w:ascii="Times New Roman" w:hAnsi="Times New Roman" w:cs="Times New Roman"/>
                <w:b/>
                <w:sz w:val="24"/>
                <w:szCs w:val="24"/>
              </w:rPr>
            </w:pPr>
            <w:r w:rsidRPr="00EA0322">
              <w:rPr>
                <w:rFonts w:ascii="Times New Roman" w:hAnsi="Times New Roman" w:cs="Times New Roman"/>
                <w:b/>
                <w:sz w:val="24"/>
                <w:szCs w:val="24"/>
              </w:rPr>
              <w:t>COMPETENCIA DEL CONCEJO DISTRITAL</w:t>
            </w:r>
          </w:p>
          <w:p w14:paraId="0CAAAF35" w14:textId="77777777" w:rsidR="00F84961" w:rsidRPr="00EA0322" w:rsidRDefault="00F84961" w:rsidP="008B29A2">
            <w:pPr>
              <w:snapToGrid w:val="0"/>
              <w:contextualSpacing/>
              <w:jc w:val="both"/>
              <w:rPr>
                <w:rFonts w:ascii="Times New Roman" w:hAnsi="Times New Roman" w:cs="Times New Roman"/>
                <w:b/>
                <w:sz w:val="24"/>
                <w:szCs w:val="24"/>
              </w:rPr>
            </w:pPr>
          </w:p>
          <w:p w14:paraId="0B10473E" w14:textId="77777777" w:rsidR="00F84961" w:rsidRPr="00EA0322" w:rsidRDefault="00F84961" w:rsidP="008B29A2">
            <w:pPr>
              <w:snapToGrid w:val="0"/>
              <w:contextualSpacing/>
              <w:jc w:val="both"/>
              <w:rPr>
                <w:rFonts w:ascii="Times New Roman" w:hAnsi="Times New Roman" w:cs="Times New Roman"/>
                <w:i/>
                <w:iCs/>
                <w:sz w:val="24"/>
                <w:szCs w:val="24"/>
              </w:rPr>
            </w:pPr>
            <w:r w:rsidRPr="00EA0322">
              <w:rPr>
                <w:rFonts w:ascii="Times New Roman" w:hAnsi="Times New Roman" w:cs="Times New Roman"/>
                <w:b/>
                <w:sz w:val="24"/>
                <w:szCs w:val="24"/>
              </w:rPr>
              <w:t xml:space="preserve"> Constitución Política: </w:t>
            </w:r>
            <w:r w:rsidRPr="00EA0322">
              <w:rPr>
                <w:rFonts w:ascii="Times New Roman" w:hAnsi="Times New Roman" w:cs="Times New Roman"/>
                <w:sz w:val="24"/>
                <w:szCs w:val="24"/>
              </w:rPr>
              <w:t xml:space="preserve">El Concejo de Bogotá es competente para aprobar este proyecto de acuerdo, de conformidad con el numeral 3° del artículo 287 de la Constitución Política que señala que las entidades territoriales gozan de autonomía para la gestión de sus intereses, dentro de los límites de la Constitución y la ley, razón por la cual tienen derecho de </w:t>
            </w:r>
            <w:r w:rsidRPr="00EA0322">
              <w:rPr>
                <w:rFonts w:ascii="Times New Roman" w:hAnsi="Times New Roman" w:cs="Times New Roman"/>
                <w:i/>
                <w:iCs/>
                <w:sz w:val="24"/>
                <w:szCs w:val="24"/>
              </w:rPr>
              <w:t>“Administrar los recursos y establecer los tributos necesarios para el cumplimiento de sus funciones”.</w:t>
            </w:r>
          </w:p>
          <w:p w14:paraId="0A89D7D7" w14:textId="77777777" w:rsidR="00F84961" w:rsidRPr="00EA0322" w:rsidRDefault="00F84961" w:rsidP="008B29A2">
            <w:pPr>
              <w:snapToGrid w:val="0"/>
              <w:contextualSpacing/>
              <w:jc w:val="both"/>
              <w:rPr>
                <w:rFonts w:ascii="Times New Roman" w:hAnsi="Times New Roman" w:cs="Times New Roman"/>
                <w:b/>
                <w:sz w:val="24"/>
                <w:szCs w:val="24"/>
              </w:rPr>
            </w:pPr>
          </w:p>
          <w:p w14:paraId="6529FD10" w14:textId="37726838" w:rsidR="00F84961" w:rsidRPr="00EA0322" w:rsidRDefault="00F84961" w:rsidP="008B29A2">
            <w:pPr>
              <w:contextualSpacing/>
              <w:jc w:val="both"/>
              <w:rPr>
                <w:rFonts w:ascii="Times New Roman" w:hAnsi="Times New Roman" w:cs="Times New Roman"/>
                <w:i/>
                <w:iCs/>
                <w:sz w:val="24"/>
                <w:szCs w:val="24"/>
                <w:lang w:eastAsia="es-ES_tradnl"/>
              </w:rPr>
            </w:pPr>
            <w:r w:rsidRPr="00EA0322">
              <w:rPr>
                <w:rFonts w:ascii="Times New Roman" w:hAnsi="Times New Roman" w:cs="Times New Roman"/>
                <w:sz w:val="24"/>
                <w:szCs w:val="24"/>
              </w:rPr>
              <w:t xml:space="preserve">En concordancia con lo anterior, </w:t>
            </w:r>
            <w:r w:rsidRPr="00EA0322">
              <w:rPr>
                <w:rFonts w:ascii="Times New Roman" w:hAnsi="Times New Roman" w:cs="Times New Roman"/>
                <w:sz w:val="24"/>
                <w:szCs w:val="24"/>
                <w:lang w:eastAsia="es-ES_tradnl"/>
              </w:rPr>
              <w:t xml:space="preserve">el numeral 3° del artículo 12 numeral 1 del Decreto Ley 1421 de 1993 preceptúa que corresponde al Concejo Distrital, de conformidad con la Constitución y a la ley </w:t>
            </w:r>
            <w:r w:rsidRPr="00EA0322">
              <w:rPr>
                <w:rFonts w:ascii="Times New Roman" w:hAnsi="Times New Roman" w:cs="Times New Roman"/>
                <w:i/>
                <w:iCs/>
                <w:sz w:val="24"/>
                <w:szCs w:val="24"/>
                <w:lang w:eastAsia="es-ES_tradnl"/>
              </w:rPr>
              <w:t>“Establecer, reformar o eliminar tributos, contribuciones, impuestos y sobretasas: ordenar exenciones tributarias y establecer sistemas de retención y anticipos con el fin de garantizar el efectivo recaudo de aquéllos”</w:t>
            </w:r>
            <w:r w:rsidR="00FA08DA" w:rsidRPr="00EA0322">
              <w:rPr>
                <w:rFonts w:ascii="Times New Roman" w:hAnsi="Times New Roman" w:cs="Times New Roman"/>
                <w:i/>
                <w:iCs/>
                <w:sz w:val="24"/>
                <w:szCs w:val="24"/>
                <w:lang w:eastAsia="es-ES_tradnl"/>
              </w:rPr>
              <w:t>.</w:t>
            </w:r>
          </w:p>
          <w:p w14:paraId="2D6D8F59" w14:textId="77777777" w:rsidR="00FA08DA" w:rsidRPr="00EA0322" w:rsidRDefault="00FA08DA" w:rsidP="008B29A2">
            <w:pPr>
              <w:contextualSpacing/>
              <w:jc w:val="both"/>
              <w:rPr>
                <w:rFonts w:ascii="Times New Roman" w:hAnsi="Times New Roman" w:cs="Times New Roman"/>
                <w:i/>
                <w:iCs/>
                <w:sz w:val="24"/>
                <w:szCs w:val="24"/>
                <w:lang w:eastAsia="es-ES_tradnl"/>
              </w:rPr>
            </w:pPr>
          </w:p>
          <w:p w14:paraId="1A433BFF" w14:textId="77777777" w:rsidR="00FA08DA" w:rsidRPr="00EA0322" w:rsidRDefault="00FA08DA" w:rsidP="008B29A2">
            <w:pPr>
              <w:snapToGrid w:val="0"/>
              <w:contextualSpacing/>
              <w:jc w:val="both"/>
              <w:rPr>
                <w:rFonts w:ascii="Times New Roman" w:hAnsi="Times New Roman" w:cs="Times New Roman"/>
                <w:sz w:val="24"/>
                <w:szCs w:val="24"/>
              </w:rPr>
            </w:pPr>
            <w:r w:rsidRPr="00EA0322">
              <w:rPr>
                <w:rFonts w:ascii="Times New Roman" w:hAnsi="Times New Roman" w:cs="Times New Roman"/>
                <w:sz w:val="24"/>
                <w:szCs w:val="24"/>
              </w:rPr>
              <w:t>Sobre esta competencia, la Corte Constitucional en sentencia C-448 de 2020</w:t>
            </w:r>
            <w:r w:rsidRPr="00EA0322">
              <w:rPr>
                <w:rStyle w:val="Refdenotaalpie"/>
                <w:rFonts w:ascii="Times New Roman" w:hAnsi="Times New Roman" w:cs="Times New Roman"/>
                <w:sz w:val="24"/>
                <w:szCs w:val="24"/>
              </w:rPr>
              <w:footnoteReference w:id="39"/>
            </w:r>
            <w:r w:rsidRPr="00EA0322">
              <w:rPr>
                <w:rFonts w:ascii="Times New Roman" w:hAnsi="Times New Roman" w:cs="Times New Roman"/>
                <w:sz w:val="24"/>
                <w:szCs w:val="24"/>
              </w:rPr>
              <w:t>, señaló:</w:t>
            </w:r>
          </w:p>
          <w:p w14:paraId="20616720" w14:textId="77777777" w:rsidR="00FA08DA" w:rsidRPr="00EA0322" w:rsidRDefault="00FA08DA" w:rsidP="008B29A2">
            <w:pPr>
              <w:snapToGrid w:val="0"/>
              <w:contextualSpacing/>
              <w:jc w:val="both"/>
              <w:rPr>
                <w:rFonts w:ascii="Times New Roman" w:hAnsi="Times New Roman" w:cs="Times New Roman"/>
                <w:sz w:val="24"/>
                <w:szCs w:val="24"/>
              </w:rPr>
            </w:pPr>
          </w:p>
          <w:p w14:paraId="11CB6923" w14:textId="0B30A927" w:rsidR="00FA08DA" w:rsidRPr="00EA0322" w:rsidRDefault="00FA08DA" w:rsidP="008B29A2">
            <w:pPr>
              <w:ind w:left="589" w:right="605"/>
              <w:contextualSpacing/>
              <w:jc w:val="both"/>
              <w:rPr>
                <w:rFonts w:ascii="Times New Roman" w:hAnsi="Times New Roman" w:cs="Times New Roman"/>
                <w:sz w:val="20"/>
                <w:szCs w:val="20"/>
                <w:lang w:eastAsia="es-ES_tradnl"/>
              </w:rPr>
            </w:pPr>
            <w:r w:rsidRPr="00EA0322">
              <w:rPr>
                <w:rFonts w:ascii="Times New Roman" w:hAnsi="Times New Roman" w:cs="Times New Roman"/>
                <w:color w:val="2D2D2D"/>
                <w:sz w:val="20"/>
                <w:szCs w:val="20"/>
                <w:shd w:val="clear" w:color="auto" w:fill="FFFFFF"/>
              </w:rPr>
              <w:t>Justamente, en tratándose de la tributación territorial de fuente endógena, aunque la jurisprudencia ha reconocido que la Constitución faculta al Legislador </w:t>
            </w:r>
            <w:r w:rsidRPr="00EA0322">
              <w:rPr>
                <w:rFonts w:ascii="Times New Roman" w:hAnsi="Times New Roman" w:cs="Times New Roman"/>
                <w:color w:val="2D2D2D"/>
                <w:sz w:val="20"/>
                <w:szCs w:val="20"/>
                <w:bdr w:val="none" w:sz="0" w:space="0" w:color="auto" w:frame="1"/>
                <w:shd w:val="clear" w:color="auto" w:fill="FFFFFF"/>
              </w:rPr>
              <w:t>“para fijar ciertas pautas, orientaciones y regulaciones o limitaciones generales en el ejercicio de la atribución impositiva del impuesto”, “</w:t>
            </w:r>
            <w:r w:rsidRPr="00EA0322">
              <w:rPr>
                <w:rFonts w:ascii="Times New Roman" w:hAnsi="Times New Roman" w:cs="Times New Roman"/>
                <w:b/>
                <w:bCs/>
                <w:color w:val="2D2D2D"/>
                <w:sz w:val="20"/>
                <w:szCs w:val="20"/>
                <w:bdr w:val="none" w:sz="0" w:space="0" w:color="auto" w:frame="1"/>
                <w:shd w:val="clear" w:color="auto" w:fill="FFFFFF"/>
              </w:rPr>
              <w:t>lo que no le está permitido al legislador es fijar la tasa impositiva</w:t>
            </w:r>
            <w:r w:rsidRPr="00EA0322">
              <w:rPr>
                <w:rFonts w:ascii="Times New Roman" w:hAnsi="Times New Roman" w:cs="Times New Roman"/>
                <w:color w:val="2D2D2D"/>
                <w:sz w:val="20"/>
                <w:szCs w:val="20"/>
                <w:bdr w:val="none" w:sz="0" w:space="0" w:color="auto" w:frame="1"/>
                <w:shd w:val="clear" w:color="auto" w:fill="FFFFFF"/>
              </w:rPr>
              <w:t>, </w:t>
            </w:r>
            <w:r w:rsidRPr="00EA0322">
              <w:rPr>
                <w:rFonts w:ascii="Times New Roman" w:hAnsi="Times New Roman" w:cs="Times New Roman"/>
                <w:b/>
                <w:bCs/>
                <w:color w:val="2D2D2D"/>
                <w:sz w:val="20"/>
                <w:szCs w:val="20"/>
                <w:bdr w:val="none" w:sz="0" w:space="0" w:color="auto" w:frame="1"/>
                <w:shd w:val="clear" w:color="auto" w:fill="FFFFFF"/>
              </w:rPr>
              <w:t>la administración, el recaudo o el control del mismo</w:t>
            </w:r>
            <w:r w:rsidRPr="00EA0322">
              <w:rPr>
                <w:rFonts w:ascii="Times New Roman" w:hAnsi="Times New Roman" w:cs="Times New Roman"/>
                <w:color w:val="2D2D2D"/>
                <w:sz w:val="20"/>
                <w:szCs w:val="20"/>
                <w:bdr w:val="none" w:sz="0" w:space="0" w:color="auto" w:frame="1"/>
                <w:shd w:val="clear" w:color="auto" w:fill="FFFFFF"/>
              </w:rPr>
              <w:t>, (…)”</w:t>
            </w:r>
            <w:hyperlink r:id="rId69" w:anchor="_ftn74" w:history="1">
              <w:r w:rsidRPr="00EA0322">
                <w:rPr>
                  <w:rStyle w:val="Hipervnculo"/>
                  <w:rFonts w:ascii="Times New Roman" w:hAnsi="Times New Roman" w:cs="Times New Roman"/>
                  <w:sz w:val="20"/>
                  <w:szCs w:val="20"/>
                  <w:bdr w:val="none" w:sz="0" w:space="0" w:color="auto" w:frame="1"/>
                  <w:lang w:val="es-ES_tradnl"/>
                </w:rPr>
                <w:t>[74]</w:t>
              </w:r>
            </w:hyperlink>
            <w:bookmarkStart w:id="8" w:name="_ftnref72"/>
            <w:r w:rsidRPr="00EA0322">
              <w:rPr>
                <w:rFonts w:ascii="Times New Roman" w:hAnsi="Times New Roman" w:cs="Times New Roman"/>
                <w:sz w:val="20"/>
                <w:szCs w:val="20"/>
              </w:rPr>
              <w:fldChar w:fldCharType="begin"/>
            </w:r>
            <w:r w:rsidRPr="00EA0322">
              <w:rPr>
                <w:rFonts w:ascii="Times New Roman" w:hAnsi="Times New Roman" w:cs="Times New Roman"/>
                <w:sz w:val="20"/>
                <w:szCs w:val="20"/>
              </w:rPr>
              <w:instrText>HYPERLINK "https://www.corteconstitucional.gov.co/relatoria/2020/C-448-20.htm" \l "_ftn72" \o ""</w:instrText>
            </w:r>
            <w:r w:rsidRPr="00EA0322">
              <w:rPr>
                <w:rFonts w:ascii="Times New Roman" w:hAnsi="Times New Roman" w:cs="Times New Roman"/>
                <w:sz w:val="20"/>
                <w:szCs w:val="20"/>
              </w:rPr>
              <w:fldChar w:fldCharType="separate"/>
            </w:r>
            <w:r w:rsidRPr="00EA0322">
              <w:rPr>
                <w:rStyle w:val="Hipervnculo"/>
                <w:rFonts w:ascii="Times New Roman" w:hAnsi="Times New Roman" w:cs="Times New Roman"/>
                <w:sz w:val="20"/>
                <w:szCs w:val="20"/>
                <w:bdr w:val="none" w:sz="0" w:space="0" w:color="auto" w:frame="1"/>
                <w:shd w:val="clear" w:color="auto" w:fill="FFFFFF"/>
                <w:vertAlign w:val="superscript"/>
              </w:rPr>
              <w:t>[72]</w:t>
            </w:r>
            <w:r w:rsidRPr="00EA0322">
              <w:rPr>
                <w:rFonts w:ascii="Times New Roman" w:hAnsi="Times New Roman" w:cs="Times New Roman"/>
                <w:sz w:val="20"/>
                <w:szCs w:val="20"/>
              </w:rPr>
              <w:fldChar w:fldCharType="end"/>
            </w:r>
            <w:bookmarkEnd w:id="8"/>
            <w:r w:rsidRPr="00EA0322">
              <w:rPr>
                <w:rFonts w:ascii="Times New Roman" w:hAnsi="Times New Roman" w:cs="Times New Roman"/>
                <w:color w:val="2D2D2D"/>
                <w:sz w:val="20"/>
                <w:szCs w:val="20"/>
                <w:bdr w:val="none" w:sz="0" w:space="0" w:color="auto" w:frame="1"/>
                <w:shd w:val="clear" w:color="auto" w:fill="FFFFFF"/>
              </w:rPr>
              <w:t>” (Énfasis fuera de texto)</w:t>
            </w:r>
            <w:bookmarkStart w:id="9" w:name="_ftnref73"/>
            <w:r w:rsidRPr="00EA0322">
              <w:rPr>
                <w:rFonts w:ascii="Times New Roman" w:hAnsi="Times New Roman" w:cs="Times New Roman"/>
                <w:color w:val="2D2D2D"/>
                <w:sz w:val="20"/>
                <w:szCs w:val="20"/>
                <w:bdr w:val="none" w:sz="0" w:space="0" w:color="auto" w:frame="1"/>
                <w:shd w:val="clear" w:color="auto" w:fill="FFFFFF"/>
              </w:rPr>
              <w:fldChar w:fldCharType="begin"/>
            </w:r>
            <w:r w:rsidRPr="00EA0322">
              <w:rPr>
                <w:rFonts w:ascii="Times New Roman" w:hAnsi="Times New Roman" w:cs="Times New Roman"/>
                <w:color w:val="2D2D2D"/>
                <w:sz w:val="20"/>
                <w:szCs w:val="20"/>
                <w:bdr w:val="none" w:sz="0" w:space="0" w:color="auto" w:frame="1"/>
                <w:shd w:val="clear" w:color="auto" w:fill="FFFFFF"/>
              </w:rPr>
              <w:instrText>HYPERLINK "https://www.corteconstitucional.gov.co/relatoria/2020/C-448-20.htm" \l "_ftn73" \o ""</w:instrText>
            </w:r>
            <w:r w:rsidRPr="00EA0322">
              <w:rPr>
                <w:rFonts w:ascii="Times New Roman" w:hAnsi="Times New Roman" w:cs="Times New Roman"/>
                <w:color w:val="2D2D2D"/>
                <w:sz w:val="20"/>
                <w:szCs w:val="20"/>
                <w:bdr w:val="none" w:sz="0" w:space="0" w:color="auto" w:frame="1"/>
                <w:shd w:val="clear" w:color="auto" w:fill="FFFFFF"/>
              </w:rPr>
              <w:fldChar w:fldCharType="separate"/>
            </w:r>
            <w:r w:rsidRPr="00EA0322">
              <w:rPr>
                <w:rStyle w:val="Refdenotaalpie"/>
                <w:rFonts w:ascii="Times New Roman" w:hAnsi="Times New Roman" w:cs="Times New Roman"/>
                <w:color w:val="0000FF"/>
                <w:sz w:val="20"/>
                <w:szCs w:val="20"/>
                <w:u w:val="single"/>
                <w:bdr w:val="none" w:sz="0" w:space="0" w:color="auto" w:frame="1"/>
                <w:shd w:val="clear" w:color="auto" w:fill="FFFFFF"/>
              </w:rPr>
              <w:t>[73]</w:t>
            </w:r>
            <w:r w:rsidRPr="00EA0322">
              <w:rPr>
                <w:rFonts w:ascii="Times New Roman" w:hAnsi="Times New Roman" w:cs="Times New Roman"/>
                <w:color w:val="2D2D2D"/>
                <w:sz w:val="20"/>
                <w:szCs w:val="20"/>
                <w:bdr w:val="none" w:sz="0" w:space="0" w:color="auto" w:frame="1"/>
                <w:shd w:val="clear" w:color="auto" w:fill="FFFFFF"/>
              </w:rPr>
              <w:fldChar w:fldCharType="end"/>
            </w:r>
            <w:bookmarkEnd w:id="9"/>
            <w:r w:rsidRPr="00EA0322">
              <w:rPr>
                <w:rFonts w:ascii="Times New Roman" w:hAnsi="Times New Roman" w:cs="Times New Roman"/>
                <w:color w:val="2D2D2D"/>
                <w:sz w:val="20"/>
                <w:szCs w:val="20"/>
                <w:bdr w:val="none" w:sz="0" w:space="0" w:color="auto" w:frame="1"/>
                <w:shd w:val="clear" w:color="auto" w:fill="FFFFFF"/>
              </w:rPr>
              <w:t xml:space="preserve">. </w:t>
            </w:r>
            <w:r w:rsidRPr="00EA0322">
              <w:rPr>
                <w:rFonts w:ascii="Times New Roman" w:hAnsi="Times New Roman" w:cs="Times New Roman"/>
                <w:b/>
                <w:bCs/>
                <w:color w:val="2D2D2D"/>
                <w:sz w:val="20"/>
                <w:szCs w:val="20"/>
                <w:bdr w:val="none" w:sz="0" w:space="0" w:color="auto" w:frame="1"/>
                <w:shd w:val="clear" w:color="auto" w:fill="FFFFFF"/>
              </w:rPr>
              <w:t>En este orden, entre las diferentes estrategias de recaudo de su propia cartera fiscal, las entidades territoriales tienen la potestad facultativa o discrecional de prever el diferimiento en el pago los impuestos de fuente endógena (art. 6), y/o de establecer incentivos para el pronto pago de dichas obligaciones</w:t>
            </w:r>
            <w:r w:rsidRPr="00EA0322">
              <w:rPr>
                <w:rFonts w:ascii="Times New Roman" w:hAnsi="Times New Roman" w:cs="Times New Roman"/>
                <w:color w:val="2D2D2D"/>
                <w:sz w:val="20"/>
                <w:szCs w:val="20"/>
                <w:bdr w:val="none" w:sz="0" w:space="0" w:color="auto" w:frame="1"/>
                <w:shd w:val="clear" w:color="auto" w:fill="FFFFFF"/>
              </w:rPr>
              <w:t xml:space="preserve"> (art. 7), -todo ello conforme con la prohibición que la Constitución le impone al legislador para “conceder exenciones ni tratamientos preferenciales en relación con los tributos de propiedad de las entidades territoriales” (CP, artículo 294)- sin que para ninguna de tales estrategias requieran de autorización legislativa ni, mucho menos, estén sujetas al establecimiento legislativo sobre las condiciones de tales gracias; cuestión esta que, por supuesto, no se opone a la atribución de responsabilidades con ocasión de una estrategia de recaudo que derive en el detrimento patrimonial del Estado.</w:t>
            </w:r>
          </w:p>
          <w:p w14:paraId="5F5CF8FB" w14:textId="77777777" w:rsidR="00362951" w:rsidRPr="00EA0322" w:rsidRDefault="00362951" w:rsidP="008B29A2">
            <w:pPr>
              <w:snapToGrid w:val="0"/>
              <w:contextualSpacing/>
              <w:jc w:val="both"/>
              <w:rPr>
                <w:rFonts w:ascii="Times New Roman" w:hAnsi="Times New Roman" w:cs="Times New Roman"/>
                <w:b/>
                <w:bCs/>
                <w:i/>
                <w:iCs/>
                <w:sz w:val="24"/>
                <w:szCs w:val="24"/>
              </w:rPr>
            </w:pPr>
          </w:p>
          <w:p w14:paraId="3A665050" w14:textId="46EBCE7A" w:rsidR="00362951" w:rsidRPr="00EA0322" w:rsidRDefault="00362951" w:rsidP="008B29A2">
            <w:pPr>
              <w:snapToGrid w:val="0"/>
              <w:contextualSpacing/>
              <w:jc w:val="both"/>
              <w:rPr>
                <w:rFonts w:ascii="Times New Roman" w:hAnsi="Times New Roman" w:cs="Times New Roman"/>
                <w:b/>
                <w:bCs/>
                <w:i/>
                <w:iCs/>
                <w:sz w:val="24"/>
                <w:szCs w:val="24"/>
              </w:rPr>
            </w:pPr>
            <w:r w:rsidRPr="00EA0322">
              <w:rPr>
                <w:rFonts w:ascii="Times New Roman" w:hAnsi="Times New Roman" w:cs="Times New Roman"/>
                <w:b/>
                <w:bCs/>
                <w:i/>
                <w:iCs/>
                <w:sz w:val="24"/>
                <w:szCs w:val="24"/>
              </w:rPr>
              <w:t>Iniciativa del Alcalde Mayor</w:t>
            </w:r>
          </w:p>
          <w:p w14:paraId="0223EE53" w14:textId="77777777" w:rsidR="00362951" w:rsidRPr="00EA0322" w:rsidRDefault="00362951" w:rsidP="008B29A2">
            <w:pPr>
              <w:snapToGrid w:val="0"/>
              <w:contextualSpacing/>
              <w:jc w:val="both"/>
              <w:rPr>
                <w:rFonts w:ascii="Times New Roman" w:hAnsi="Times New Roman" w:cs="Times New Roman"/>
                <w:sz w:val="24"/>
                <w:szCs w:val="24"/>
              </w:rPr>
            </w:pPr>
          </w:p>
          <w:p w14:paraId="377A90CA" w14:textId="77777777" w:rsidR="00362951" w:rsidRPr="00EA0322" w:rsidRDefault="00362951" w:rsidP="008B29A2">
            <w:pPr>
              <w:snapToGrid w:val="0"/>
              <w:contextualSpacing/>
              <w:jc w:val="both"/>
              <w:rPr>
                <w:rFonts w:ascii="Times New Roman" w:hAnsi="Times New Roman" w:cs="Times New Roman"/>
                <w:bCs/>
                <w:iCs/>
                <w:sz w:val="24"/>
                <w:szCs w:val="24"/>
              </w:rPr>
            </w:pPr>
            <w:r w:rsidRPr="00EA0322">
              <w:rPr>
                <w:rFonts w:ascii="Times New Roman" w:hAnsi="Times New Roman" w:cs="Times New Roman"/>
                <w:bCs/>
                <w:iCs/>
                <w:sz w:val="24"/>
                <w:szCs w:val="24"/>
              </w:rPr>
              <w:t xml:space="preserve">En concordancia con lo anterior, el artículo 13 del citado Decreto Ley señala que </w:t>
            </w:r>
            <w:r w:rsidRPr="00EA0322">
              <w:rPr>
                <w:rFonts w:ascii="Times New Roman" w:hAnsi="Times New Roman" w:cs="Times New Roman"/>
                <w:bCs/>
                <w:i/>
                <w:sz w:val="24"/>
                <w:szCs w:val="24"/>
              </w:rPr>
              <w:t>“Sólo podrán ser dictados o reformados a iniciativa del alcalde los acuerdos a que se refieren los ordinales 2o., 3o., 4o., 5o., 8o., 9o., 14, 16, 17 y 21 del artículo anterior. Igualmente, sólo podrán ser dictados o reformados a iniciativa del alcalde los acuerdos que decreten inversiones, ordenen servicios a cargo del Distrito, {autoricen enajenar sus bienes y dispongan exenciones tributarias o cedan sus rentas}. El Concejo podrá introducir modificaciones a los proyectos presentados por el Alcalde.”</w:t>
            </w:r>
          </w:p>
          <w:p w14:paraId="7411566C" w14:textId="77777777" w:rsidR="00362951" w:rsidRPr="00EA0322" w:rsidRDefault="00362951" w:rsidP="008B29A2">
            <w:pPr>
              <w:contextualSpacing/>
              <w:jc w:val="both"/>
              <w:rPr>
                <w:rFonts w:ascii="Times New Roman" w:hAnsi="Times New Roman" w:cs="Times New Roman"/>
                <w:i/>
                <w:iCs/>
                <w:sz w:val="24"/>
                <w:szCs w:val="24"/>
                <w:shd w:val="clear" w:color="auto" w:fill="FFFFFF"/>
                <w:lang w:eastAsia="es-CO"/>
              </w:rPr>
            </w:pPr>
          </w:p>
          <w:p w14:paraId="582D5130" w14:textId="77777777" w:rsidR="00362951" w:rsidRPr="00EA0322" w:rsidRDefault="00362951" w:rsidP="008B29A2">
            <w:pPr>
              <w:contextualSpacing/>
              <w:jc w:val="both"/>
              <w:rPr>
                <w:rFonts w:ascii="Times New Roman" w:hAnsi="Times New Roman" w:cs="Times New Roman"/>
                <w:sz w:val="24"/>
                <w:szCs w:val="24"/>
                <w:shd w:val="clear" w:color="auto" w:fill="FFFFFF"/>
                <w:lang w:eastAsia="es-CO"/>
              </w:rPr>
            </w:pPr>
            <w:r w:rsidRPr="00EA0322">
              <w:rPr>
                <w:rFonts w:ascii="Times New Roman" w:hAnsi="Times New Roman" w:cs="Times New Roman"/>
                <w:sz w:val="24"/>
                <w:szCs w:val="24"/>
                <w:shd w:val="clear" w:color="auto" w:fill="FFFFFF"/>
                <w:lang w:eastAsia="es-CO"/>
              </w:rPr>
              <w:t>Así las cosas, el proyecto que nos ocupa puede ser presentado por el Alcalde Mayor de Bogotá para aprobación del Concejo Distrital.</w:t>
            </w:r>
          </w:p>
          <w:p w14:paraId="16DE443A" w14:textId="77777777" w:rsidR="00F84961" w:rsidRPr="00EA0322" w:rsidRDefault="00F84961" w:rsidP="008B29A2">
            <w:pPr>
              <w:snapToGrid w:val="0"/>
              <w:contextualSpacing/>
              <w:jc w:val="both"/>
              <w:rPr>
                <w:rFonts w:ascii="Times New Roman" w:hAnsi="Times New Roman" w:cs="Times New Roman"/>
                <w:sz w:val="24"/>
                <w:szCs w:val="24"/>
              </w:rPr>
            </w:pPr>
          </w:p>
          <w:p w14:paraId="5F8CB048" w14:textId="538F357A" w:rsidR="0063653F" w:rsidRPr="00EA0322" w:rsidRDefault="0063653F" w:rsidP="00F84961">
            <w:pPr>
              <w:pStyle w:val="Prrafodelista"/>
              <w:rPr>
                <w:rFonts w:ascii="Times New Roman" w:hAnsi="Times New Roman" w:cs="Times New Roman"/>
                <w:i/>
                <w:sz w:val="24"/>
                <w:szCs w:val="24"/>
              </w:rPr>
            </w:pPr>
          </w:p>
        </w:tc>
      </w:tr>
      <w:tr w:rsidR="003A7E0E" w:rsidRPr="00EA0322" w14:paraId="48BEB2CB" w14:textId="77777777" w:rsidTr="00740130">
        <w:trPr>
          <w:trHeight w:val="300"/>
        </w:trPr>
        <w:tc>
          <w:tcPr>
            <w:tcW w:w="10290" w:type="dxa"/>
          </w:tcPr>
          <w:p w14:paraId="289DCC98" w14:textId="77777777" w:rsidR="003A7E0E" w:rsidRPr="00EA0322" w:rsidRDefault="00573DE6" w:rsidP="008B29A2">
            <w:pPr>
              <w:contextualSpacing/>
              <w:jc w:val="center"/>
              <w:rPr>
                <w:rFonts w:ascii="Times New Roman" w:hAnsi="Times New Roman" w:cs="Times New Roman"/>
                <w:b/>
                <w:sz w:val="24"/>
                <w:szCs w:val="24"/>
              </w:rPr>
            </w:pPr>
            <w:r w:rsidRPr="00EA0322">
              <w:rPr>
                <w:rFonts w:ascii="Times New Roman" w:hAnsi="Times New Roman" w:cs="Times New Roman"/>
                <w:b/>
                <w:sz w:val="24"/>
                <w:szCs w:val="24"/>
              </w:rPr>
              <w:t>RECURSOS</w:t>
            </w:r>
            <w:r w:rsidR="004979E6" w:rsidRPr="00EA0322">
              <w:rPr>
                <w:rFonts w:ascii="Times New Roman" w:hAnsi="Times New Roman" w:cs="Times New Roman"/>
                <w:b/>
                <w:sz w:val="24"/>
                <w:szCs w:val="24"/>
              </w:rPr>
              <w:t xml:space="preserve"> DE FINANCIACIÓN PARA LA IMPLEMENTACIÓN DEL PROYECTO NORMATIVO</w:t>
            </w:r>
          </w:p>
        </w:tc>
      </w:tr>
      <w:tr w:rsidR="003A7E0E" w:rsidRPr="00EA0322" w14:paraId="1AAD65A2" w14:textId="77777777" w:rsidTr="00740130">
        <w:trPr>
          <w:trHeight w:val="300"/>
        </w:trPr>
        <w:tc>
          <w:tcPr>
            <w:tcW w:w="10290" w:type="dxa"/>
          </w:tcPr>
          <w:p w14:paraId="56DDEBD6" w14:textId="0DB49CC0" w:rsidR="003A7E0E" w:rsidRPr="00EA0322" w:rsidRDefault="007B18CD" w:rsidP="008B29A2">
            <w:pPr>
              <w:contextualSpacing/>
              <w:jc w:val="center"/>
              <w:rPr>
                <w:rFonts w:ascii="Times New Roman" w:hAnsi="Times New Roman" w:cs="Times New Roman"/>
                <w:iCs/>
                <w:sz w:val="24"/>
                <w:szCs w:val="24"/>
              </w:rPr>
            </w:pPr>
            <w:r w:rsidRPr="00EA0322">
              <w:rPr>
                <w:rFonts w:ascii="Times New Roman" w:hAnsi="Times New Roman" w:cs="Times New Roman"/>
                <w:iCs/>
                <w:sz w:val="24"/>
                <w:szCs w:val="24"/>
              </w:rPr>
              <w:t>No aplica</w:t>
            </w:r>
          </w:p>
        </w:tc>
      </w:tr>
      <w:tr w:rsidR="003A7E0E" w:rsidRPr="00EA0322" w14:paraId="476A6F64" w14:textId="77777777" w:rsidTr="00740130">
        <w:trPr>
          <w:trHeight w:val="300"/>
        </w:trPr>
        <w:tc>
          <w:tcPr>
            <w:tcW w:w="10290" w:type="dxa"/>
          </w:tcPr>
          <w:p w14:paraId="0920B91E" w14:textId="77777777" w:rsidR="003A7E0E" w:rsidRPr="00EA0322" w:rsidRDefault="00D72F69" w:rsidP="008B29A2">
            <w:pPr>
              <w:contextualSpacing/>
              <w:jc w:val="center"/>
              <w:rPr>
                <w:rFonts w:ascii="Times New Roman" w:hAnsi="Times New Roman" w:cs="Times New Roman"/>
                <w:b/>
                <w:sz w:val="24"/>
                <w:szCs w:val="24"/>
              </w:rPr>
            </w:pPr>
            <w:r w:rsidRPr="00EA0322">
              <w:rPr>
                <w:rFonts w:ascii="Times New Roman" w:hAnsi="Times New Roman" w:cs="Times New Roman"/>
                <w:b/>
                <w:sz w:val="24"/>
                <w:szCs w:val="24"/>
              </w:rPr>
              <w:t>IMPACTO MEDIOAMBIENTAL O SOBRE EL PATRIMONIO CULTURAL DISTRITAL</w:t>
            </w:r>
          </w:p>
        </w:tc>
      </w:tr>
      <w:tr w:rsidR="003A7E0E" w:rsidRPr="00EA0322" w14:paraId="0EBFD98E" w14:textId="77777777" w:rsidTr="00740130">
        <w:trPr>
          <w:trHeight w:val="300"/>
        </w:trPr>
        <w:tc>
          <w:tcPr>
            <w:tcW w:w="10290" w:type="dxa"/>
          </w:tcPr>
          <w:p w14:paraId="594031B5" w14:textId="711D824F" w:rsidR="003A7E0E" w:rsidRPr="00EA0322" w:rsidRDefault="007B18CD" w:rsidP="008B29A2">
            <w:pPr>
              <w:contextualSpacing/>
              <w:jc w:val="center"/>
              <w:rPr>
                <w:rFonts w:ascii="Times New Roman" w:hAnsi="Times New Roman" w:cs="Times New Roman"/>
                <w:iCs/>
                <w:sz w:val="24"/>
                <w:szCs w:val="24"/>
              </w:rPr>
            </w:pPr>
            <w:r w:rsidRPr="00EA0322">
              <w:rPr>
                <w:rFonts w:ascii="Times New Roman" w:hAnsi="Times New Roman" w:cs="Times New Roman"/>
                <w:iCs/>
                <w:color w:val="767171" w:themeColor="background2" w:themeShade="80"/>
                <w:sz w:val="24"/>
                <w:szCs w:val="24"/>
              </w:rPr>
              <w:t>No aplica</w:t>
            </w:r>
          </w:p>
        </w:tc>
      </w:tr>
    </w:tbl>
    <w:p w14:paraId="7109C62B" w14:textId="77777777" w:rsidR="003A7E0E" w:rsidRDefault="003A7E0E" w:rsidP="008B29A2">
      <w:pPr>
        <w:spacing w:after="0" w:line="240" w:lineRule="auto"/>
        <w:contextualSpacing/>
        <w:rPr>
          <w:rFonts w:ascii="Times New Roman" w:hAnsi="Times New Roman" w:cs="Times New Roman"/>
          <w:sz w:val="24"/>
          <w:szCs w:val="24"/>
        </w:rPr>
      </w:pPr>
    </w:p>
    <w:tbl>
      <w:tblPr>
        <w:tblStyle w:val="Tablaconcuadrcula"/>
        <w:tblW w:w="0" w:type="auto"/>
        <w:tblLook w:val="04A0" w:firstRow="1" w:lastRow="0" w:firstColumn="1" w:lastColumn="0" w:noHBand="0" w:noVBand="1"/>
      </w:tblPr>
      <w:tblGrid>
        <w:gridCol w:w="7366"/>
        <w:gridCol w:w="2704"/>
      </w:tblGrid>
      <w:tr w:rsidR="00685A31" w14:paraId="04C62006" w14:textId="77777777" w:rsidTr="00B0680A">
        <w:tc>
          <w:tcPr>
            <w:tcW w:w="10070" w:type="dxa"/>
            <w:gridSpan w:val="2"/>
          </w:tcPr>
          <w:p w14:paraId="1F04588F" w14:textId="77777777" w:rsidR="00685A31" w:rsidRPr="00685A31" w:rsidRDefault="00685A31" w:rsidP="008B29A2">
            <w:pPr>
              <w:contextualSpacing/>
              <w:jc w:val="center"/>
              <w:rPr>
                <w:rFonts w:ascii="Times New Roman" w:hAnsi="Times New Roman" w:cs="Times New Roman"/>
                <w:b/>
                <w:sz w:val="24"/>
                <w:szCs w:val="24"/>
              </w:rPr>
            </w:pPr>
            <w:r>
              <w:rPr>
                <w:rFonts w:ascii="Times New Roman" w:hAnsi="Times New Roman" w:cs="Times New Roman"/>
                <w:b/>
                <w:sz w:val="24"/>
                <w:szCs w:val="24"/>
              </w:rPr>
              <w:t>ANEXOS</w:t>
            </w:r>
          </w:p>
        </w:tc>
      </w:tr>
      <w:tr w:rsidR="00685A31" w14:paraId="64FB7492" w14:textId="77777777" w:rsidTr="00B0680A">
        <w:tc>
          <w:tcPr>
            <w:tcW w:w="7366" w:type="dxa"/>
          </w:tcPr>
          <w:p w14:paraId="3FC730E4" w14:textId="462A1BAD" w:rsidR="00685A31" w:rsidRDefault="002F06F2" w:rsidP="008B29A2">
            <w:pPr>
              <w:contextualSpacing/>
              <w:jc w:val="both"/>
              <w:rPr>
                <w:rFonts w:ascii="Times New Roman" w:hAnsi="Times New Roman" w:cs="Times New Roman"/>
                <w:sz w:val="24"/>
                <w:szCs w:val="24"/>
              </w:rPr>
            </w:pPr>
            <w:r>
              <w:rPr>
                <w:rFonts w:ascii="Times New Roman" w:hAnsi="Times New Roman" w:cs="Times New Roman"/>
                <w:sz w:val="24"/>
                <w:szCs w:val="24"/>
              </w:rPr>
              <w:t>Certificación de pub</w:t>
            </w:r>
            <w:r w:rsidR="006320C1">
              <w:rPr>
                <w:rFonts w:ascii="Times New Roman" w:hAnsi="Times New Roman" w:cs="Times New Roman"/>
                <w:sz w:val="24"/>
                <w:szCs w:val="24"/>
              </w:rPr>
              <w:t>licación en el portal LegalBog</w:t>
            </w:r>
            <w:r w:rsidR="00BB302A">
              <w:rPr>
                <w:rFonts w:ascii="Times New Roman" w:hAnsi="Times New Roman" w:cs="Times New Roman"/>
                <w:sz w:val="24"/>
                <w:szCs w:val="24"/>
              </w:rPr>
              <w:t xml:space="preserve"> (</w:t>
            </w:r>
            <w:r w:rsidR="006320C1" w:rsidRPr="00BB302A">
              <w:rPr>
                <w:rFonts w:ascii="Times New Roman" w:hAnsi="Times New Roman" w:cs="Times New Roman"/>
                <w:i/>
                <w:sz w:val="24"/>
                <w:szCs w:val="24"/>
              </w:rPr>
              <w:t>si no requiere de publicación por favor enuncie la e</w:t>
            </w:r>
            <w:r w:rsidR="00BB302A" w:rsidRPr="00BB302A">
              <w:rPr>
                <w:rFonts w:ascii="Times New Roman" w:hAnsi="Times New Roman" w:cs="Times New Roman"/>
                <w:i/>
                <w:sz w:val="24"/>
                <w:szCs w:val="24"/>
              </w:rPr>
              <w:t xml:space="preserve">xcepción prevista en </w:t>
            </w:r>
            <w:r w:rsidR="00BB3667">
              <w:rPr>
                <w:rFonts w:ascii="Times New Roman" w:hAnsi="Times New Roman" w:cs="Times New Roman"/>
                <w:i/>
                <w:sz w:val="24"/>
                <w:szCs w:val="24"/>
              </w:rPr>
              <w:t>la normatividad distrital (Decreto Distrital de Gobernanza Regulatoria,</w:t>
            </w:r>
            <w:r w:rsidR="00D14D24">
              <w:rPr>
                <w:rFonts w:ascii="Times New Roman" w:hAnsi="Times New Roman" w:cs="Times New Roman"/>
                <w:i/>
                <w:sz w:val="24"/>
                <w:szCs w:val="24"/>
              </w:rPr>
              <w:t xml:space="preserve"> artículo 10º).</w:t>
            </w:r>
          </w:p>
        </w:tc>
        <w:tc>
          <w:tcPr>
            <w:tcW w:w="2704" w:type="dxa"/>
          </w:tcPr>
          <w:p w14:paraId="57AB62D5" w14:textId="6CDC608D" w:rsidR="00685A31" w:rsidRDefault="004A2BA1" w:rsidP="008B29A2">
            <w:pPr>
              <w:contextualSpacing/>
              <w:rPr>
                <w:rFonts w:ascii="Times New Roman" w:hAnsi="Times New Roman" w:cs="Times New Roman"/>
                <w:sz w:val="24"/>
                <w:szCs w:val="24"/>
              </w:rPr>
            </w:pPr>
            <w:r>
              <w:rPr>
                <w:rFonts w:ascii="Times New Roman" w:hAnsi="Times New Roman" w:cs="Times New Roman"/>
                <w:sz w:val="24"/>
                <w:szCs w:val="24"/>
              </w:rPr>
              <w:t>N/A</w:t>
            </w:r>
          </w:p>
        </w:tc>
      </w:tr>
      <w:tr w:rsidR="004A2BA1" w14:paraId="7897217B" w14:textId="77777777" w:rsidTr="00B0680A">
        <w:tc>
          <w:tcPr>
            <w:tcW w:w="7366" w:type="dxa"/>
          </w:tcPr>
          <w:p w14:paraId="1DB3F429" w14:textId="7CFC8CF1" w:rsidR="004A2BA1" w:rsidRDefault="004A2BA1" w:rsidP="004A2BA1">
            <w:pPr>
              <w:contextualSpacing/>
              <w:jc w:val="both"/>
              <w:rPr>
                <w:rFonts w:ascii="Times New Roman" w:hAnsi="Times New Roman" w:cs="Times New Roman"/>
                <w:sz w:val="24"/>
                <w:szCs w:val="24"/>
              </w:rPr>
            </w:pPr>
            <w:r>
              <w:rPr>
                <w:rFonts w:ascii="Times New Roman" w:hAnsi="Times New Roman" w:cs="Times New Roman"/>
                <w:sz w:val="24"/>
                <w:szCs w:val="24"/>
              </w:rPr>
              <w:t xml:space="preserve">Matriz de observaciones y respuestas a los proyectos. </w:t>
            </w:r>
            <w:r>
              <w:rPr>
                <w:rFonts w:ascii="Times New Roman" w:hAnsi="Times New Roman" w:cs="Times New Roman"/>
                <w:i/>
                <w:sz w:val="24"/>
                <w:szCs w:val="24"/>
              </w:rPr>
              <w:t>(Decreto Distrital de Gobernanza Regulatoria, artículo 12º).</w:t>
            </w:r>
            <w:r>
              <w:rPr>
                <w:rFonts w:ascii="Times New Roman" w:hAnsi="Times New Roman" w:cs="Times New Roman"/>
                <w:sz w:val="24"/>
                <w:szCs w:val="24"/>
              </w:rPr>
              <w:t xml:space="preserve"> </w:t>
            </w:r>
          </w:p>
        </w:tc>
        <w:tc>
          <w:tcPr>
            <w:tcW w:w="2704" w:type="dxa"/>
          </w:tcPr>
          <w:p w14:paraId="1BAA8AAF" w14:textId="76C51FC4" w:rsidR="004A2BA1" w:rsidRDefault="004A2BA1" w:rsidP="004A2BA1">
            <w:pPr>
              <w:contextualSpacing/>
              <w:rPr>
                <w:rFonts w:ascii="Times New Roman" w:hAnsi="Times New Roman" w:cs="Times New Roman"/>
                <w:sz w:val="24"/>
                <w:szCs w:val="24"/>
              </w:rPr>
            </w:pPr>
            <w:r w:rsidRPr="005E74C5">
              <w:rPr>
                <w:rFonts w:ascii="Times New Roman" w:hAnsi="Times New Roman" w:cs="Times New Roman"/>
                <w:sz w:val="24"/>
                <w:szCs w:val="24"/>
              </w:rPr>
              <w:t>N/A</w:t>
            </w:r>
          </w:p>
        </w:tc>
      </w:tr>
      <w:tr w:rsidR="004A2BA1" w14:paraId="63EEC0BC" w14:textId="77777777" w:rsidTr="00B0680A">
        <w:tc>
          <w:tcPr>
            <w:tcW w:w="7366" w:type="dxa"/>
          </w:tcPr>
          <w:p w14:paraId="58EC5794" w14:textId="4C68DBBA" w:rsidR="004A2BA1" w:rsidRDefault="004A2BA1" w:rsidP="004A2BA1">
            <w:pPr>
              <w:contextualSpacing/>
              <w:jc w:val="both"/>
              <w:rPr>
                <w:rFonts w:ascii="Times New Roman" w:hAnsi="Times New Roman" w:cs="Times New Roman"/>
                <w:sz w:val="24"/>
                <w:szCs w:val="24"/>
              </w:rPr>
            </w:pPr>
            <w:r>
              <w:rPr>
                <w:rFonts w:ascii="Times New Roman" w:hAnsi="Times New Roman" w:cs="Times New Roman"/>
                <w:sz w:val="24"/>
                <w:szCs w:val="24"/>
              </w:rPr>
              <w:t xml:space="preserve">Si se está adoptando un nuevo trámite o la modificación del mismo, requiere la coordinación con la </w:t>
            </w:r>
            <w:r w:rsidRPr="0081158E">
              <w:rPr>
                <w:rFonts w:ascii="Times New Roman" w:hAnsi="Times New Roman" w:cs="Times New Roman"/>
                <w:sz w:val="24"/>
                <w:szCs w:val="24"/>
              </w:rPr>
              <w:t>Dirección del Sistema Distrital de Servicio a la Ciudadanía de la</w:t>
            </w:r>
            <w:r>
              <w:rPr>
                <w:rFonts w:ascii="Times New Roman" w:hAnsi="Times New Roman" w:cs="Times New Roman"/>
                <w:sz w:val="24"/>
                <w:szCs w:val="24"/>
              </w:rPr>
              <w:t xml:space="preserve"> Secretaría General de la Alcaldía Mayor para el trámite del </w:t>
            </w:r>
            <w:r w:rsidRPr="0081158E">
              <w:rPr>
                <w:rFonts w:ascii="Times New Roman" w:hAnsi="Times New Roman" w:cs="Times New Roman"/>
                <w:sz w:val="24"/>
                <w:szCs w:val="24"/>
              </w:rPr>
              <w:t>Art</w:t>
            </w:r>
            <w:r>
              <w:rPr>
                <w:rFonts w:ascii="Times New Roman" w:hAnsi="Times New Roman" w:cs="Times New Roman"/>
                <w:sz w:val="24"/>
                <w:szCs w:val="24"/>
              </w:rPr>
              <w:t>í</w:t>
            </w:r>
            <w:r w:rsidRPr="0081158E">
              <w:rPr>
                <w:rFonts w:ascii="Times New Roman" w:hAnsi="Times New Roman" w:cs="Times New Roman"/>
                <w:sz w:val="24"/>
                <w:szCs w:val="24"/>
              </w:rPr>
              <w:t>culo 39 del Decreto Ley 019 de 2012</w:t>
            </w:r>
            <w:r>
              <w:rPr>
                <w:rFonts w:ascii="Times New Roman" w:hAnsi="Times New Roman" w:cs="Times New Roman"/>
                <w:sz w:val="24"/>
                <w:szCs w:val="24"/>
              </w:rPr>
              <w:t xml:space="preserve">. </w:t>
            </w:r>
          </w:p>
        </w:tc>
        <w:tc>
          <w:tcPr>
            <w:tcW w:w="2704" w:type="dxa"/>
          </w:tcPr>
          <w:p w14:paraId="7DE8B82E" w14:textId="0360A5B5" w:rsidR="004A2BA1" w:rsidRDefault="004A2BA1" w:rsidP="004A2BA1">
            <w:pPr>
              <w:contextualSpacing/>
              <w:rPr>
                <w:rFonts w:ascii="Times New Roman" w:hAnsi="Times New Roman" w:cs="Times New Roman"/>
                <w:sz w:val="24"/>
                <w:szCs w:val="24"/>
              </w:rPr>
            </w:pPr>
            <w:r w:rsidRPr="005E74C5">
              <w:rPr>
                <w:rFonts w:ascii="Times New Roman" w:hAnsi="Times New Roman" w:cs="Times New Roman"/>
                <w:sz w:val="24"/>
                <w:szCs w:val="24"/>
              </w:rPr>
              <w:t>N/A</w:t>
            </w:r>
          </w:p>
        </w:tc>
      </w:tr>
      <w:tr w:rsidR="004A2BA1" w14:paraId="7F0C8A4A" w14:textId="77777777" w:rsidTr="00B0680A">
        <w:tc>
          <w:tcPr>
            <w:tcW w:w="7366" w:type="dxa"/>
          </w:tcPr>
          <w:p w14:paraId="5964C83C" w14:textId="0A19D1F5" w:rsidR="004A2BA1" w:rsidRDefault="004A2BA1" w:rsidP="004A2BA1">
            <w:pPr>
              <w:contextualSpacing/>
              <w:jc w:val="both"/>
              <w:rPr>
                <w:rFonts w:ascii="Times New Roman" w:hAnsi="Times New Roman" w:cs="Times New Roman"/>
                <w:sz w:val="24"/>
                <w:szCs w:val="24"/>
              </w:rPr>
            </w:pPr>
            <w:r>
              <w:rPr>
                <w:rFonts w:ascii="Times New Roman" w:hAnsi="Times New Roman" w:cs="Times New Roman"/>
                <w:sz w:val="24"/>
                <w:szCs w:val="24"/>
              </w:rPr>
              <w:t xml:space="preserve">Otro </w:t>
            </w:r>
            <w:r w:rsidRPr="006964A4">
              <w:rPr>
                <w:rFonts w:ascii="Times New Roman" w:hAnsi="Times New Roman" w:cs="Times New Roman"/>
                <w:i/>
                <w:sz w:val="24"/>
                <w:szCs w:val="24"/>
              </w:rPr>
              <w:t>(Documentos técnicos</w:t>
            </w:r>
            <w:r>
              <w:rPr>
                <w:rFonts w:ascii="Times New Roman" w:hAnsi="Times New Roman" w:cs="Times New Roman"/>
                <w:i/>
                <w:sz w:val="24"/>
                <w:szCs w:val="24"/>
              </w:rPr>
              <w:t>/científicos</w:t>
            </w:r>
            <w:r w:rsidRPr="006964A4">
              <w:rPr>
                <w:rFonts w:ascii="Times New Roman" w:hAnsi="Times New Roman" w:cs="Times New Roman"/>
                <w:i/>
                <w:sz w:val="24"/>
                <w:szCs w:val="24"/>
              </w:rPr>
              <w:t xml:space="preserve"> o informes que sirven de </w:t>
            </w:r>
            <w:r>
              <w:rPr>
                <w:rFonts w:ascii="Times New Roman" w:hAnsi="Times New Roman" w:cs="Times New Roman"/>
                <w:i/>
                <w:sz w:val="24"/>
                <w:szCs w:val="24"/>
              </w:rPr>
              <w:t>sustento para la expedición de la regulación</w:t>
            </w:r>
            <w:r w:rsidRPr="006964A4">
              <w:rPr>
                <w:rFonts w:ascii="Times New Roman" w:hAnsi="Times New Roman" w:cs="Times New Roman"/>
                <w:i/>
                <w:sz w:val="24"/>
                <w:szCs w:val="24"/>
              </w:rPr>
              <w:t>)</w:t>
            </w:r>
          </w:p>
        </w:tc>
        <w:tc>
          <w:tcPr>
            <w:tcW w:w="2704" w:type="dxa"/>
          </w:tcPr>
          <w:p w14:paraId="0A627AC5" w14:textId="2DC1BBD7" w:rsidR="004A2BA1" w:rsidRDefault="004A2BA1" w:rsidP="004A2BA1">
            <w:pPr>
              <w:contextualSpacing/>
              <w:rPr>
                <w:rFonts w:ascii="Times New Roman" w:hAnsi="Times New Roman" w:cs="Times New Roman"/>
                <w:sz w:val="24"/>
                <w:szCs w:val="24"/>
              </w:rPr>
            </w:pPr>
            <w:r w:rsidRPr="005E74C5">
              <w:rPr>
                <w:rFonts w:ascii="Times New Roman" w:hAnsi="Times New Roman" w:cs="Times New Roman"/>
                <w:sz w:val="24"/>
                <w:szCs w:val="24"/>
              </w:rPr>
              <w:t>N/A</w:t>
            </w:r>
          </w:p>
        </w:tc>
      </w:tr>
      <w:tr w:rsidR="004A2BA1" w14:paraId="1B2268CA" w14:textId="77777777" w:rsidTr="00B0680A">
        <w:tc>
          <w:tcPr>
            <w:tcW w:w="7366" w:type="dxa"/>
          </w:tcPr>
          <w:p w14:paraId="1F2237F7" w14:textId="77777777" w:rsidR="004A2BA1" w:rsidRDefault="004A2BA1" w:rsidP="004A2BA1">
            <w:pPr>
              <w:contextualSpacing/>
              <w:rPr>
                <w:rFonts w:ascii="Times New Roman" w:hAnsi="Times New Roman" w:cs="Times New Roman"/>
                <w:sz w:val="24"/>
                <w:szCs w:val="24"/>
              </w:rPr>
            </w:pPr>
            <w:r>
              <w:rPr>
                <w:rFonts w:ascii="Times New Roman" w:hAnsi="Times New Roman" w:cs="Times New Roman"/>
                <w:sz w:val="24"/>
                <w:szCs w:val="24"/>
              </w:rPr>
              <w:t>CD que contiene el proyecto normativo en formato Word</w:t>
            </w:r>
          </w:p>
        </w:tc>
        <w:tc>
          <w:tcPr>
            <w:tcW w:w="2704" w:type="dxa"/>
          </w:tcPr>
          <w:p w14:paraId="7EC9B49A" w14:textId="7C4FEB96" w:rsidR="004A2BA1" w:rsidRDefault="004A2BA1" w:rsidP="004A2BA1">
            <w:pPr>
              <w:contextualSpacing/>
              <w:rPr>
                <w:rFonts w:ascii="Times New Roman" w:hAnsi="Times New Roman" w:cs="Times New Roman"/>
                <w:sz w:val="24"/>
                <w:szCs w:val="24"/>
              </w:rPr>
            </w:pPr>
            <w:r w:rsidRPr="005E74C5">
              <w:rPr>
                <w:rFonts w:ascii="Times New Roman" w:hAnsi="Times New Roman" w:cs="Times New Roman"/>
                <w:sz w:val="24"/>
                <w:szCs w:val="24"/>
              </w:rPr>
              <w:t>N/A</w:t>
            </w:r>
          </w:p>
        </w:tc>
      </w:tr>
    </w:tbl>
    <w:p w14:paraId="121AD624" w14:textId="77777777" w:rsidR="00693195" w:rsidRDefault="00693195" w:rsidP="008B29A2">
      <w:pPr>
        <w:spacing w:after="0" w:line="240" w:lineRule="auto"/>
        <w:contextualSpacing/>
        <w:rPr>
          <w:rFonts w:ascii="Times New Roman" w:hAnsi="Times New Roman" w:cs="Times New Roman"/>
          <w:sz w:val="24"/>
          <w:szCs w:val="24"/>
        </w:rPr>
      </w:pPr>
    </w:p>
    <w:p w14:paraId="3BB19E3B" w14:textId="77777777" w:rsidR="00F74D01" w:rsidRDefault="00F74D01" w:rsidP="00F74D01">
      <w:pPr>
        <w:spacing w:after="0" w:line="240" w:lineRule="auto"/>
        <w:contextualSpacing/>
        <w:rPr>
          <w:rFonts w:ascii="Times New Roman" w:hAnsi="Times New Roman" w:cs="Times New Roman"/>
          <w:b/>
          <w:sz w:val="24"/>
          <w:szCs w:val="24"/>
        </w:rPr>
      </w:pPr>
      <w:r>
        <w:rPr>
          <w:rFonts w:ascii="Times New Roman" w:hAnsi="Times New Roman" w:cs="Times New Roman"/>
          <w:b/>
          <w:sz w:val="24"/>
          <w:szCs w:val="24"/>
        </w:rPr>
        <w:t>Aprobó</w:t>
      </w:r>
    </w:p>
    <w:p w14:paraId="28101D32" w14:textId="77777777" w:rsidR="00F74D01" w:rsidRDefault="00F74D01" w:rsidP="00F74D01">
      <w:pPr>
        <w:spacing w:after="0" w:line="240" w:lineRule="auto"/>
        <w:contextualSpacing/>
        <w:rPr>
          <w:rFonts w:ascii="Times New Roman" w:hAnsi="Times New Roman" w:cs="Times New Roman"/>
          <w:b/>
          <w:sz w:val="24"/>
          <w:szCs w:val="24"/>
        </w:rPr>
      </w:pPr>
    </w:p>
    <w:p w14:paraId="0D3CBFE3" w14:textId="77777777" w:rsidR="00F74D01" w:rsidRDefault="00F74D01" w:rsidP="00F74D01">
      <w:pPr>
        <w:spacing w:after="0" w:line="240" w:lineRule="auto"/>
        <w:contextualSpacing/>
        <w:rPr>
          <w:rFonts w:ascii="Times New Roman" w:hAnsi="Times New Roman" w:cs="Times New Roman"/>
          <w:b/>
          <w:sz w:val="24"/>
          <w:szCs w:val="24"/>
        </w:rPr>
      </w:pPr>
    </w:p>
    <w:p w14:paraId="6E9A2E32" w14:textId="77777777" w:rsidR="00F74D01" w:rsidRDefault="00F74D01" w:rsidP="00F74D01">
      <w:pPr>
        <w:spacing w:after="0" w:line="240" w:lineRule="auto"/>
        <w:contextualSpacing/>
        <w:rPr>
          <w:rFonts w:ascii="Times New Roman" w:hAnsi="Times New Roman" w:cs="Times New Roman"/>
          <w:b/>
          <w:sz w:val="24"/>
          <w:szCs w:val="24"/>
        </w:rPr>
      </w:pPr>
    </w:p>
    <w:p w14:paraId="2BEB1FFD" w14:textId="77777777" w:rsidR="00F74D01" w:rsidRPr="00042E6D" w:rsidRDefault="00F74D01" w:rsidP="00F74D01">
      <w:pPr>
        <w:spacing w:after="0" w:line="240" w:lineRule="auto"/>
        <w:jc w:val="center"/>
        <w:rPr>
          <w:rFonts w:ascii="Times New Roman" w:hAnsi="Times New Roman" w:cs="Times New Roman"/>
          <w:b/>
          <w:bCs/>
          <w:sz w:val="24"/>
          <w:szCs w:val="24"/>
        </w:rPr>
      </w:pPr>
      <w:r w:rsidRPr="00042E6D">
        <w:rPr>
          <w:rFonts w:ascii="Times New Roman" w:hAnsi="Times New Roman" w:cs="Times New Roman"/>
          <w:b/>
          <w:bCs/>
          <w:sz w:val="24"/>
          <w:szCs w:val="24"/>
        </w:rPr>
        <w:t>CARLOS FERNANDO GALÁN PACHÓN</w:t>
      </w:r>
    </w:p>
    <w:p w14:paraId="7636EF12" w14:textId="77777777" w:rsidR="00F74D01" w:rsidRPr="00042E6D" w:rsidRDefault="00F74D01" w:rsidP="00F74D01">
      <w:pPr>
        <w:spacing w:after="0" w:line="240" w:lineRule="auto"/>
        <w:jc w:val="center"/>
        <w:rPr>
          <w:rFonts w:ascii="Times New Roman" w:hAnsi="Times New Roman" w:cs="Times New Roman"/>
          <w:b/>
          <w:bCs/>
          <w:sz w:val="24"/>
          <w:szCs w:val="24"/>
        </w:rPr>
      </w:pPr>
      <w:r w:rsidRPr="00042E6D">
        <w:rPr>
          <w:rFonts w:ascii="Times New Roman" w:hAnsi="Times New Roman" w:cs="Times New Roman"/>
          <w:b/>
          <w:bCs/>
          <w:sz w:val="24"/>
          <w:szCs w:val="24"/>
        </w:rPr>
        <w:t xml:space="preserve">Alcalde Mayor de Bogotá </w:t>
      </w:r>
    </w:p>
    <w:p w14:paraId="347E6E4A" w14:textId="77777777" w:rsidR="00F74D01" w:rsidRDefault="00F74D01" w:rsidP="00F74D01">
      <w:pPr>
        <w:spacing w:after="0" w:line="240" w:lineRule="auto"/>
        <w:contextualSpacing/>
        <w:rPr>
          <w:rFonts w:ascii="Times New Roman" w:hAnsi="Times New Roman" w:cs="Times New Roman"/>
          <w:b/>
          <w:sz w:val="24"/>
          <w:szCs w:val="24"/>
        </w:rPr>
      </w:pPr>
    </w:p>
    <w:p w14:paraId="7159E452" w14:textId="77777777" w:rsidR="00F74D01" w:rsidRDefault="00F74D01" w:rsidP="00F74D01">
      <w:pPr>
        <w:spacing w:after="0" w:line="240" w:lineRule="auto"/>
        <w:jc w:val="center"/>
        <w:rPr>
          <w:rFonts w:ascii="Times New Roman" w:hAnsi="Times New Roman" w:cs="Times New Roman"/>
          <w:b/>
          <w:bCs/>
          <w:sz w:val="24"/>
          <w:szCs w:val="24"/>
        </w:rPr>
      </w:pPr>
    </w:p>
    <w:p w14:paraId="20991D05" w14:textId="77777777" w:rsidR="00F74D01" w:rsidRDefault="00F74D01" w:rsidP="00F74D01">
      <w:pPr>
        <w:spacing w:after="0" w:line="240" w:lineRule="auto"/>
        <w:jc w:val="center"/>
        <w:rPr>
          <w:rFonts w:ascii="Times New Roman" w:hAnsi="Times New Roman" w:cs="Times New Roman"/>
          <w:b/>
          <w:bCs/>
          <w:sz w:val="24"/>
          <w:szCs w:val="24"/>
        </w:rPr>
      </w:pPr>
    </w:p>
    <w:p w14:paraId="2CFB0CC7" w14:textId="77777777" w:rsidR="00F74D01" w:rsidRDefault="00F74D01" w:rsidP="00F74D01">
      <w:pPr>
        <w:spacing w:after="0" w:line="240" w:lineRule="auto"/>
        <w:jc w:val="center"/>
        <w:rPr>
          <w:rFonts w:ascii="Times New Roman" w:hAnsi="Times New Roman" w:cs="Times New Roman"/>
          <w:b/>
          <w:bCs/>
          <w:sz w:val="24"/>
          <w:szCs w:val="24"/>
        </w:rPr>
      </w:pPr>
    </w:p>
    <w:p w14:paraId="3625FE78" w14:textId="77777777" w:rsidR="00F74D01" w:rsidRDefault="00F74D01" w:rsidP="00F74D01">
      <w:pPr>
        <w:spacing w:after="0" w:line="240" w:lineRule="auto"/>
        <w:jc w:val="center"/>
        <w:rPr>
          <w:rFonts w:ascii="Times New Roman" w:hAnsi="Times New Roman" w:cs="Times New Roman"/>
          <w:b/>
          <w:sz w:val="24"/>
          <w:szCs w:val="24"/>
        </w:rPr>
      </w:pPr>
      <w:r w:rsidRPr="46221FE5">
        <w:rPr>
          <w:rFonts w:ascii="Times New Roman" w:hAnsi="Times New Roman" w:cs="Times New Roman"/>
          <w:b/>
          <w:bCs/>
          <w:sz w:val="24"/>
          <w:szCs w:val="24"/>
        </w:rPr>
        <w:t>ANA MARÍA CADENA RU</w:t>
      </w:r>
      <w:r>
        <w:rPr>
          <w:rFonts w:ascii="Times New Roman" w:hAnsi="Times New Roman" w:cs="Times New Roman"/>
          <w:b/>
          <w:bCs/>
          <w:sz w:val="24"/>
          <w:szCs w:val="24"/>
        </w:rPr>
        <w:t>Í</w:t>
      </w:r>
      <w:r w:rsidRPr="46221FE5">
        <w:rPr>
          <w:rFonts w:ascii="Times New Roman" w:hAnsi="Times New Roman" w:cs="Times New Roman"/>
          <w:b/>
          <w:bCs/>
          <w:sz w:val="24"/>
          <w:szCs w:val="24"/>
        </w:rPr>
        <w:t>Z</w:t>
      </w:r>
    </w:p>
    <w:p w14:paraId="6AA002B4" w14:textId="77777777" w:rsidR="00F74D01" w:rsidRDefault="00F74D01" w:rsidP="00F74D01">
      <w:pPr>
        <w:spacing w:after="0" w:line="240" w:lineRule="auto"/>
        <w:contextualSpacing/>
        <w:jc w:val="center"/>
        <w:rPr>
          <w:rFonts w:ascii="Times New Roman" w:hAnsi="Times New Roman" w:cs="Times New Roman"/>
          <w:b/>
          <w:sz w:val="24"/>
          <w:szCs w:val="24"/>
        </w:rPr>
      </w:pPr>
      <w:r w:rsidRPr="46221FE5">
        <w:rPr>
          <w:rFonts w:ascii="Times New Roman" w:hAnsi="Times New Roman" w:cs="Times New Roman"/>
          <w:b/>
          <w:bCs/>
          <w:sz w:val="24"/>
          <w:szCs w:val="24"/>
        </w:rPr>
        <w:t>Secretaria Distrital de Hacienda</w:t>
      </w:r>
    </w:p>
    <w:p w14:paraId="1794ADAD" w14:textId="77777777" w:rsidR="00F74D01" w:rsidRDefault="00F74D01" w:rsidP="00F74D01">
      <w:pPr>
        <w:spacing w:after="0" w:line="240" w:lineRule="auto"/>
        <w:contextualSpacing/>
        <w:jc w:val="center"/>
        <w:rPr>
          <w:rFonts w:ascii="Times New Roman" w:hAnsi="Times New Roman" w:cs="Times New Roman"/>
          <w:b/>
          <w:sz w:val="24"/>
          <w:szCs w:val="24"/>
        </w:rPr>
      </w:pPr>
    </w:p>
    <w:tbl>
      <w:tblPr>
        <w:tblStyle w:val="TableNormal1"/>
        <w:tblW w:w="0" w:type="auto"/>
        <w:tblInd w:w="3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16"/>
        <w:gridCol w:w="5760"/>
        <w:gridCol w:w="1701"/>
      </w:tblGrid>
      <w:tr w:rsidR="00F74D01" w:rsidRPr="003C1C5E" w14:paraId="6D63B841" w14:textId="77777777" w:rsidTr="00DE53DE">
        <w:trPr>
          <w:trHeight w:val="798"/>
        </w:trPr>
        <w:tc>
          <w:tcPr>
            <w:tcW w:w="1416" w:type="dxa"/>
          </w:tcPr>
          <w:p w14:paraId="3DD78A1C" w14:textId="77777777" w:rsidR="00F74D01" w:rsidRPr="003C1C5E" w:rsidRDefault="00F74D01">
            <w:pPr>
              <w:pStyle w:val="TableParagraph"/>
              <w:spacing w:before="0"/>
              <w:ind w:left="107"/>
              <w:rPr>
                <w:rFonts w:ascii="Arial" w:hAnsi="Arial" w:cs="Arial"/>
                <w:sz w:val="16"/>
                <w:szCs w:val="16"/>
              </w:rPr>
            </w:pPr>
            <w:r w:rsidRPr="003C1C5E">
              <w:rPr>
                <w:rFonts w:ascii="Arial" w:hAnsi="Arial" w:cs="Arial"/>
                <w:sz w:val="16"/>
                <w:szCs w:val="16"/>
              </w:rPr>
              <w:t>Aprobado</w:t>
            </w:r>
            <w:r w:rsidRPr="003C1C5E">
              <w:rPr>
                <w:rFonts w:ascii="Arial" w:hAnsi="Arial" w:cs="Arial"/>
                <w:spacing w:val="-2"/>
                <w:sz w:val="16"/>
                <w:szCs w:val="16"/>
              </w:rPr>
              <w:t xml:space="preserve"> </w:t>
            </w:r>
            <w:r w:rsidRPr="003C1C5E">
              <w:rPr>
                <w:rFonts w:ascii="Arial" w:hAnsi="Arial" w:cs="Arial"/>
                <w:sz w:val="16"/>
                <w:szCs w:val="16"/>
              </w:rPr>
              <w:t>por:</w:t>
            </w:r>
          </w:p>
        </w:tc>
        <w:tc>
          <w:tcPr>
            <w:tcW w:w="5760" w:type="dxa"/>
          </w:tcPr>
          <w:p w14:paraId="10DA19DC" w14:textId="77777777" w:rsidR="00F74D01" w:rsidRPr="003C1C5E" w:rsidRDefault="00F74D01">
            <w:pPr>
              <w:pStyle w:val="TableParagraph"/>
              <w:spacing w:before="0"/>
              <w:rPr>
                <w:rFonts w:ascii="Arial" w:hAnsi="Arial" w:cs="Arial"/>
                <w:sz w:val="16"/>
                <w:szCs w:val="16"/>
              </w:rPr>
            </w:pPr>
            <w:r w:rsidRPr="003C1C5E">
              <w:rPr>
                <w:rFonts w:ascii="Arial" w:hAnsi="Arial" w:cs="Arial"/>
                <w:sz w:val="16"/>
                <w:szCs w:val="16"/>
              </w:rPr>
              <w:t>Andrés</w:t>
            </w:r>
            <w:r w:rsidRPr="003C1C5E">
              <w:rPr>
                <w:rFonts w:ascii="Arial" w:hAnsi="Arial" w:cs="Arial"/>
                <w:spacing w:val="-2"/>
                <w:sz w:val="16"/>
                <w:szCs w:val="16"/>
              </w:rPr>
              <w:t xml:space="preserve"> </w:t>
            </w:r>
            <w:r w:rsidRPr="003C1C5E">
              <w:rPr>
                <w:rFonts w:ascii="Arial" w:hAnsi="Arial" w:cs="Arial"/>
                <w:sz w:val="16"/>
                <w:szCs w:val="16"/>
              </w:rPr>
              <w:t>Felipe</w:t>
            </w:r>
            <w:r w:rsidRPr="003C1C5E">
              <w:rPr>
                <w:rFonts w:ascii="Arial" w:hAnsi="Arial" w:cs="Arial"/>
                <w:spacing w:val="1"/>
                <w:sz w:val="16"/>
                <w:szCs w:val="16"/>
              </w:rPr>
              <w:t xml:space="preserve"> </w:t>
            </w:r>
            <w:r w:rsidRPr="003C1C5E">
              <w:rPr>
                <w:rFonts w:ascii="Arial" w:hAnsi="Arial" w:cs="Arial"/>
                <w:sz w:val="16"/>
                <w:szCs w:val="16"/>
              </w:rPr>
              <w:t>Uribe</w:t>
            </w:r>
            <w:r w:rsidRPr="003C1C5E">
              <w:rPr>
                <w:rFonts w:ascii="Arial" w:hAnsi="Arial" w:cs="Arial"/>
                <w:spacing w:val="-3"/>
                <w:sz w:val="16"/>
                <w:szCs w:val="16"/>
              </w:rPr>
              <w:t xml:space="preserve"> </w:t>
            </w:r>
            <w:r w:rsidRPr="003C1C5E">
              <w:rPr>
                <w:rFonts w:ascii="Arial" w:hAnsi="Arial" w:cs="Arial"/>
                <w:sz w:val="16"/>
                <w:szCs w:val="16"/>
              </w:rPr>
              <w:t>Medina</w:t>
            </w:r>
            <w:r w:rsidRPr="003C1C5E">
              <w:rPr>
                <w:rFonts w:ascii="Arial" w:hAnsi="Arial" w:cs="Arial"/>
                <w:spacing w:val="-1"/>
                <w:sz w:val="16"/>
                <w:szCs w:val="16"/>
              </w:rPr>
              <w:t xml:space="preserve"> </w:t>
            </w:r>
            <w:r w:rsidRPr="003C1C5E">
              <w:rPr>
                <w:rFonts w:ascii="Arial" w:hAnsi="Arial" w:cs="Arial"/>
                <w:sz w:val="16"/>
                <w:szCs w:val="16"/>
              </w:rPr>
              <w:t>–</w:t>
            </w:r>
            <w:r w:rsidRPr="003C1C5E">
              <w:rPr>
                <w:rFonts w:ascii="Arial" w:hAnsi="Arial" w:cs="Arial"/>
                <w:spacing w:val="-2"/>
                <w:sz w:val="16"/>
                <w:szCs w:val="16"/>
              </w:rPr>
              <w:t xml:space="preserve"> </w:t>
            </w:r>
            <w:r w:rsidRPr="003C1C5E">
              <w:rPr>
                <w:rFonts w:ascii="Arial" w:hAnsi="Arial" w:cs="Arial"/>
                <w:sz w:val="16"/>
                <w:szCs w:val="16"/>
              </w:rPr>
              <w:t>Subsecretario</w:t>
            </w:r>
            <w:r w:rsidRPr="003C1C5E">
              <w:rPr>
                <w:rFonts w:ascii="Arial" w:hAnsi="Arial" w:cs="Arial"/>
                <w:spacing w:val="-2"/>
                <w:sz w:val="16"/>
                <w:szCs w:val="16"/>
              </w:rPr>
              <w:t xml:space="preserve"> </w:t>
            </w:r>
            <w:r w:rsidRPr="003C1C5E">
              <w:rPr>
                <w:rFonts w:ascii="Arial" w:hAnsi="Arial" w:cs="Arial"/>
                <w:sz w:val="16"/>
                <w:szCs w:val="16"/>
              </w:rPr>
              <w:t>Técnico</w:t>
            </w:r>
          </w:p>
          <w:p w14:paraId="1A1EBD8E" w14:textId="77777777" w:rsidR="00F74D01" w:rsidRDefault="00F74D01">
            <w:pPr>
              <w:pStyle w:val="TableParagraph"/>
              <w:spacing w:before="0"/>
              <w:rPr>
                <w:rFonts w:ascii="Arial" w:hAnsi="Arial" w:cs="Arial"/>
                <w:sz w:val="16"/>
                <w:szCs w:val="16"/>
              </w:rPr>
            </w:pPr>
            <w:r w:rsidRPr="00CA2D8D">
              <w:rPr>
                <w:rFonts w:ascii="Arial" w:hAnsi="Arial" w:cs="Arial"/>
                <w:sz w:val="16"/>
                <w:szCs w:val="16"/>
              </w:rPr>
              <w:t>Pablo Fernando Verastegui Ni</w:t>
            </w:r>
            <w:r>
              <w:rPr>
                <w:rFonts w:ascii="Arial" w:hAnsi="Arial" w:cs="Arial"/>
                <w:sz w:val="16"/>
                <w:szCs w:val="16"/>
              </w:rPr>
              <w:t>ñ</w:t>
            </w:r>
            <w:r w:rsidRPr="00CA2D8D">
              <w:rPr>
                <w:rFonts w:ascii="Arial" w:hAnsi="Arial" w:cs="Arial"/>
                <w:sz w:val="16"/>
                <w:szCs w:val="16"/>
              </w:rPr>
              <w:t>o</w:t>
            </w:r>
            <w:r w:rsidRPr="003C1C5E">
              <w:rPr>
                <w:rFonts w:ascii="Arial" w:hAnsi="Arial" w:cs="Arial"/>
                <w:sz w:val="16"/>
                <w:szCs w:val="16"/>
              </w:rPr>
              <w:t xml:space="preserve"> – Director Distrital de </w:t>
            </w:r>
            <w:r>
              <w:rPr>
                <w:rFonts w:ascii="Arial" w:hAnsi="Arial" w:cs="Arial"/>
                <w:sz w:val="16"/>
                <w:szCs w:val="16"/>
              </w:rPr>
              <w:t>Impuestos de Bogotá</w:t>
            </w:r>
          </w:p>
          <w:p w14:paraId="285A9FA5" w14:textId="77777777" w:rsidR="00F74D01" w:rsidRDefault="00F74D01">
            <w:pPr>
              <w:pStyle w:val="TableParagraph"/>
              <w:spacing w:before="0"/>
              <w:rPr>
                <w:rFonts w:ascii="Arial" w:hAnsi="Arial" w:cs="Arial"/>
                <w:sz w:val="16"/>
                <w:szCs w:val="16"/>
              </w:rPr>
            </w:pPr>
            <w:r w:rsidRPr="003C1C5E">
              <w:rPr>
                <w:rFonts w:ascii="Arial" w:hAnsi="Arial" w:cs="Arial"/>
                <w:sz w:val="16"/>
                <w:szCs w:val="16"/>
              </w:rPr>
              <w:t>Marcela</w:t>
            </w:r>
            <w:r w:rsidRPr="003C1C5E">
              <w:rPr>
                <w:rFonts w:ascii="Arial" w:hAnsi="Arial" w:cs="Arial"/>
                <w:spacing w:val="-2"/>
                <w:sz w:val="16"/>
                <w:szCs w:val="16"/>
              </w:rPr>
              <w:t xml:space="preserve"> </w:t>
            </w:r>
            <w:r w:rsidRPr="003C1C5E">
              <w:rPr>
                <w:rFonts w:ascii="Arial" w:hAnsi="Arial" w:cs="Arial"/>
                <w:sz w:val="16"/>
                <w:szCs w:val="16"/>
              </w:rPr>
              <w:t>Gómez</w:t>
            </w:r>
            <w:r w:rsidRPr="003C1C5E">
              <w:rPr>
                <w:rFonts w:ascii="Arial" w:hAnsi="Arial" w:cs="Arial"/>
                <w:spacing w:val="-3"/>
                <w:sz w:val="16"/>
                <w:szCs w:val="16"/>
              </w:rPr>
              <w:t xml:space="preserve"> </w:t>
            </w:r>
            <w:r w:rsidRPr="003C1C5E">
              <w:rPr>
                <w:rFonts w:ascii="Arial" w:hAnsi="Arial" w:cs="Arial"/>
                <w:sz w:val="16"/>
                <w:szCs w:val="16"/>
              </w:rPr>
              <w:t>Martínez</w:t>
            </w:r>
            <w:r w:rsidRPr="003C1C5E">
              <w:rPr>
                <w:rFonts w:ascii="Arial" w:hAnsi="Arial" w:cs="Arial"/>
                <w:spacing w:val="1"/>
                <w:sz w:val="16"/>
                <w:szCs w:val="16"/>
              </w:rPr>
              <w:t xml:space="preserve"> </w:t>
            </w:r>
            <w:r w:rsidRPr="003C1C5E">
              <w:rPr>
                <w:rFonts w:ascii="Arial" w:hAnsi="Arial" w:cs="Arial"/>
                <w:sz w:val="16"/>
                <w:szCs w:val="16"/>
              </w:rPr>
              <w:t>-</w:t>
            </w:r>
            <w:r w:rsidRPr="003C1C5E">
              <w:rPr>
                <w:rFonts w:ascii="Arial" w:hAnsi="Arial" w:cs="Arial"/>
                <w:spacing w:val="-2"/>
                <w:sz w:val="16"/>
                <w:szCs w:val="16"/>
              </w:rPr>
              <w:t xml:space="preserve"> </w:t>
            </w:r>
            <w:r w:rsidRPr="003C1C5E">
              <w:rPr>
                <w:rFonts w:ascii="Arial" w:hAnsi="Arial" w:cs="Arial"/>
                <w:sz w:val="16"/>
                <w:szCs w:val="16"/>
              </w:rPr>
              <w:t>Directora</w:t>
            </w:r>
            <w:r w:rsidRPr="003C1C5E">
              <w:rPr>
                <w:rFonts w:ascii="Arial" w:hAnsi="Arial" w:cs="Arial"/>
                <w:spacing w:val="-2"/>
                <w:sz w:val="16"/>
                <w:szCs w:val="16"/>
              </w:rPr>
              <w:t xml:space="preserve"> </w:t>
            </w:r>
            <w:r w:rsidRPr="003C1C5E">
              <w:rPr>
                <w:rFonts w:ascii="Arial" w:hAnsi="Arial" w:cs="Arial"/>
                <w:sz w:val="16"/>
                <w:szCs w:val="16"/>
              </w:rPr>
              <w:t>Jurídica</w:t>
            </w:r>
            <w:r w:rsidRPr="003C1C5E">
              <w:rPr>
                <w:rFonts w:ascii="Arial" w:hAnsi="Arial" w:cs="Arial"/>
                <w:spacing w:val="-4"/>
                <w:sz w:val="16"/>
                <w:szCs w:val="16"/>
              </w:rPr>
              <w:t xml:space="preserve"> </w:t>
            </w:r>
            <w:r w:rsidRPr="003C1C5E">
              <w:rPr>
                <w:rFonts w:ascii="Arial" w:hAnsi="Arial" w:cs="Arial"/>
                <w:sz w:val="16"/>
                <w:szCs w:val="16"/>
              </w:rPr>
              <w:t xml:space="preserve">SDH </w:t>
            </w:r>
          </w:p>
          <w:p w14:paraId="37AB331E" w14:textId="77777777" w:rsidR="00F74D01" w:rsidRPr="003C1C5E" w:rsidRDefault="00F74D01">
            <w:pPr>
              <w:pStyle w:val="TableParagraph"/>
              <w:spacing w:before="0"/>
              <w:rPr>
                <w:rFonts w:ascii="Arial" w:hAnsi="Arial" w:cs="Arial"/>
                <w:sz w:val="16"/>
                <w:szCs w:val="16"/>
              </w:rPr>
            </w:pPr>
            <w:r w:rsidRPr="0002439D">
              <w:rPr>
                <w:rFonts w:ascii="Arial" w:hAnsi="Arial" w:cs="Arial"/>
                <w:sz w:val="16"/>
                <w:szCs w:val="16"/>
              </w:rPr>
              <w:t>Elena Lucía Ortiz Henao</w:t>
            </w:r>
            <w:r w:rsidRPr="003C1C5E">
              <w:rPr>
                <w:rFonts w:ascii="Arial" w:hAnsi="Arial" w:cs="Arial"/>
                <w:sz w:val="16"/>
                <w:szCs w:val="16"/>
              </w:rPr>
              <w:t xml:space="preserve"> - Subdirector</w:t>
            </w:r>
            <w:r>
              <w:rPr>
                <w:rFonts w:ascii="Arial" w:hAnsi="Arial" w:cs="Arial"/>
                <w:sz w:val="16"/>
                <w:szCs w:val="16"/>
              </w:rPr>
              <w:t>a</w:t>
            </w:r>
            <w:r w:rsidRPr="003C1C5E">
              <w:rPr>
                <w:rFonts w:ascii="Arial" w:hAnsi="Arial" w:cs="Arial"/>
                <w:sz w:val="16"/>
                <w:szCs w:val="16"/>
              </w:rPr>
              <w:t xml:space="preserve"> </w:t>
            </w:r>
            <w:r>
              <w:rPr>
                <w:rFonts w:ascii="Arial" w:hAnsi="Arial" w:cs="Arial"/>
                <w:sz w:val="16"/>
                <w:szCs w:val="16"/>
              </w:rPr>
              <w:t>Jurídico Tributaria</w:t>
            </w:r>
          </w:p>
          <w:p w14:paraId="3DD4C5E3" w14:textId="77777777" w:rsidR="00F74D01" w:rsidRPr="003C1C5E" w:rsidRDefault="00F74D01">
            <w:pPr>
              <w:pStyle w:val="TableParagraph"/>
              <w:spacing w:before="0"/>
              <w:rPr>
                <w:rFonts w:ascii="Arial" w:hAnsi="Arial" w:cs="Arial"/>
                <w:sz w:val="16"/>
                <w:szCs w:val="16"/>
              </w:rPr>
            </w:pPr>
            <w:r>
              <w:rPr>
                <w:rFonts w:ascii="Arial" w:hAnsi="Arial" w:cs="Arial"/>
                <w:sz w:val="16"/>
                <w:szCs w:val="16"/>
              </w:rPr>
              <w:t>Pedro Cuéllar Trujillo</w:t>
            </w:r>
            <w:r w:rsidRPr="003C1C5E">
              <w:rPr>
                <w:rFonts w:ascii="Arial" w:hAnsi="Arial" w:cs="Arial"/>
                <w:spacing w:val="1"/>
                <w:sz w:val="16"/>
                <w:szCs w:val="16"/>
              </w:rPr>
              <w:t xml:space="preserve"> </w:t>
            </w:r>
            <w:r w:rsidRPr="003C1C5E">
              <w:rPr>
                <w:rFonts w:ascii="Arial" w:hAnsi="Arial" w:cs="Arial"/>
                <w:sz w:val="16"/>
                <w:szCs w:val="16"/>
              </w:rPr>
              <w:t>–</w:t>
            </w:r>
            <w:r w:rsidRPr="003C1C5E">
              <w:rPr>
                <w:rFonts w:ascii="Arial" w:hAnsi="Arial" w:cs="Arial"/>
                <w:spacing w:val="-4"/>
                <w:sz w:val="16"/>
                <w:szCs w:val="16"/>
              </w:rPr>
              <w:t xml:space="preserve"> </w:t>
            </w:r>
            <w:r>
              <w:rPr>
                <w:rFonts w:ascii="Arial" w:hAnsi="Arial" w:cs="Arial"/>
                <w:sz w:val="16"/>
                <w:szCs w:val="16"/>
              </w:rPr>
              <w:t>Subdirector Jurídico de Hacienda</w:t>
            </w:r>
          </w:p>
        </w:tc>
        <w:tc>
          <w:tcPr>
            <w:tcW w:w="1701" w:type="dxa"/>
          </w:tcPr>
          <w:p w14:paraId="26B873F4" w14:textId="77777777" w:rsidR="00F74D01" w:rsidRPr="003C1C5E" w:rsidRDefault="00F74D01">
            <w:pPr>
              <w:pStyle w:val="TableParagraph"/>
              <w:spacing w:before="0"/>
              <w:rPr>
                <w:rFonts w:ascii="Arial" w:hAnsi="Arial" w:cs="Arial"/>
                <w:sz w:val="16"/>
                <w:szCs w:val="16"/>
              </w:rPr>
            </w:pPr>
          </w:p>
          <w:p w14:paraId="0D450CFE" w14:textId="77777777" w:rsidR="00F74D01" w:rsidRPr="003C1C5E" w:rsidRDefault="00F74D01">
            <w:pPr>
              <w:pStyle w:val="TableParagraph"/>
              <w:spacing w:before="0"/>
              <w:rPr>
                <w:rFonts w:ascii="Arial" w:hAnsi="Arial" w:cs="Arial"/>
                <w:sz w:val="16"/>
                <w:szCs w:val="16"/>
              </w:rPr>
            </w:pPr>
          </w:p>
          <w:p w14:paraId="2D102C57" w14:textId="77777777" w:rsidR="00F74D01" w:rsidRPr="003C1C5E" w:rsidRDefault="00F74D01">
            <w:pPr>
              <w:pStyle w:val="TableParagraph"/>
              <w:spacing w:before="0"/>
              <w:rPr>
                <w:rFonts w:ascii="Arial" w:hAnsi="Arial" w:cs="Arial"/>
                <w:sz w:val="16"/>
                <w:szCs w:val="16"/>
              </w:rPr>
            </w:pPr>
          </w:p>
          <w:p w14:paraId="6081C4B2" w14:textId="77777777" w:rsidR="00F74D01" w:rsidRPr="003C1C5E" w:rsidRDefault="00F74D01">
            <w:pPr>
              <w:pStyle w:val="TableParagraph"/>
              <w:spacing w:before="0"/>
              <w:ind w:right="74"/>
              <w:rPr>
                <w:rFonts w:ascii="Arial" w:hAnsi="Arial" w:cs="Arial"/>
                <w:sz w:val="16"/>
                <w:szCs w:val="16"/>
              </w:rPr>
            </w:pPr>
          </w:p>
        </w:tc>
      </w:tr>
    </w:tbl>
    <w:p w14:paraId="19FBF71E" w14:textId="77777777" w:rsidR="00194216" w:rsidRPr="00E73278" w:rsidRDefault="00194216" w:rsidP="00F74D01">
      <w:pPr>
        <w:spacing w:after="0" w:line="240" w:lineRule="auto"/>
        <w:contextualSpacing/>
        <w:rPr>
          <w:rFonts w:ascii="Times New Roman" w:hAnsi="Times New Roman" w:cs="Times New Roman"/>
          <w:b/>
          <w:sz w:val="24"/>
          <w:szCs w:val="24"/>
        </w:rPr>
      </w:pPr>
    </w:p>
    <w:sectPr w:rsidR="00194216" w:rsidRPr="00E73278" w:rsidSect="00693195">
      <w:footerReference w:type="default" r:id="rId70"/>
      <w:pgSz w:w="12240" w:h="15840"/>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924ADE5" w14:textId="77777777" w:rsidR="00051EE4" w:rsidRDefault="00051EE4" w:rsidP="00693195">
      <w:pPr>
        <w:spacing w:after="0" w:line="240" w:lineRule="auto"/>
      </w:pPr>
      <w:r>
        <w:separator/>
      </w:r>
    </w:p>
  </w:endnote>
  <w:endnote w:type="continuationSeparator" w:id="0">
    <w:p w14:paraId="7C34E552" w14:textId="77777777" w:rsidR="00051EE4" w:rsidRDefault="00051EE4" w:rsidP="00693195">
      <w:pPr>
        <w:spacing w:after="0" w:line="240" w:lineRule="auto"/>
      </w:pPr>
      <w:r>
        <w:continuationSeparator/>
      </w:r>
    </w:p>
  </w:endnote>
  <w:endnote w:type="continuationNotice" w:id="1">
    <w:p w14:paraId="22B729AD" w14:textId="77777777" w:rsidR="00051EE4" w:rsidRDefault="00051EE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ptos">
    <w:altName w:val="Arial"/>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Arial MT">
    <w:altName w:val="Arial"/>
    <w:charset w:val="01"/>
    <w:family w:val="swiss"/>
    <w:pitch w:val="variable"/>
  </w:font>
  <w:font w:name="Consolas">
    <w:panose1 w:val="020B0609020204030204"/>
    <w:charset w:val="00"/>
    <w:family w:val="modern"/>
    <w:pitch w:val="fixed"/>
    <w:sig w:usb0="E00006FF" w:usb1="0000FCFF" w:usb2="00000001" w:usb3="00000000" w:csb0="0000019F" w:csb1="00000000"/>
  </w:font>
  <w:font w:name="Lexend Deca">
    <w:altName w:val="Calibri"/>
    <w:charset w:val="00"/>
    <w:family w:val="auto"/>
    <w:pitch w:val="default"/>
  </w:font>
  <w:font w:name="Aptos Narrow">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90573462"/>
      <w:docPartObj>
        <w:docPartGallery w:val="Page Numbers (Bottom of Page)"/>
        <w:docPartUnique/>
      </w:docPartObj>
    </w:sdtPr>
    <w:sdtEndPr>
      <w:rPr>
        <w:rFonts w:ascii="Times New Roman" w:hAnsi="Times New Roman" w:cs="Times New Roman"/>
      </w:rPr>
    </w:sdtEndPr>
    <w:sdtContent>
      <w:p w14:paraId="5CE7D92F" w14:textId="15A903A5" w:rsidR="00573FB6" w:rsidRPr="009D74A3" w:rsidRDefault="00573FB6">
        <w:pPr>
          <w:pStyle w:val="Piedepgina"/>
          <w:jc w:val="right"/>
          <w:rPr>
            <w:rFonts w:ascii="Times New Roman" w:hAnsi="Times New Roman" w:cs="Times New Roman"/>
          </w:rPr>
        </w:pPr>
        <w:r w:rsidRPr="009D74A3">
          <w:rPr>
            <w:rFonts w:ascii="Times New Roman" w:hAnsi="Times New Roman" w:cs="Times New Roman"/>
          </w:rPr>
          <w:fldChar w:fldCharType="begin"/>
        </w:r>
        <w:r w:rsidRPr="009D74A3">
          <w:rPr>
            <w:rFonts w:ascii="Times New Roman" w:hAnsi="Times New Roman" w:cs="Times New Roman"/>
          </w:rPr>
          <w:instrText>PAGE   \* MERGEFORMAT</w:instrText>
        </w:r>
        <w:r w:rsidRPr="009D74A3">
          <w:rPr>
            <w:rFonts w:ascii="Times New Roman" w:hAnsi="Times New Roman" w:cs="Times New Roman"/>
          </w:rPr>
          <w:fldChar w:fldCharType="separate"/>
        </w:r>
        <w:r w:rsidR="00900150" w:rsidRPr="00900150">
          <w:rPr>
            <w:rFonts w:ascii="Times New Roman" w:hAnsi="Times New Roman" w:cs="Times New Roman"/>
            <w:noProof/>
            <w:lang w:val="es-ES"/>
          </w:rPr>
          <w:t>1</w:t>
        </w:r>
        <w:r w:rsidRPr="009D74A3">
          <w:rPr>
            <w:rFonts w:ascii="Times New Roman" w:hAnsi="Times New Roman" w:cs="Times New Roman"/>
          </w:rPr>
          <w:fldChar w:fldCharType="end"/>
        </w:r>
      </w:p>
    </w:sdtContent>
  </w:sdt>
  <w:p w14:paraId="4583D21D" w14:textId="77777777" w:rsidR="00573FB6" w:rsidRDefault="00573FB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170D5D6" w14:textId="77777777" w:rsidR="00051EE4" w:rsidRDefault="00051EE4" w:rsidP="00693195">
      <w:pPr>
        <w:spacing w:after="0" w:line="240" w:lineRule="auto"/>
      </w:pPr>
      <w:r>
        <w:separator/>
      </w:r>
    </w:p>
  </w:footnote>
  <w:footnote w:type="continuationSeparator" w:id="0">
    <w:p w14:paraId="40C57F8A" w14:textId="77777777" w:rsidR="00051EE4" w:rsidRDefault="00051EE4" w:rsidP="00693195">
      <w:pPr>
        <w:spacing w:after="0" w:line="240" w:lineRule="auto"/>
      </w:pPr>
      <w:r>
        <w:continuationSeparator/>
      </w:r>
    </w:p>
  </w:footnote>
  <w:footnote w:type="continuationNotice" w:id="1">
    <w:p w14:paraId="5A8BAC25" w14:textId="77777777" w:rsidR="00051EE4" w:rsidRDefault="00051EE4">
      <w:pPr>
        <w:spacing w:after="0" w:line="240" w:lineRule="auto"/>
      </w:pPr>
    </w:p>
  </w:footnote>
  <w:footnote w:id="2">
    <w:p w14:paraId="19332FE7" w14:textId="77777777" w:rsidR="00CC715B" w:rsidRPr="008D3AD7" w:rsidRDefault="00CC715B" w:rsidP="00CC715B">
      <w:pPr>
        <w:pStyle w:val="Textonotapie"/>
        <w:rPr>
          <w:rFonts w:ascii="Times New Roman" w:hAnsi="Times New Roman"/>
        </w:rPr>
      </w:pPr>
      <w:r w:rsidRPr="008D3AD7">
        <w:rPr>
          <w:rStyle w:val="Refdenotaalpie"/>
          <w:rFonts w:ascii="Times New Roman" w:hAnsi="Times New Roman"/>
        </w:rPr>
        <w:footnoteRef/>
      </w:r>
      <w:r w:rsidRPr="008D3AD7">
        <w:rPr>
          <w:rFonts w:ascii="Times New Roman" w:hAnsi="Times New Roman"/>
        </w:rPr>
        <w:t xml:space="preserve"> Herrera (2015). La industria bogotana, ¿desindustrialización o desverticalización?. Disponible en </w:t>
      </w:r>
      <w:hyperlink r:id="rId1" w:history="1">
        <w:r w:rsidRPr="008D3AD7">
          <w:rPr>
            <w:rStyle w:val="Hipervnculo"/>
            <w:rFonts w:ascii="Times New Roman" w:hAnsi="Times New Roman"/>
          </w:rPr>
          <w:t>https://observatorio.desarrolloeconomico.gov.co/publicaciones/notas-editoriales/la-industria-bogotana-desindustrializacion-o-desverticalizacion/</w:t>
        </w:r>
      </w:hyperlink>
      <w:r w:rsidRPr="008D3AD7">
        <w:rPr>
          <w:rFonts w:ascii="Times New Roman" w:hAnsi="Times New Roman"/>
        </w:rPr>
        <w:t xml:space="preserve"> </w:t>
      </w:r>
    </w:p>
  </w:footnote>
  <w:footnote w:id="3">
    <w:p w14:paraId="5BC16A16" w14:textId="77777777" w:rsidR="00CC715B" w:rsidRPr="009D74A3" w:rsidRDefault="00CC715B" w:rsidP="009D74A3">
      <w:pPr>
        <w:pStyle w:val="Textonotapie"/>
        <w:jc w:val="both"/>
        <w:rPr>
          <w:rFonts w:ascii="Times New Roman" w:hAnsi="Times New Roman"/>
          <w:sz w:val="16"/>
          <w:szCs w:val="16"/>
        </w:rPr>
      </w:pPr>
      <w:r w:rsidRPr="009D74A3">
        <w:rPr>
          <w:rStyle w:val="Refdenotaalpie"/>
          <w:rFonts w:ascii="Times New Roman" w:hAnsi="Times New Roman"/>
          <w:sz w:val="16"/>
          <w:szCs w:val="16"/>
        </w:rPr>
        <w:footnoteRef/>
      </w:r>
      <w:r w:rsidRPr="009D74A3">
        <w:rPr>
          <w:rFonts w:ascii="Times New Roman" w:hAnsi="Times New Roman"/>
          <w:sz w:val="16"/>
          <w:szCs w:val="16"/>
        </w:rPr>
        <w:t xml:space="preserve"> El ICC se calcula con 98 indicadores, que son categorizados en 13 pilares y en 4 factores de competitividad (condiciones habilitantes, capital humano, eficiencia de los mercados, y ecosistema innovador). El ICC se ubica entre 0 y 10, siendo 10 la mejor puntuación.</w:t>
      </w:r>
    </w:p>
  </w:footnote>
  <w:footnote w:id="4">
    <w:p w14:paraId="260FBE89" w14:textId="77777777" w:rsidR="00CC715B" w:rsidRPr="009D74A3" w:rsidRDefault="00CC715B" w:rsidP="009D74A3">
      <w:pPr>
        <w:pStyle w:val="Textonotapie"/>
        <w:jc w:val="both"/>
        <w:rPr>
          <w:rFonts w:ascii="Times New Roman" w:hAnsi="Times New Roman"/>
          <w:sz w:val="16"/>
          <w:szCs w:val="16"/>
        </w:rPr>
      </w:pPr>
      <w:r w:rsidRPr="009D74A3">
        <w:rPr>
          <w:rStyle w:val="Refdenotaalpie"/>
          <w:rFonts w:ascii="Times New Roman" w:hAnsi="Times New Roman"/>
          <w:sz w:val="16"/>
          <w:szCs w:val="16"/>
        </w:rPr>
        <w:footnoteRef/>
      </w:r>
      <w:r w:rsidRPr="009D74A3">
        <w:rPr>
          <w:rFonts w:ascii="Times New Roman" w:hAnsi="Times New Roman"/>
          <w:sz w:val="16"/>
          <w:szCs w:val="16"/>
        </w:rPr>
        <w:t xml:space="preserve"> La </w:t>
      </w:r>
      <w:r w:rsidRPr="009D74A3">
        <w:rPr>
          <w:rFonts w:ascii="Times New Roman" w:hAnsi="Times New Roman"/>
          <w:b/>
          <w:bCs/>
          <w:sz w:val="16"/>
          <w:szCs w:val="16"/>
        </w:rPr>
        <w:t>autonomía fiscal</w:t>
      </w:r>
      <w:r w:rsidRPr="009D74A3">
        <w:rPr>
          <w:rFonts w:ascii="Times New Roman" w:hAnsi="Times New Roman"/>
          <w:sz w:val="16"/>
          <w:szCs w:val="16"/>
        </w:rPr>
        <w:t xml:space="preserve"> se mide como la relación de los ingresos corrientes y los ingresos totales.</w:t>
      </w:r>
    </w:p>
  </w:footnote>
  <w:footnote w:id="5">
    <w:p w14:paraId="450D60DD" w14:textId="77777777" w:rsidR="00CC715B" w:rsidRPr="009D74A3" w:rsidRDefault="00CC715B" w:rsidP="009D74A3">
      <w:pPr>
        <w:pStyle w:val="Textonotapie"/>
        <w:jc w:val="both"/>
        <w:rPr>
          <w:rFonts w:ascii="Times New Roman" w:hAnsi="Times New Roman"/>
          <w:sz w:val="16"/>
          <w:szCs w:val="16"/>
        </w:rPr>
      </w:pPr>
      <w:r w:rsidRPr="009D74A3">
        <w:rPr>
          <w:rStyle w:val="Refdenotaalpie"/>
          <w:rFonts w:ascii="Times New Roman" w:hAnsi="Times New Roman"/>
          <w:sz w:val="16"/>
          <w:szCs w:val="16"/>
        </w:rPr>
        <w:footnoteRef/>
      </w:r>
      <w:r w:rsidRPr="009D74A3">
        <w:rPr>
          <w:rFonts w:ascii="Times New Roman" w:hAnsi="Times New Roman"/>
          <w:sz w:val="16"/>
          <w:szCs w:val="16"/>
        </w:rPr>
        <w:t xml:space="preserve"> La </w:t>
      </w:r>
      <w:r w:rsidRPr="009D74A3">
        <w:rPr>
          <w:rFonts w:ascii="Times New Roman" w:hAnsi="Times New Roman"/>
          <w:b/>
          <w:bCs/>
          <w:sz w:val="16"/>
          <w:szCs w:val="16"/>
        </w:rPr>
        <w:t>capacidad local de recaudo</w:t>
      </w:r>
      <w:r w:rsidRPr="009D74A3">
        <w:rPr>
          <w:rFonts w:ascii="Times New Roman" w:hAnsi="Times New Roman"/>
          <w:sz w:val="16"/>
          <w:szCs w:val="16"/>
        </w:rPr>
        <w:t xml:space="preserve"> es la relación entre los ingresos tributarios y el valor agregado municipal.</w:t>
      </w:r>
    </w:p>
  </w:footnote>
  <w:footnote w:id="6">
    <w:p w14:paraId="2D49E8FC" w14:textId="77777777" w:rsidR="00CC715B" w:rsidRDefault="00CC715B" w:rsidP="009D74A3">
      <w:pPr>
        <w:pStyle w:val="Textonotapie"/>
        <w:jc w:val="both"/>
      </w:pPr>
      <w:r w:rsidRPr="009D74A3">
        <w:rPr>
          <w:rStyle w:val="Refdenotaalpie"/>
          <w:rFonts w:ascii="Times New Roman" w:hAnsi="Times New Roman"/>
          <w:sz w:val="16"/>
          <w:szCs w:val="16"/>
        </w:rPr>
        <w:footnoteRef/>
      </w:r>
      <w:r w:rsidRPr="009D74A3">
        <w:rPr>
          <w:rFonts w:ascii="Times New Roman" w:hAnsi="Times New Roman"/>
          <w:sz w:val="16"/>
          <w:szCs w:val="16"/>
        </w:rPr>
        <w:t xml:space="preserve"> La </w:t>
      </w:r>
      <w:r w:rsidRPr="009D74A3">
        <w:rPr>
          <w:rFonts w:ascii="Times New Roman" w:hAnsi="Times New Roman"/>
          <w:b/>
          <w:bCs/>
          <w:sz w:val="16"/>
          <w:szCs w:val="16"/>
        </w:rPr>
        <w:t>capacidad de ahorro</w:t>
      </w:r>
      <w:r w:rsidRPr="009D74A3">
        <w:rPr>
          <w:rFonts w:ascii="Times New Roman" w:hAnsi="Times New Roman"/>
          <w:sz w:val="16"/>
          <w:szCs w:val="16"/>
        </w:rPr>
        <w:t xml:space="preserve"> se toma del indicador de capacidad de ahorro del Índice de Desempeño Fiscal del DNP.</w:t>
      </w:r>
    </w:p>
  </w:footnote>
  <w:footnote w:id="7">
    <w:p w14:paraId="077BD834" w14:textId="77777777" w:rsidR="00CC715B" w:rsidRPr="009D74A3" w:rsidRDefault="00CC715B" w:rsidP="009D74A3">
      <w:pPr>
        <w:pStyle w:val="Textonotapie"/>
        <w:jc w:val="both"/>
        <w:rPr>
          <w:rFonts w:ascii="Times New Roman" w:hAnsi="Times New Roman"/>
          <w:sz w:val="16"/>
          <w:szCs w:val="16"/>
        </w:rPr>
      </w:pPr>
      <w:r w:rsidRPr="009D74A3">
        <w:rPr>
          <w:rStyle w:val="Refdenotaalpie"/>
          <w:rFonts w:ascii="Times New Roman" w:hAnsi="Times New Roman"/>
          <w:sz w:val="16"/>
          <w:szCs w:val="16"/>
        </w:rPr>
        <w:footnoteRef/>
      </w:r>
      <w:r w:rsidRPr="009D74A3">
        <w:rPr>
          <w:rFonts w:ascii="Times New Roman" w:hAnsi="Times New Roman"/>
          <w:sz w:val="16"/>
          <w:szCs w:val="16"/>
        </w:rPr>
        <w:t xml:space="preserve"> Informe sobre las Inversiones en el Mundo 2025: inversión internacional en la economía digital. Disponible en </w:t>
      </w:r>
      <w:hyperlink r:id="rId2" w:history="1">
        <w:r w:rsidRPr="009D74A3">
          <w:rPr>
            <w:rStyle w:val="Hipervnculo"/>
            <w:rFonts w:ascii="Times New Roman" w:hAnsi="Times New Roman"/>
            <w:sz w:val="16"/>
            <w:szCs w:val="16"/>
          </w:rPr>
          <w:t>https://unctad.org/es/publication/informe-sobre-las-inversiones-en-el-mundo-2025</w:t>
        </w:r>
      </w:hyperlink>
      <w:r w:rsidRPr="009D74A3">
        <w:rPr>
          <w:rFonts w:ascii="Times New Roman" w:hAnsi="Times New Roman"/>
          <w:sz w:val="16"/>
          <w:szCs w:val="16"/>
        </w:rPr>
        <w:t xml:space="preserve"> </w:t>
      </w:r>
    </w:p>
  </w:footnote>
  <w:footnote w:id="8">
    <w:p w14:paraId="3521EF66" w14:textId="77777777" w:rsidR="00CC715B" w:rsidRPr="005A187B" w:rsidRDefault="00CC715B" w:rsidP="009D74A3">
      <w:pPr>
        <w:pStyle w:val="Textonotapie"/>
        <w:jc w:val="both"/>
        <w:rPr>
          <w:rFonts w:ascii="Times New Roman" w:hAnsi="Times New Roman"/>
        </w:rPr>
      </w:pPr>
      <w:r w:rsidRPr="009D74A3">
        <w:rPr>
          <w:rStyle w:val="Refdenotaalpie"/>
          <w:rFonts w:ascii="Times New Roman" w:hAnsi="Times New Roman"/>
          <w:sz w:val="16"/>
          <w:szCs w:val="16"/>
        </w:rPr>
        <w:footnoteRef/>
      </w:r>
      <w:r w:rsidRPr="009D74A3">
        <w:rPr>
          <w:rFonts w:ascii="Times New Roman" w:hAnsi="Times New Roman"/>
          <w:sz w:val="16"/>
          <w:szCs w:val="16"/>
        </w:rPr>
        <w:t xml:space="preserve"> Informe de Inversión Extranjera Directa nueva y de expansión en Bogotá-Región. 2024. Disponible en </w:t>
      </w:r>
      <w:hyperlink r:id="rId3" w:history="1">
        <w:r w:rsidRPr="009D74A3">
          <w:rPr>
            <w:rStyle w:val="Hipervnculo"/>
            <w:rFonts w:ascii="Times New Roman" w:hAnsi="Times New Roman"/>
            <w:sz w:val="16"/>
            <w:szCs w:val="16"/>
          </w:rPr>
          <w:t>https://es.investinbogota.org/por-que-bogota-iib/ied-bogota-region/</w:t>
        </w:r>
      </w:hyperlink>
      <w:r w:rsidRPr="005A187B">
        <w:rPr>
          <w:rFonts w:ascii="Times New Roman" w:hAnsi="Times New Roman"/>
        </w:rPr>
        <w:t xml:space="preserve"> </w:t>
      </w:r>
    </w:p>
  </w:footnote>
  <w:footnote w:id="9">
    <w:p w14:paraId="36EFEAD9" w14:textId="77777777" w:rsidR="00CC715B" w:rsidRPr="00326969" w:rsidRDefault="00CC715B" w:rsidP="00CC715B">
      <w:pPr>
        <w:pStyle w:val="Textonotapie"/>
        <w:rPr>
          <w:rFonts w:cs="Arial"/>
          <w:sz w:val="16"/>
          <w:szCs w:val="16"/>
        </w:rPr>
      </w:pPr>
      <w:r w:rsidRPr="00326969">
        <w:rPr>
          <w:rStyle w:val="Refdenotaalpie"/>
          <w:rFonts w:cs="Arial"/>
          <w:sz w:val="16"/>
          <w:szCs w:val="16"/>
        </w:rPr>
        <w:footnoteRef/>
      </w:r>
      <w:r w:rsidRPr="00326969">
        <w:rPr>
          <w:rFonts w:cs="Arial"/>
          <w:sz w:val="16"/>
          <w:szCs w:val="16"/>
        </w:rPr>
        <w:t xml:space="preserve"> De acuerdo con el DANE, las cifras </w:t>
      </w:r>
      <w:r w:rsidRPr="00326969">
        <w:rPr>
          <w:rFonts w:cs="Arial"/>
          <w:b/>
          <w:bCs/>
          <w:sz w:val="16"/>
          <w:szCs w:val="16"/>
        </w:rPr>
        <w:t xml:space="preserve">preliminares </w:t>
      </w:r>
      <w:r w:rsidRPr="00326969">
        <w:rPr>
          <w:rFonts w:cs="Arial"/>
          <w:sz w:val="16"/>
          <w:szCs w:val="16"/>
        </w:rPr>
        <w:t xml:space="preserve">son la primera versión de los resultados estadísticos publicados de la operación estadística, y se producen cuando no se dispone de suficientes datos relacionados al tema objeto de estudio, presentando una aproximación al comportamiento real del fenómeno; y las cifras </w:t>
      </w:r>
      <w:r w:rsidRPr="00326969">
        <w:rPr>
          <w:rFonts w:cs="Arial"/>
          <w:b/>
          <w:bCs/>
          <w:sz w:val="16"/>
          <w:szCs w:val="16"/>
        </w:rPr>
        <w:t>provisionales</w:t>
      </w:r>
      <w:r w:rsidRPr="00326969">
        <w:rPr>
          <w:rFonts w:cs="Arial"/>
          <w:sz w:val="16"/>
          <w:szCs w:val="16"/>
        </w:rPr>
        <w:t xml:space="preserve"> son versiones posteriores a las cifras preliminares y previas a la publicación definitiva de los resultados estadísticos. Consultar: https://www.dane.gov.co/files/sen/lineamientos/Recomendaciones-revision-cifras.pdf</w:t>
      </w:r>
    </w:p>
  </w:footnote>
  <w:footnote w:id="10">
    <w:p w14:paraId="2D115895" w14:textId="77777777" w:rsidR="00CC715B" w:rsidRPr="00326969" w:rsidRDefault="00CC715B" w:rsidP="00CC715B">
      <w:pPr>
        <w:spacing w:after="0" w:line="240" w:lineRule="auto"/>
        <w:jc w:val="both"/>
        <w:rPr>
          <w:rFonts w:ascii="Arial" w:hAnsi="Arial" w:cs="Arial"/>
          <w:sz w:val="16"/>
          <w:szCs w:val="16"/>
        </w:rPr>
      </w:pPr>
      <w:r w:rsidRPr="00326969">
        <w:rPr>
          <w:rStyle w:val="Refdenotaalpie"/>
          <w:rFonts w:ascii="Arial" w:hAnsi="Arial" w:cs="Arial"/>
          <w:sz w:val="16"/>
          <w:szCs w:val="16"/>
        </w:rPr>
        <w:footnoteRef/>
      </w:r>
      <w:r w:rsidRPr="00326969">
        <w:rPr>
          <w:rFonts w:ascii="Arial" w:hAnsi="Arial" w:cs="Arial"/>
          <w:sz w:val="16"/>
          <w:szCs w:val="16"/>
        </w:rPr>
        <w:t xml:space="preserve"> Las </w:t>
      </w:r>
      <w:r w:rsidRPr="00326969">
        <w:rPr>
          <w:rFonts w:ascii="Arial" w:hAnsi="Arial" w:cs="Arial"/>
          <w:b/>
          <w:bCs/>
          <w:sz w:val="16"/>
          <w:szCs w:val="16"/>
        </w:rPr>
        <w:t>13 ciudades y áreas metropolitanas (A. M.)</w:t>
      </w:r>
      <w:r w:rsidRPr="00326969">
        <w:rPr>
          <w:rFonts w:ascii="Arial" w:hAnsi="Arial" w:cs="Arial"/>
          <w:sz w:val="16"/>
          <w:szCs w:val="16"/>
        </w:rPr>
        <w:t xml:space="preserve"> incluyen a Bogotá, Medellín A.M., Cali A.M., Barranquilla A.M., Bucaramanga A.M., Manizales A.M., Pasto, Pereira A.M., Ibagué, Cúcuta A.M., Villavicencio, Montería y Cartagena. </w:t>
      </w:r>
    </w:p>
    <w:p w14:paraId="0D800620" w14:textId="77777777" w:rsidR="00CC715B" w:rsidRPr="00326969" w:rsidRDefault="00CC715B" w:rsidP="00CC715B">
      <w:pPr>
        <w:pStyle w:val="Textonotapie"/>
        <w:rPr>
          <w:rFonts w:cs="Arial"/>
          <w:sz w:val="16"/>
          <w:szCs w:val="16"/>
        </w:rPr>
      </w:pPr>
    </w:p>
  </w:footnote>
  <w:footnote w:id="11">
    <w:p w14:paraId="0377C3BC" w14:textId="77777777" w:rsidR="00CC715B" w:rsidRPr="005A187B" w:rsidRDefault="00CC715B" w:rsidP="00CC715B">
      <w:pPr>
        <w:pStyle w:val="Textonotapie"/>
        <w:rPr>
          <w:rFonts w:ascii="Times New Roman" w:hAnsi="Times New Roman"/>
          <w:sz w:val="16"/>
          <w:szCs w:val="16"/>
        </w:rPr>
      </w:pPr>
      <w:r w:rsidRPr="005A187B">
        <w:rPr>
          <w:rStyle w:val="Refdenotaalpie"/>
          <w:rFonts w:ascii="Times New Roman" w:hAnsi="Times New Roman"/>
          <w:sz w:val="16"/>
          <w:szCs w:val="16"/>
        </w:rPr>
        <w:footnoteRef/>
      </w:r>
      <w:r w:rsidRPr="005A187B">
        <w:rPr>
          <w:rFonts w:ascii="Times New Roman" w:hAnsi="Times New Roman"/>
          <w:sz w:val="16"/>
          <w:szCs w:val="16"/>
        </w:rPr>
        <w:t xml:space="preserve"> El PIB per cápita es una medida comúnmente utilizada como un indicador del bienestar económico de una población. Aunque no es una medida perfecta ya que no captura todos los aspectos del bienestar, como la distribución del ingreso, la calidad del medio ambiente o el acceso a servicios básicos puede funcionar como una variable proxy del nivel de vida, quizás siendo remuneración promedio en una sociedad.</w:t>
      </w:r>
    </w:p>
  </w:footnote>
  <w:footnote w:id="12">
    <w:p w14:paraId="249CA910" w14:textId="241FC2A2" w:rsidR="00CC715B" w:rsidRPr="00BB18EC" w:rsidRDefault="00CC715B" w:rsidP="00CC715B">
      <w:pPr>
        <w:pStyle w:val="Textonotapie"/>
        <w:rPr>
          <w:rFonts w:ascii="Times New Roman" w:hAnsi="Times New Roman"/>
          <w:sz w:val="16"/>
          <w:szCs w:val="16"/>
        </w:rPr>
      </w:pPr>
      <w:r w:rsidRPr="00BB18EC">
        <w:rPr>
          <w:rStyle w:val="Refdenotaalpie"/>
          <w:rFonts w:ascii="Times New Roman" w:hAnsi="Times New Roman"/>
          <w:sz w:val="16"/>
          <w:szCs w:val="16"/>
        </w:rPr>
        <w:footnoteRef/>
      </w:r>
      <w:r w:rsidRPr="00BB18EC">
        <w:rPr>
          <w:rFonts w:ascii="Times New Roman" w:hAnsi="Times New Roman"/>
          <w:sz w:val="16"/>
          <w:szCs w:val="16"/>
        </w:rPr>
        <w:t xml:space="preserve"> </w:t>
      </w:r>
      <w:r>
        <w:rPr>
          <w:rFonts w:ascii="Times New Roman" w:hAnsi="Times New Roman"/>
          <w:sz w:val="16"/>
          <w:szCs w:val="16"/>
        </w:rPr>
        <w:t>El leve aumento</w:t>
      </w:r>
      <w:r w:rsidRPr="00BB18EC">
        <w:rPr>
          <w:rFonts w:ascii="Times New Roman" w:hAnsi="Times New Roman"/>
          <w:sz w:val="16"/>
          <w:szCs w:val="16"/>
        </w:rPr>
        <w:t xml:space="preserve"> anual de la pobreza multidimensional en la ciudad en 2024 se explica </w:t>
      </w:r>
      <w:r>
        <w:rPr>
          <w:rFonts w:ascii="Times New Roman" w:hAnsi="Times New Roman"/>
          <w:sz w:val="16"/>
          <w:szCs w:val="16"/>
        </w:rPr>
        <w:t>principalmente</w:t>
      </w:r>
      <w:r w:rsidRPr="00BB18EC">
        <w:rPr>
          <w:rFonts w:ascii="Times New Roman" w:hAnsi="Times New Roman"/>
          <w:sz w:val="16"/>
          <w:szCs w:val="16"/>
        </w:rPr>
        <w:t xml:space="preserve"> por una desmejora en las barreras de acceso a los servicios de salud.</w:t>
      </w:r>
    </w:p>
  </w:footnote>
  <w:footnote w:id="13">
    <w:p w14:paraId="290E9345" w14:textId="77777777" w:rsidR="00CC715B" w:rsidRPr="00174654" w:rsidRDefault="00CC715B" w:rsidP="00CC715B">
      <w:pPr>
        <w:pStyle w:val="Textonotapie"/>
        <w:jc w:val="both"/>
        <w:rPr>
          <w:rFonts w:ascii="Times New Roman" w:hAnsi="Times New Roman"/>
          <w:sz w:val="16"/>
          <w:szCs w:val="16"/>
        </w:rPr>
      </w:pPr>
      <w:r w:rsidRPr="00174654">
        <w:rPr>
          <w:rStyle w:val="Refdenotaalpie"/>
          <w:rFonts w:ascii="Times New Roman" w:hAnsi="Times New Roman"/>
          <w:sz w:val="16"/>
          <w:szCs w:val="16"/>
        </w:rPr>
        <w:footnoteRef/>
      </w:r>
      <w:r w:rsidRPr="00174654">
        <w:rPr>
          <w:rFonts w:ascii="Times New Roman" w:hAnsi="Times New Roman"/>
          <w:sz w:val="16"/>
          <w:szCs w:val="16"/>
        </w:rPr>
        <w:t>https://back.haciendabogota.gov.co/sites/default/files/dee/analisis-economico/indice-capacidad-pago-bogota-area-metropolitana/capacidad_de_pago_2021.pdf</w:t>
      </w:r>
    </w:p>
  </w:footnote>
  <w:footnote w:id="14">
    <w:p w14:paraId="2F348A58" w14:textId="77777777" w:rsidR="00CC715B" w:rsidRPr="003E31F2" w:rsidRDefault="00CC715B" w:rsidP="00CC715B">
      <w:pPr>
        <w:pStyle w:val="Textonotapie"/>
        <w:rPr>
          <w:rFonts w:ascii="Times New Roman" w:hAnsi="Times New Roman"/>
          <w:sz w:val="16"/>
          <w:szCs w:val="16"/>
        </w:rPr>
      </w:pPr>
      <w:r w:rsidRPr="003E31F2">
        <w:rPr>
          <w:rStyle w:val="Refdenotaalpie"/>
          <w:rFonts w:ascii="Times New Roman" w:hAnsi="Times New Roman"/>
          <w:sz w:val="16"/>
          <w:szCs w:val="16"/>
        </w:rPr>
        <w:footnoteRef/>
      </w:r>
      <w:r w:rsidRPr="003E31F2">
        <w:rPr>
          <w:rFonts w:ascii="Times New Roman" w:hAnsi="Times New Roman"/>
          <w:sz w:val="16"/>
          <w:szCs w:val="16"/>
        </w:rPr>
        <w:t xml:space="preserve"> </w:t>
      </w:r>
      <w:r w:rsidRPr="0041553C">
        <w:rPr>
          <w:rFonts w:ascii="Times New Roman" w:hAnsi="Times New Roman"/>
          <w:sz w:val="16"/>
          <w:szCs w:val="16"/>
        </w:rPr>
        <w:t xml:space="preserve">Actualmente el DANE en conjunto con la Secretaría Distrital de Planeación se encuentran haciendo la Encuesta Multipropósito 2025, la cual será publicada en el transcurso del 2026. </w:t>
      </w:r>
    </w:p>
  </w:footnote>
  <w:footnote w:id="15">
    <w:p w14:paraId="0DAC285D" w14:textId="77777777" w:rsidR="00CC715B" w:rsidRPr="005A187B" w:rsidRDefault="00CC715B" w:rsidP="00CC715B">
      <w:pPr>
        <w:pStyle w:val="Textonotapie"/>
        <w:rPr>
          <w:rFonts w:ascii="Times New Roman" w:hAnsi="Times New Roman"/>
        </w:rPr>
      </w:pPr>
      <w:r w:rsidRPr="005A187B">
        <w:rPr>
          <w:rStyle w:val="Refdenotaalpie"/>
          <w:rFonts w:ascii="Times New Roman" w:hAnsi="Times New Roman"/>
          <w:sz w:val="16"/>
          <w:szCs w:val="16"/>
        </w:rPr>
        <w:footnoteRef/>
      </w:r>
      <w:r w:rsidRPr="005A187B">
        <w:rPr>
          <w:rFonts w:ascii="Times New Roman" w:hAnsi="Times New Roman"/>
          <w:sz w:val="16"/>
          <w:szCs w:val="16"/>
        </w:rPr>
        <w:t xml:space="preserve"> Los resultados </w:t>
      </w:r>
      <w:r>
        <w:rPr>
          <w:rFonts w:ascii="Times New Roman" w:hAnsi="Times New Roman"/>
          <w:sz w:val="16"/>
          <w:szCs w:val="16"/>
        </w:rPr>
        <w:t>del Índice de Desempeño Fiscal del Departamento Nacional de Planeación del año 2024 serán publicados en el tercer trimestre de 2025.</w:t>
      </w:r>
    </w:p>
  </w:footnote>
  <w:footnote w:id="16">
    <w:p w14:paraId="6786FC0D" w14:textId="53A160FE" w:rsidR="00D16D2F" w:rsidRPr="00740130" w:rsidRDefault="00D16D2F">
      <w:pPr>
        <w:pStyle w:val="Textonotapie"/>
        <w:rPr>
          <w:rFonts w:ascii="Times New Roman" w:hAnsi="Times New Roman"/>
          <w:sz w:val="16"/>
          <w:szCs w:val="16"/>
        </w:rPr>
      </w:pPr>
      <w:r w:rsidRPr="00740130">
        <w:rPr>
          <w:rStyle w:val="Refdenotaalpie"/>
          <w:rFonts w:ascii="Times New Roman" w:hAnsi="Times New Roman"/>
          <w:sz w:val="16"/>
          <w:szCs w:val="16"/>
        </w:rPr>
        <w:footnoteRef/>
      </w:r>
      <w:r w:rsidRPr="00740130">
        <w:rPr>
          <w:rFonts w:ascii="Times New Roman" w:hAnsi="Times New Roman"/>
          <w:sz w:val="16"/>
          <w:szCs w:val="16"/>
        </w:rPr>
        <w:t xml:space="preserve"> </w:t>
      </w:r>
      <w:r w:rsidR="006B27D8" w:rsidRPr="00740130">
        <w:rPr>
          <w:rFonts w:ascii="Times New Roman" w:hAnsi="Times New Roman"/>
          <w:sz w:val="16"/>
          <w:szCs w:val="16"/>
        </w:rPr>
        <w:t>Estadísticas tributarias en América Latina y el Caribe 2025" OCDE, Banco Mundial, Cepal, CIAT, BID</w:t>
      </w:r>
      <w:r w:rsidR="003221FB" w:rsidRPr="00740130">
        <w:rPr>
          <w:rFonts w:ascii="Times New Roman" w:hAnsi="Times New Roman"/>
          <w:sz w:val="16"/>
          <w:szCs w:val="16"/>
        </w:rPr>
        <w:t xml:space="preserve"> </w:t>
      </w:r>
      <w:hyperlink r:id="rId4" w:tgtFrame="_blank" w:tooltip="https://www.oecd.org/content/dam/oecd/en/topics/policy-sub-issues/global-tax-revenues/folleto-estadisticas-tributarias-en-america-latina-y-el-caribe.pdf" w:history="1">
        <w:r w:rsidR="003221FB" w:rsidRPr="00740130">
          <w:rPr>
            <w:rStyle w:val="Hipervnculo"/>
            <w:rFonts w:ascii="Times New Roman" w:hAnsi="Times New Roman"/>
            <w:sz w:val="16"/>
            <w:szCs w:val="16"/>
          </w:rPr>
          <w:t>https://www.oecd.org/content/dam/oecd/en/topics/policy-sub-issues/global-tax-revenues/folleto-estadisticas-tributarias-en-america-latina-y-el-caribe.pdf</w:t>
        </w:r>
      </w:hyperlink>
    </w:p>
  </w:footnote>
  <w:footnote w:id="17">
    <w:p w14:paraId="3974DC2A" w14:textId="2C0EC343" w:rsidR="00680FCA" w:rsidRPr="00740130" w:rsidRDefault="00680FCA">
      <w:pPr>
        <w:pStyle w:val="Textonotapie"/>
        <w:rPr>
          <w:rFonts w:ascii="Times New Roman" w:hAnsi="Times New Roman"/>
          <w:sz w:val="18"/>
          <w:szCs w:val="18"/>
        </w:rPr>
      </w:pPr>
      <w:r w:rsidRPr="00740130">
        <w:rPr>
          <w:rStyle w:val="Refdenotaalpie"/>
          <w:rFonts w:ascii="Times New Roman" w:hAnsi="Times New Roman"/>
          <w:sz w:val="18"/>
          <w:szCs w:val="18"/>
        </w:rPr>
        <w:footnoteRef/>
      </w:r>
      <w:r w:rsidRPr="00740130">
        <w:rPr>
          <w:rFonts w:ascii="Times New Roman" w:hAnsi="Times New Roman"/>
          <w:sz w:val="18"/>
          <w:szCs w:val="18"/>
        </w:rPr>
        <w:t xml:space="preserve"> Cabe destacar que quienes tengan ingresos netos en 2025 inferiores a 1.993 UVT, que corresponden a $9</w:t>
      </w:r>
      <w:r w:rsidR="00F426D5">
        <w:rPr>
          <w:rFonts w:ascii="Times New Roman" w:hAnsi="Times New Roman"/>
          <w:sz w:val="18"/>
          <w:szCs w:val="18"/>
        </w:rPr>
        <w:t>6</w:t>
      </w:r>
      <w:r w:rsidRPr="00740130">
        <w:rPr>
          <w:rFonts w:ascii="Times New Roman" w:hAnsi="Times New Roman"/>
          <w:sz w:val="18"/>
          <w:szCs w:val="18"/>
        </w:rPr>
        <w:t>.2</w:t>
      </w:r>
      <w:r w:rsidR="00F426D5">
        <w:rPr>
          <w:rFonts w:ascii="Times New Roman" w:hAnsi="Times New Roman"/>
          <w:sz w:val="18"/>
          <w:szCs w:val="18"/>
        </w:rPr>
        <w:t>61</w:t>
      </w:r>
      <w:r w:rsidRPr="00740130">
        <w:rPr>
          <w:rFonts w:ascii="Times New Roman" w:hAnsi="Times New Roman"/>
          <w:sz w:val="18"/>
          <w:szCs w:val="18"/>
        </w:rPr>
        <w:t>.4</w:t>
      </w:r>
      <w:r w:rsidR="00F426D5">
        <w:rPr>
          <w:rFonts w:ascii="Times New Roman" w:hAnsi="Times New Roman"/>
          <w:sz w:val="18"/>
          <w:szCs w:val="18"/>
        </w:rPr>
        <w:t>67</w:t>
      </w:r>
      <w:r w:rsidRPr="00740130">
        <w:rPr>
          <w:rFonts w:ascii="Times New Roman" w:hAnsi="Times New Roman"/>
          <w:sz w:val="18"/>
          <w:szCs w:val="18"/>
        </w:rPr>
        <w:t>, no están obligados a declarar el ICA.</w:t>
      </w:r>
    </w:p>
  </w:footnote>
  <w:footnote w:id="18">
    <w:p w14:paraId="4AED66B3" w14:textId="7230E88A" w:rsidR="00680FCA" w:rsidRPr="00740130" w:rsidRDefault="00680FCA">
      <w:pPr>
        <w:pStyle w:val="Textonotapie"/>
        <w:rPr>
          <w:rFonts w:ascii="Times New Roman" w:hAnsi="Times New Roman"/>
        </w:rPr>
      </w:pPr>
      <w:r w:rsidRPr="00740130">
        <w:rPr>
          <w:rStyle w:val="Refdenotaalpie"/>
          <w:rFonts w:ascii="Times New Roman" w:hAnsi="Times New Roman"/>
          <w:sz w:val="18"/>
          <w:szCs w:val="18"/>
        </w:rPr>
        <w:footnoteRef/>
      </w:r>
      <w:r w:rsidRPr="00740130">
        <w:rPr>
          <w:rFonts w:ascii="Times New Roman" w:hAnsi="Times New Roman"/>
          <w:sz w:val="18"/>
          <w:szCs w:val="18"/>
        </w:rPr>
        <w:t xml:space="preserve"> </w:t>
      </w:r>
      <w:r w:rsidR="00573FAD" w:rsidRPr="00740130">
        <w:rPr>
          <w:rFonts w:ascii="Times New Roman" w:hAnsi="Times New Roman"/>
          <w:sz w:val="18"/>
          <w:szCs w:val="18"/>
        </w:rPr>
        <w:t>Diferencia entre ingresos y gastos antes de impuestos.</w:t>
      </w:r>
    </w:p>
  </w:footnote>
  <w:footnote w:id="19">
    <w:p w14:paraId="6C49A45C" w14:textId="10E9DF27" w:rsidR="00BB5D3F" w:rsidRPr="00740130" w:rsidRDefault="00BB5D3F">
      <w:pPr>
        <w:pStyle w:val="Textonotapie"/>
        <w:rPr>
          <w:rFonts w:ascii="Times New Roman" w:hAnsi="Times New Roman"/>
          <w:sz w:val="18"/>
          <w:szCs w:val="18"/>
        </w:rPr>
      </w:pPr>
      <w:r w:rsidRPr="00740130">
        <w:rPr>
          <w:rStyle w:val="Refdenotaalpie"/>
          <w:rFonts w:ascii="Times New Roman" w:hAnsi="Times New Roman"/>
          <w:sz w:val="18"/>
          <w:szCs w:val="18"/>
        </w:rPr>
        <w:footnoteRef/>
      </w:r>
      <w:r w:rsidRPr="00740130">
        <w:rPr>
          <w:rFonts w:ascii="Times New Roman" w:hAnsi="Times New Roman"/>
          <w:sz w:val="18"/>
          <w:szCs w:val="18"/>
        </w:rPr>
        <w:t xml:space="preserve"> </w:t>
      </w:r>
      <w:r w:rsidR="006366BB" w:rsidRPr="00740130">
        <w:rPr>
          <w:rFonts w:ascii="Times New Roman" w:hAnsi="Times New Roman"/>
          <w:sz w:val="18"/>
          <w:szCs w:val="18"/>
        </w:rPr>
        <w:t>No incluye el impuesto complementario de avisos y tableros ni el valor total de unidades comerciales adicionales.</w:t>
      </w:r>
    </w:p>
  </w:footnote>
  <w:footnote w:id="20">
    <w:p w14:paraId="17E9FBE9" w14:textId="57104549" w:rsidR="00AE0F3A" w:rsidRDefault="00AE0F3A">
      <w:pPr>
        <w:pStyle w:val="Textonotapie"/>
      </w:pPr>
      <w:r>
        <w:rPr>
          <w:rStyle w:val="Refdenotaalpie"/>
        </w:rPr>
        <w:footnoteRef/>
      </w:r>
      <w:r>
        <w:t xml:space="preserve"> </w:t>
      </w:r>
      <w:r w:rsidRPr="0067069D">
        <w:rPr>
          <w:rFonts w:ascii="Times New Roman" w:hAnsi="Times New Roman"/>
        </w:rPr>
        <w:t>https://observatoriofiscal.shd.gov.co/indicadores/resultados%20fiscales</w:t>
      </w:r>
    </w:p>
  </w:footnote>
  <w:footnote w:id="21">
    <w:p w14:paraId="276F2F19" w14:textId="65EF813F" w:rsidR="00AE710D" w:rsidRDefault="00AE710D">
      <w:pPr>
        <w:pStyle w:val="Textonotapie"/>
      </w:pPr>
      <w:r>
        <w:rPr>
          <w:rStyle w:val="Refdenotaalpie"/>
        </w:rPr>
        <w:footnoteRef/>
      </w:r>
      <w:r>
        <w:t xml:space="preserve"> </w:t>
      </w:r>
      <w:r w:rsidR="00D74964" w:rsidRPr="00D74964">
        <w:rPr>
          <w:rFonts w:cs="Arial"/>
          <w:color w:val="000000"/>
          <w:sz w:val="16"/>
          <w:szCs w:val="16"/>
          <w14:textFill>
            <w14:solidFill>
              <w14:srgbClr w14:val="000000">
                <w14:lumMod w14:val="10000"/>
              </w14:srgbClr>
            </w14:solidFill>
          </w14:textFill>
        </w:rPr>
        <w:t>D</w:t>
      </w:r>
      <w:r w:rsidR="00D74964">
        <w:rPr>
          <w:rFonts w:cs="Arial"/>
          <w:color w:val="000000"/>
          <w:sz w:val="16"/>
          <w:szCs w:val="16"/>
          <w14:textFill>
            <w14:solidFill>
              <w14:srgbClr w14:val="000000">
                <w14:lumMod w14:val="10000"/>
              </w14:srgbClr>
            </w14:solidFill>
          </w14:textFill>
        </w:rPr>
        <w:t xml:space="preserve">epartamento </w:t>
      </w:r>
      <w:r w:rsidR="00D74964" w:rsidRPr="00D74964">
        <w:rPr>
          <w:rFonts w:cs="Arial"/>
          <w:color w:val="000000"/>
          <w:sz w:val="16"/>
          <w:szCs w:val="16"/>
          <w14:textFill>
            <w14:solidFill>
              <w14:srgbClr w14:val="000000">
                <w14:lumMod w14:val="10000"/>
              </w14:srgbClr>
            </w14:solidFill>
          </w14:textFill>
        </w:rPr>
        <w:t>N</w:t>
      </w:r>
      <w:r w:rsidR="00D74964">
        <w:rPr>
          <w:rFonts w:cs="Arial"/>
          <w:color w:val="000000"/>
          <w:sz w:val="16"/>
          <w:szCs w:val="16"/>
          <w14:textFill>
            <w14:solidFill>
              <w14:srgbClr w14:val="000000">
                <w14:lumMod w14:val="10000"/>
              </w14:srgbClr>
            </w14:solidFill>
          </w14:textFill>
        </w:rPr>
        <w:t xml:space="preserve">acional de </w:t>
      </w:r>
      <w:r w:rsidR="00D74964" w:rsidRPr="00D74964">
        <w:rPr>
          <w:rFonts w:cs="Arial"/>
          <w:color w:val="000000"/>
          <w:sz w:val="16"/>
          <w:szCs w:val="16"/>
          <w14:textFill>
            <w14:solidFill>
              <w14:srgbClr w14:val="000000">
                <w14:lumMod w14:val="10000"/>
              </w14:srgbClr>
            </w14:solidFill>
          </w14:textFill>
        </w:rPr>
        <w:t>P</w:t>
      </w:r>
      <w:r w:rsidR="00D74964">
        <w:rPr>
          <w:rFonts w:cs="Arial"/>
          <w:color w:val="000000"/>
          <w:sz w:val="16"/>
          <w:szCs w:val="16"/>
          <w14:textFill>
            <w14:solidFill>
              <w14:srgbClr w14:val="000000">
                <w14:lumMod w14:val="10000"/>
              </w14:srgbClr>
            </w14:solidFill>
          </w14:textFill>
        </w:rPr>
        <w:t>laneación</w:t>
      </w:r>
      <w:r w:rsidR="00D74964" w:rsidRPr="00D74964">
        <w:rPr>
          <w:rFonts w:cs="Arial"/>
          <w:color w:val="000000"/>
          <w:sz w:val="16"/>
          <w:szCs w:val="16"/>
          <w14:textFill>
            <w14:solidFill>
              <w14:srgbClr w14:val="000000">
                <w14:lumMod w14:val="10000"/>
              </w14:srgbClr>
            </w14:solidFill>
          </w14:textFill>
        </w:rPr>
        <w:t xml:space="preserve">. </w:t>
      </w:r>
      <w:r w:rsidR="00D74964" w:rsidRPr="00326969">
        <w:rPr>
          <w:rFonts w:cs="Arial"/>
          <w:color w:val="000000"/>
          <w:sz w:val="16"/>
          <w:szCs w:val="16"/>
          <w14:textFill>
            <w14:solidFill>
              <w14:srgbClr w14:val="000000">
                <w14:lumMod w14:val="10000"/>
              </w14:srgbClr>
            </w14:solidFill>
          </w14:textFill>
        </w:rPr>
        <w:t>Índice de Precios de la Vivienda Nueva IPVN (Edición No. 11 - junio 2024)</w:t>
      </w:r>
    </w:p>
  </w:footnote>
  <w:footnote w:id="22">
    <w:p w14:paraId="3BE16AAA" w14:textId="6CFA15B7" w:rsidR="00CA5D0D" w:rsidRPr="00FC6AFB" w:rsidRDefault="00CA5D0D">
      <w:pPr>
        <w:pStyle w:val="Textonotapie"/>
        <w:rPr>
          <w:rFonts w:ascii="Times New Roman" w:hAnsi="Times New Roman"/>
          <w:color w:val="000000"/>
          <w:sz w:val="16"/>
          <w:szCs w:val="16"/>
          <w:lang w:val="en-US"/>
          <w14:textFill>
            <w14:solidFill>
              <w14:srgbClr w14:val="000000">
                <w14:lumMod w14:val="10000"/>
              </w14:srgbClr>
            </w14:solidFill>
          </w14:textFill>
        </w:rPr>
      </w:pPr>
      <w:r w:rsidRPr="00FC6AFB">
        <w:rPr>
          <w:rStyle w:val="Refdenotaalpie"/>
          <w:rFonts w:ascii="Times New Roman" w:hAnsi="Times New Roman"/>
          <w:sz w:val="16"/>
          <w:szCs w:val="16"/>
        </w:rPr>
        <w:footnoteRef/>
      </w:r>
      <w:r w:rsidRPr="00FC6AFB">
        <w:rPr>
          <w:rFonts w:ascii="Times New Roman" w:hAnsi="Times New Roman"/>
          <w:sz w:val="16"/>
          <w:szCs w:val="16"/>
        </w:rPr>
        <w:t xml:space="preserve"> </w:t>
      </w:r>
      <w:r w:rsidRPr="00FC6AFB">
        <w:rPr>
          <w:rFonts w:ascii="Times New Roman" w:hAnsi="Times New Roman"/>
          <w:color w:val="000000"/>
          <w:sz w:val="16"/>
          <w:szCs w:val="16"/>
          <w:lang w:val="de-DE"/>
          <w14:textFill>
            <w14:solidFill>
              <w14:srgbClr w14:val="000000">
                <w14:lumMod w14:val="10000"/>
              </w14:srgbClr>
            </w14:solidFill>
          </w14:textFill>
        </w:rPr>
        <w:t xml:space="preserve">Ver Kindermann, F. y Krueger, D. (2022). </w:t>
      </w:r>
      <w:r w:rsidRPr="00FC6AFB">
        <w:rPr>
          <w:rFonts w:ascii="Times New Roman" w:hAnsi="Times New Roman"/>
          <w:color w:val="000000"/>
          <w:sz w:val="16"/>
          <w:szCs w:val="16"/>
          <w:lang w:val="en-US"/>
          <w14:textFill>
            <w14:solidFill>
              <w14:srgbClr w14:val="000000">
                <w14:lumMod w14:val="10000"/>
              </w14:srgbClr>
            </w14:solidFill>
          </w14:textFill>
        </w:rPr>
        <w:t>"High Marginal Tax Rates on the Top 1 Percent? Lessons from a Life-Cycle Model with Idiosyncratic Income Risk," American Economic Journal: Macroeconomics, vol 14(2), pages 319-366; Alvaredo, F., Atkinson, A., Piketty, T., y Saez, E. (2013). "The Top 1 Percent in International and Historical Perspective." Journal of Economic Perspectives 27 (3): 3–20.</w:t>
      </w:r>
    </w:p>
  </w:footnote>
  <w:footnote w:id="23">
    <w:p w14:paraId="745D9F14" w14:textId="54FEB78A" w:rsidR="00C5252F" w:rsidRPr="000664D0" w:rsidRDefault="00C5252F">
      <w:pPr>
        <w:pStyle w:val="Textonotapie"/>
        <w:rPr>
          <w:rFonts w:ascii="Times New Roman" w:hAnsi="Times New Roman"/>
          <w:color w:val="000000"/>
          <w:sz w:val="16"/>
          <w:szCs w:val="16"/>
          <w14:textFill>
            <w14:solidFill>
              <w14:srgbClr w14:val="000000">
                <w14:lumMod w14:val="10000"/>
              </w14:srgbClr>
            </w14:solidFill>
          </w14:textFill>
        </w:rPr>
      </w:pPr>
      <w:r w:rsidRPr="00FC6AFB">
        <w:rPr>
          <w:rStyle w:val="Refdenotaalpie"/>
          <w:rFonts w:ascii="Times New Roman" w:hAnsi="Times New Roman"/>
          <w:sz w:val="16"/>
          <w:szCs w:val="16"/>
        </w:rPr>
        <w:footnoteRef/>
      </w:r>
      <w:r w:rsidRPr="00FC6AFB">
        <w:rPr>
          <w:rFonts w:ascii="Times New Roman" w:hAnsi="Times New Roman"/>
          <w:sz w:val="16"/>
          <w:szCs w:val="16"/>
        </w:rPr>
        <w:t xml:space="preserve"> </w:t>
      </w:r>
      <w:r w:rsidR="00FC6AFB" w:rsidRPr="00FC6AFB">
        <w:rPr>
          <w:rFonts w:ascii="Times New Roman" w:hAnsi="Times New Roman"/>
          <w:color w:val="000000"/>
          <w:sz w:val="16"/>
          <w:szCs w:val="16"/>
          <w14:textFill>
            <w14:solidFill>
              <w14:srgbClr w14:val="000000">
                <w14:lumMod w14:val="10000"/>
              </w14:srgbClr>
            </w14:solidFill>
          </w14:textFill>
        </w:rPr>
        <w:t>Alvaredo, F., y Londoño, J. (2014). "</w:t>
      </w:r>
      <w:hyperlink r:id="rId5" w:history="1">
        <w:r w:rsidR="00FC6AFB" w:rsidRPr="00FC6AFB">
          <w:rPr>
            <w:rFonts w:ascii="Times New Roman" w:hAnsi="Times New Roman"/>
            <w:color w:val="000000"/>
            <w:sz w:val="16"/>
            <w:szCs w:val="16"/>
            <w14:textFill>
              <w14:solidFill>
                <w14:srgbClr w14:val="000000">
                  <w14:lumMod w14:val="10000"/>
                </w14:srgbClr>
              </w14:solidFill>
            </w14:textFill>
          </w:rPr>
          <w:t>Altos ingresos e impuesto de renta en Colombia, 1993-2010</w:t>
        </w:r>
      </w:hyperlink>
      <w:r w:rsidR="00FC6AFB" w:rsidRPr="00FC6AFB">
        <w:rPr>
          <w:rFonts w:ascii="Times New Roman" w:hAnsi="Times New Roman"/>
          <w:color w:val="000000"/>
          <w:sz w:val="16"/>
          <w:szCs w:val="16"/>
          <w14:textFill>
            <w14:solidFill>
              <w14:srgbClr w14:val="000000">
                <w14:lumMod w14:val="10000"/>
              </w14:srgbClr>
            </w14:solidFill>
          </w14:textFill>
        </w:rPr>
        <w:t>," </w:t>
      </w:r>
      <w:hyperlink r:id="rId6" w:history="1">
        <w:r w:rsidR="00FC6AFB" w:rsidRPr="00FC6AFB">
          <w:rPr>
            <w:rFonts w:ascii="Times New Roman" w:hAnsi="Times New Roman"/>
            <w:color w:val="000000"/>
            <w:sz w:val="16"/>
            <w:szCs w:val="16"/>
            <w14:textFill>
              <w14:solidFill>
                <w14:srgbClr w14:val="000000">
                  <w14:lumMod w14:val="10000"/>
                </w14:srgbClr>
              </w14:solidFill>
            </w14:textFill>
          </w:rPr>
          <w:t>Revista de Economía Institucional</w:t>
        </w:r>
      </w:hyperlink>
      <w:r w:rsidR="00FC6AFB" w:rsidRPr="00FC6AFB">
        <w:rPr>
          <w:rFonts w:ascii="Times New Roman" w:hAnsi="Times New Roman"/>
          <w:color w:val="000000"/>
          <w:sz w:val="16"/>
          <w:szCs w:val="16"/>
          <w14:textFill>
            <w14:solidFill>
              <w14:srgbClr w14:val="000000">
                <w14:lumMod w14:val="10000"/>
              </w14:srgbClr>
            </w14:solidFill>
          </w14:textFill>
        </w:rPr>
        <w:t>, Universidad Externado de Colombia - Facultad de Economía, vol. 16(31), páginas 157-194, Julio-Diciembre</w:t>
      </w:r>
      <w:r w:rsidR="00FC6AFB" w:rsidRPr="00FC6AFB">
        <w:rPr>
          <w:rFonts w:ascii="Times New Roman" w:hAnsi="Times New Roman"/>
          <w:color w:val="000000" w:themeColor="text1"/>
          <w:sz w:val="16"/>
          <w:szCs w:val="16"/>
        </w:rPr>
        <w:t>. Los autores utilizan microdatos de las declaraciones de renta, por lo cual, además de la información salarial, incluye ingresos de capital, dividendos, ganancias ocasionales, entre otros.</w:t>
      </w:r>
    </w:p>
  </w:footnote>
  <w:footnote w:id="24">
    <w:p w14:paraId="4556BCB4" w14:textId="55487317" w:rsidR="009F2D12" w:rsidRPr="000664D0" w:rsidRDefault="009F2D12">
      <w:pPr>
        <w:pStyle w:val="Textonotapie"/>
        <w:rPr>
          <w:rFonts w:ascii="Times New Roman" w:hAnsi="Times New Roman"/>
          <w:sz w:val="16"/>
          <w:szCs w:val="16"/>
        </w:rPr>
      </w:pPr>
      <w:r w:rsidRPr="000664D0">
        <w:rPr>
          <w:rStyle w:val="Refdenotaalpie"/>
          <w:rFonts w:ascii="Times New Roman" w:hAnsi="Times New Roman"/>
          <w:sz w:val="16"/>
          <w:szCs w:val="16"/>
        </w:rPr>
        <w:footnoteRef/>
      </w:r>
      <w:r w:rsidRPr="000664D0">
        <w:rPr>
          <w:rFonts w:ascii="Times New Roman" w:hAnsi="Times New Roman"/>
          <w:sz w:val="16"/>
          <w:szCs w:val="16"/>
        </w:rPr>
        <w:t xml:space="preserve"> </w:t>
      </w:r>
      <w:r w:rsidR="000664D0" w:rsidRPr="000664D0">
        <w:rPr>
          <w:rFonts w:ascii="Times New Roman" w:hAnsi="Times New Roman"/>
          <w:color w:val="000000"/>
          <w:sz w:val="16"/>
          <w:szCs w:val="16"/>
          <w14:textFill>
            <w14:solidFill>
              <w14:srgbClr w14:val="000000">
                <w14:lumMod w14:val="10000"/>
              </w14:srgbClr>
            </w14:solidFill>
          </w14:textFill>
        </w:rPr>
        <w:t>Con la información de la Gran Encuesta Integrada de Hogares 2023, y Encuesta Multipropósito Bogotá 2021 publicadas por el DANE.</w:t>
      </w:r>
    </w:p>
  </w:footnote>
  <w:footnote w:id="25">
    <w:p w14:paraId="4E72FA12" w14:textId="5A341DD0" w:rsidR="004973F5" w:rsidRPr="001546F0" w:rsidRDefault="004973F5">
      <w:pPr>
        <w:pStyle w:val="Textonotapie"/>
        <w:rPr>
          <w:rFonts w:ascii="Times New Roman" w:hAnsi="Times New Roman"/>
          <w:sz w:val="16"/>
          <w:szCs w:val="16"/>
        </w:rPr>
      </w:pPr>
      <w:r w:rsidRPr="001546F0">
        <w:rPr>
          <w:rStyle w:val="Refdenotaalpie"/>
          <w:rFonts w:ascii="Times New Roman" w:hAnsi="Times New Roman"/>
          <w:sz w:val="16"/>
          <w:szCs w:val="16"/>
        </w:rPr>
        <w:footnoteRef/>
      </w:r>
      <w:r w:rsidRPr="001546F0">
        <w:rPr>
          <w:rFonts w:ascii="Times New Roman" w:hAnsi="Times New Roman"/>
          <w:sz w:val="16"/>
          <w:szCs w:val="16"/>
        </w:rPr>
        <w:t xml:space="preserve"> </w:t>
      </w:r>
      <w:r w:rsidR="001546F0" w:rsidRPr="001546F0">
        <w:rPr>
          <w:rFonts w:ascii="Times New Roman" w:hAnsi="Times New Roman"/>
          <w:color w:val="000000"/>
          <w:sz w:val="16"/>
          <w:szCs w:val="16"/>
          <w14:textFill>
            <w14:solidFill>
              <w14:srgbClr w14:val="000000">
                <w14:lumMod w14:val="10000"/>
              </w14:srgbClr>
            </w14:solidFill>
          </w14:textFill>
        </w:rPr>
        <w:t>Banco Mundial (2024) “Impuestos a la Riqueza para la Equidad y el Crecimiento”. Octubre.</w:t>
      </w:r>
    </w:p>
  </w:footnote>
  <w:footnote w:id="26">
    <w:p w14:paraId="0BC5BF00" w14:textId="231E7C7C" w:rsidR="004551B1" w:rsidRPr="004551B1" w:rsidRDefault="004551B1">
      <w:pPr>
        <w:pStyle w:val="Textonotapie"/>
        <w:rPr>
          <w:rFonts w:ascii="Times New Roman" w:hAnsi="Times New Roman"/>
          <w:sz w:val="16"/>
          <w:szCs w:val="16"/>
        </w:rPr>
      </w:pPr>
      <w:r w:rsidRPr="004551B1">
        <w:rPr>
          <w:rStyle w:val="Refdenotaalpie"/>
          <w:rFonts w:ascii="Times New Roman" w:hAnsi="Times New Roman"/>
          <w:sz w:val="16"/>
          <w:szCs w:val="16"/>
        </w:rPr>
        <w:footnoteRef/>
      </w:r>
      <w:r w:rsidRPr="004551B1">
        <w:rPr>
          <w:rFonts w:ascii="Times New Roman" w:hAnsi="Times New Roman"/>
          <w:sz w:val="16"/>
          <w:szCs w:val="16"/>
        </w:rPr>
        <w:t xml:space="preserve"> </w:t>
      </w:r>
      <w:r w:rsidRPr="004551B1">
        <w:rPr>
          <w:rFonts w:ascii="Times New Roman" w:hAnsi="Times New Roman"/>
          <w:color w:val="000000"/>
          <w:sz w:val="16"/>
          <w:szCs w:val="16"/>
          <w:shd w:val="clear" w:color="auto" w:fill="FFFFFF"/>
          <w14:textFill>
            <w14:solidFill>
              <w14:srgbClr w14:val="000000">
                <w14:lumMod w14:val="10000"/>
              </w14:srgbClr>
            </w14:solidFill>
          </w14:textFill>
        </w:rPr>
        <w:t xml:space="preserve">Corte Constitucional </w:t>
      </w:r>
      <w:r w:rsidRPr="004551B1">
        <w:rPr>
          <w:rFonts w:ascii="Times New Roman" w:hAnsi="Times New Roman"/>
          <w:color w:val="000000"/>
          <w:sz w:val="16"/>
          <w:szCs w:val="16"/>
          <w14:textFill>
            <w14:solidFill>
              <w14:srgbClr w14:val="000000">
                <w14:lumMod w14:val="10000"/>
              </w14:srgbClr>
            </w14:solidFill>
          </w14:textFill>
        </w:rPr>
        <w:t xml:space="preserve">C-643-2002, M.P. Cordoba Tribiño Jaime. </w:t>
      </w:r>
      <w:r w:rsidRPr="004551B1">
        <w:rPr>
          <w:rFonts w:ascii="Times New Roman" w:eastAsia="Times New Roman" w:hAnsi="Times New Roman"/>
          <w:color w:val="000000"/>
          <w:sz w:val="16"/>
          <w:szCs w:val="16"/>
          <w:shd w:val="clear" w:color="auto" w:fill="FFFFFF"/>
          <w:lang w:eastAsia="es-MX"/>
          <w14:textFill>
            <w14:solidFill>
              <w14:srgbClr w14:val="000000">
                <w14:lumMod w14:val="10000"/>
              </w14:srgbClr>
            </w14:solidFill>
          </w14:textFill>
        </w:rPr>
        <w:t>Frente al principio de progresividad ver Corte Constitucional, sentencias C-117 de 2018, C-551 de 2015, C-100 de 2014, C-776 de 2003 y C-364 de 1993</w:t>
      </w:r>
    </w:p>
  </w:footnote>
  <w:footnote w:id="27">
    <w:p w14:paraId="420BB21C" w14:textId="727F0F00" w:rsidR="002C13AE" w:rsidRPr="002C13AE" w:rsidRDefault="002C13AE">
      <w:pPr>
        <w:pStyle w:val="Textonotapie"/>
        <w:rPr>
          <w:rFonts w:ascii="Times New Roman" w:hAnsi="Times New Roman"/>
          <w:sz w:val="16"/>
          <w:szCs w:val="16"/>
          <w:lang w:val="en-US"/>
        </w:rPr>
      </w:pPr>
      <w:r w:rsidRPr="002C13AE">
        <w:rPr>
          <w:rStyle w:val="Refdenotaalpie"/>
          <w:rFonts w:ascii="Times New Roman" w:hAnsi="Times New Roman"/>
          <w:sz w:val="16"/>
          <w:szCs w:val="16"/>
        </w:rPr>
        <w:footnoteRef/>
      </w:r>
      <w:r w:rsidRPr="002C13AE">
        <w:rPr>
          <w:rFonts w:ascii="Times New Roman" w:hAnsi="Times New Roman"/>
          <w:sz w:val="16"/>
          <w:szCs w:val="16"/>
        </w:rPr>
        <w:t xml:space="preserve"> </w:t>
      </w:r>
      <w:r w:rsidR="002F4FC3" w:rsidRPr="002C13AE">
        <w:rPr>
          <w:rFonts w:ascii="Times New Roman" w:hAnsi="Times New Roman"/>
          <w:color w:val="000000"/>
          <w:sz w:val="16"/>
          <w:szCs w:val="16"/>
          <w14:textFill>
            <w14:solidFill>
              <w14:srgbClr w14:val="000000">
                <w14:lumMod w14:val="10000"/>
              </w14:srgbClr>
            </w14:solidFill>
          </w14:textFill>
        </w:rPr>
        <w:t>Domínguez</w:t>
      </w:r>
      <w:r w:rsidRPr="002C13AE">
        <w:rPr>
          <w:rFonts w:ascii="Times New Roman" w:hAnsi="Times New Roman"/>
          <w:color w:val="000000"/>
          <w:sz w:val="16"/>
          <w:szCs w:val="16"/>
          <w14:textFill>
            <w14:solidFill>
              <w14:srgbClr w14:val="000000">
                <w14:lumMod w14:val="10000"/>
              </w14:srgbClr>
            </w14:solidFill>
          </w14:textFill>
        </w:rPr>
        <w:t xml:space="preserve"> P. (2019) “Cómo un mejor alumbrado público puede reducir la delincuencia”. </w:t>
      </w:r>
      <w:r w:rsidRPr="002C13AE">
        <w:rPr>
          <w:rFonts w:ascii="Times New Roman" w:hAnsi="Times New Roman"/>
          <w:color w:val="000000"/>
          <w:sz w:val="16"/>
          <w:szCs w:val="16"/>
          <w:lang w:val="en-US"/>
          <w14:textFill>
            <w14:solidFill>
              <w14:srgbClr w14:val="000000">
                <w14:lumMod w14:val="10000"/>
              </w14:srgbClr>
            </w14:solidFill>
          </w14:textFill>
        </w:rPr>
        <w:t>BID. https://blogs.iadb.org/ideas-que-cuentan/es/como-un-mejor-alumbrado-publico-puede-reducir-la-delincuencia/</w:t>
      </w:r>
    </w:p>
  </w:footnote>
  <w:footnote w:id="28">
    <w:p w14:paraId="2AA48B8A" w14:textId="4B4EB63D" w:rsidR="00777EF6" w:rsidRPr="00777EF6" w:rsidRDefault="00777EF6">
      <w:pPr>
        <w:pStyle w:val="Textonotapie"/>
        <w:rPr>
          <w:rFonts w:ascii="Times New Roman" w:hAnsi="Times New Roman"/>
          <w:sz w:val="16"/>
          <w:szCs w:val="16"/>
          <w:lang w:val="en-US"/>
        </w:rPr>
      </w:pPr>
      <w:r w:rsidRPr="00777EF6">
        <w:rPr>
          <w:rStyle w:val="Refdenotaalpie"/>
          <w:rFonts w:ascii="Times New Roman" w:hAnsi="Times New Roman"/>
          <w:sz w:val="16"/>
          <w:szCs w:val="16"/>
        </w:rPr>
        <w:footnoteRef/>
      </w:r>
      <w:r w:rsidRPr="00777EF6">
        <w:rPr>
          <w:rFonts w:ascii="Times New Roman" w:hAnsi="Times New Roman"/>
          <w:sz w:val="16"/>
          <w:szCs w:val="16"/>
          <w:lang w:val="en-US"/>
        </w:rPr>
        <w:t xml:space="preserve"> </w:t>
      </w:r>
      <w:r w:rsidRPr="00777EF6">
        <w:rPr>
          <w:rFonts w:ascii="Times New Roman" w:hAnsi="Times New Roman"/>
          <w:color w:val="000000"/>
          <w:sz w:val="16"/>
          <w:szCs w:val="16"/>
          <w:lang w:val="de-DE"/>
          <w14:textFill>
            <w14:solidFill>
              <w14:srgbClr w14:val="000000">
                <w14:lumMod w14:val="10000"/>
              </w14:srgbClr>
            </w14:solidFill>
          </w14:textFill>
        </w:rPr>
        <w:t xml:space="preserve">Chalfin, A., Hansen, B., Lerner, J. Parker, L. (2019). </w:t>
      </w:r>
      <w:r w:rsidRPr="00777EF6">
        <w:rPr>
          <w:rFonts w:ascii="Times New Roman" w:hAnsi="Times New Roman"/>
          <w:color w:val="000000"/>
          <w:sz w:val="16"/>
          <w:szCs w:val="16"/>
          <w:lang w:val="en-US"/>
          <w14:textFill>
            <w14:solidFill>
              <w14:srgbClr w14:val="000000">
                <w14:lumMod w14:val="10000"/>
              </w14:srgbClr>
            </w14:solidFill>
          </w14:textFill>
        </w:rPr>
        <w:t>“Reducing Crime Through Environmental Design: Evidence from a Randomized Experiment of Street Lighting in New York City”. NBER. Working Paper 25798. May. https://www.nber.org/papers/w25798</w:t>
      </w:r>
    </w:p>
  </w:footnote>
  <w:footnote w:id="29">
    <w:p w14:paraId="36D1780E" w14:textId="717CAB9A" w:rsidR="00656AF1" w:rsidRPr="00534D75" w:rsidRDefault="00656AF1">
      <w:pPr>
        <w:pStyle w:val="Textonotapie"/>
        <w:rPr>
          <w:rFonts w:ascii="Times New Roman" w:hAnsi="Times New Roman"/>
          <w:sz w:val="16"/>
          <w:szCs w:val="16"/>
          <w:lang w:val="en-US"/>
        </w:rPr>
      </w:pPr>
      <w:r w:rsidRPr="00534D75">
        <w:rPr>
          <w:rStyle w:val="Refdenotaalpie"/>
          <w:rFonts w:ascii="Times New Roman" w:hAnsi="Times New Roman"/>
          <w:sz w:val="16"/>
          <w:szCs w:val="16"/>
        </w:rPr>
        <w:footnoteRef/>
      </w:r>
      <w:r w:rsidRPr="00740130">
        <w:rPr>
          <w:rFonts w:ascii="Times New Roman" w:hAnsi="Times New Roman"/>
          <w:sz w:val="16"/>
          <w:szCs w:val="16"/>
          <w:lang w:val="en-US"/>
        </w:rPr>
        <w:t xml:space="preserve"> </w:t>
      </w:r>
      <w:r w:rsidR="00534D75" w:rsidRPr="00740130">
        <w:rPr>
          <w:rFonts w:ascii="Times New Roman" w:hAnsi="Times New Roman"/>
          <w:sz w:val="16"/>
          <w:szCs w:val="16"/>
          <w:lang w:val="en-US"/>
        </w:rPr>
        <w:t xml:space="preserve">Peña-García, A. Hurtado, A. Aguilar-Luzón, M.C.. </w:t>
      </w:r>
      <w:r w:rsidR="00534D75" w:rsidRPr="00534D75">
        <w:rPr>
          <w:rFonts w:ascii="Times New Roman" w:hAnsi="Times New Roman"/>
          <w:sz w:val="16"/>
          <w:szCs w:val="16"/>
          <w:lang w:val="en-US"/>
        </w:rPr>
        <w:t>Impact of public lighting on pedestrians’ perception of safety and well-being, Safety Science, Volume 78, 2015, Pages 142-148, ISSN 0925-7535, https://doi.org/10.1016/j.ssci.2015.04.009.</w:t>
      </w:r>
    </w:p>
  </w:footnote>
  <w:footnote w:id="30">
    <w:p w14:paraId="0196A9B5" w14:textId="3EBAF62C" w:rsidR="00534D75" w:rsidRPr="009D33A1" w:rsidRDefault="00534D75">
      <w:pPr>
        <w:pStyle w:val="Textonotapie"/>
        <w:rPr>
          <w:rFonts w:ascii="Times New Roman" w:hAnsi="Times New Roman"/>
          <w:sz w:val="16"/>
          <w:szCs w:val="16"/>
          <w:lang w:val="en-US"/>
        </w:rPr>
      </w:pPr>
      <w:r w:rsidRPr="009D33A1">
        <w:rPr>
          <w:rStyle w:val="Refdenotaalpie"/>
          <w:rFonts w:ascii="Times New Roman" w:hAnsi="Times New Roman"/>
          <w:sz w:val="16"/>
          <w:szCs w:val="16"/>
        </w:rPr>
        <w:footnoteRef/>
      </w:r>
      <w:r w:rsidRPr="009D33A1">
        <w:rPr>
          <w:rFonts w:ascii="Times New Roman" w:hAnsi="Times New Roman"/>
          <w:sz w:val="16"/>
          <w:szCs w:val="16"/>
        </w:rPr>
        <w:t xml:space="preserve"> </w:t>
      </w:r>
      <w:r w:rsidR="00F867CC" w:rsidRPr="009D33A1">
        <w:rPr>
          <w:rFonts w:ascii="Times New Roman" w:hAnsi="Times New Roman"/>
          <w:sz w:val="16"/>
          <w:szCs w:val="16"/>
        </w:rPr>
        <w:t xml:space="preserve">Augereau, O. Bruno, S. Pérez Allub, I. Hernández González, E. Le Bigot, N. et al. </w:t>
      </w:r>
      <w:r w:rsidR="00F867CC" w:rsidRPr="009D33A1">
        <w:rPr>
          <w:rFonts w:ascii="Times New Roman" w:hAnsi="Times New Roman"/>
          <w:sz w:val="16"/>
          <w:szCs w:val="16"/>
          <w:lang w:val="en-US"/>
        </w:rPr>
        <w:t>Impact of Public Lighting Intensity on the Feeling of Safety in Virtual Reality. 2022 ACM International Joint Conference on Pervasive and Ubiquitous Computing, Sep 2022, Cambridge, United Kingdom. ff10.1145/3544793.3563409ff. ffhal-04005943v2f</w:t>
      </w:r>
    </w:p>
  </w:footnote>
  <w:footnote w:id="31">
    <w:p w14:paraId="071E9EAE" w14:textId="77777777" w:rsidR="00270503" w:rsidRDefault="00270503" w:rsidP="00270503">
      <w:pPr>
        <w:pStyle w:val="Textonotapie"/>
        <w:rPr>
          <w:rFonts w:asciiTheme="minorHAnsi" w:hAnsiTheme="minorHAnsi" w:cstheme="minorBidi"/>
        </w:rPr>
      </w:pPr>
      <w:r>
        <w:rPr>
          <w:sz w:val="15"/>
          <w:szCs w:val="15"/>
          <w:lang w:val="es-ES_tradnl"/>
        </w:rPr>
        <w:footnoteRef/>
      </w:r>
      <w:r>
        <w:rPr>
          <w:sz w:val="15"/>
          <w:szCs w:val="15"/>
          <w:lang w:val="es-ES_tradnl"/>
        </w:rPr>
        <w:t xml:space="preserve"> </w:t>
      </w:r>
      <w:r>
        <w:rPr>
          <w:sz w:val="15"/>
          <w:szCs w:val="15"/>
        </w:rPr>
        <w:t>Fuente: https://www.fundacionemprende.org/iluminando-las-calles-con-alumbrado-publico-inteligente-una-nueva-realidad/</w:t>
      </w:r>
    </w:p>
  </w:footnote>
  <w:footnote w:id="32">
    <w:p w14:paraId="3CBA1D41" w14:textId="77777777" w:rsidR="00270503" w:rsidRDefault="00270503" w:rsidP="00270503">
      <w:pPr>
        <w:pStyle w:val="Textonotapie"/>
        <w:rPr>
          <w:sz w:val="15"/>
          <w:szCs w:val="15"/>
          <w:lang w:val="es-ES_tradnl"/>
        </w:rPr>
      </w:pPr>
      <w:r>
        <w:rPr>
          <w:sz w:val="15"/>
          <w:szCs w:val="15"/>
          <w:lang w:val="es-ES_tradnl"/>
        </w:rPr>
        <w:footnoteRef/>
      </w:r>
      <w:r>
        <w:rPr>
          <w:sz w:val="15"/>
          <w:szCs w:val="15"/>
          <w:lang w:val="es-ES_tradnl"/>
        </w:rPr>
        <w:t xml:space="preserve"> Ibid.</w:t>
      </w:r>
    </w:p>
  </w:footnote>
  <w:footnote w:id="33">
    <w:p w14:paraId="4B010840" w14:textId="77777777" w:rsidR="00270503" w:rsidRDefault="00270503" w:rsidP="00270503">
      <w:pPr>
        <w:pStyle w:val="Textonotapie"/>
      </w:pPr>
      <w:r>
        <w:rPr>
          <w:sz w:val="15"/>
          <w:szCs w:val="15"/>
          <w:lang w:val="es-ES_tradnl"/>
        </w:rPr>
        <w:footnoteRef/>
      </w:r>
      <w:r>
        <w:rPr>
          <w:sz w:val="15"/>
          <w:szCs w:val="15"/>
          <w:lang w:val="es-ES_tradnl"/>
        </w:rPr>
        <w:t xml:space="preserve"> Ibid.</w:t>
      </w:r>
    </w:p>
  </w:footnote>
  <w:footnote w:id="34">
    <w:p w14:paraId="01A65D97" w14:textId="77777777" w:rsidR="00270503" w:rsidRDefault="00270503" w:rsidP="00270503">
      <w:pPr>
        <w:pStyle w:val="Textonotapie"/>
      </w:pPr>
      <w:r>
        <w:rPr>
          <w:sz w:val="15"/>
          <w:szCs w:val="15"/>
          <w:lang w:val="es-ES_tradnl"/>
        </w:rPr>
        <w:footnoteRef/>
      </w:r>
      <w:r>
        <w:rPr>
          <w:sz w:val="15"/>
          <w:szCs w:val="15"/>
          <w:lang w:val="es-ES_tradnl"/>
        </w:rPr>
        <w:t xml:space="preserve"> Fuente: https://internetdelascosas.xyz/articulo.php?id=4313&amp;titulo=OrbiWise-implementa-dispositivos-Sampols-en-la-ciudad-de-%C3%81msterdam-para-monitorear-la-contaminacion-acustica</w:t>
      </w:r>
    </w:p>
  </w:footnote>
  <w:footnote w:id="35">
    <w:p w14:paraId="66611144" w14:textId="77777777" w:rsidR="00270503" w:rsidRDefault="00270503" w:rsidP="00270503">
      <w:pPr>
        <w:pStyle w:val="Textonotapie"/>
        <w:rPr>
          <w:sz w:val="15"/>
          <w:szCs w:val="15"/>
          <w:lang w:val="es-MX"/>
        </w:rPr>
      </w:pPr>
      <w:r>
        <w:rPr>
          <w:rStyle w:val="Refdenotaalpie"/>
          <w:sz w:val="15"/>
          <w:szCs w:val="15"/>
        </w:rPr>
        <w:footnoteRef/>
      </w:r>
      <w:r>
        <w:rPr>
          <w:sz w:val="15"/>
          <w:szCs w:val="15"/>
        </w:rPr>
        <w:t xml:space="preserve"> </w:t>
      </w:r>
      <w:r>
        <w:rPr>
          <w:sz w:val="15"/>
          <w:szCs w:val="15"/>
          <w:lang w:val="es-ES_tradnl"/>
        </w:rPr>
        <w:t>Fuente: Thales. https://www.thalesgroup.com/es/worldwide/case-study/mexico-el-programa-de-seguridad-urbana-mas-ambicioso-del-mundo?utm_source=chatgpt.com</w:t>
      </w:r>
    </w:p>
  </w:footnote>
  <w:footnote w:id="36">
    <w:p w14:paraId="34E04C60" w14:textId="77777777" w:rsidR="00270503" w:rsidRDefault="00270503" w:rsidP="00270503">
      <w:pPr>
        <w:pStyle w:val="Textonotapie"/>
        <w:rPr>
          <w:sz w:val="15"/>
          <w:szCs w:val="15"/>
          <w:lang w:val="es-MX"/>
        </w:rPr>
      </w:pPr>
      <w:r>
        <w:rPr>
          <w:rStyle w:val="Refdenotaalpie"/>
          <w:sz w:val="15"/>
          <w:szCs w:val="15"/>
        </w:rPr>
        <w:footnoteRef/>
      </w:r>
      <w:r>
        <w:rPr>
          <w:sz w:val="15"/>
          <w:szCs w:val="15"/>
        </w:rPr>
        <w:t xml:space="preserve"> Domínguez (2019)</w:t>
      </w:r>
    </w:p>
  </w:footnote>
  <w:footnote w:id="37">
    <w:p w14:paraId="1BDEC8AF" w14:textId="77777777" w:rsidR="00270503" w:rsidRDefault="00270503" w:rsidP="00270503">
      <w:pPr>
        <w:pStyle w:val="Textonotapie"/>
        <w:rPr>
          <w:lang w:val="es-MX"/>
        </w:rPr>
      </w:pPr>
      <w:r>
        <w:rPr>
          <w:rStyle w:val="Refdenotaalpie"/>
          <w:sz w:val="15"/>
          <w:szCs w:val="15"/>
        </w:rPr>
        <w:footnoteRef/>
      </w:r>
      <w:r>
        <w:rPr>
          <w:sz w:val="15"/>
          <w:szCs w:val="15"/>
        </w:rPr>
        <w:t xml:space="preserve"> </w:t>
      </w:r>
      <w:r>
        <w:rPr>
          <w:sz w:val="15"/>
          <w:szCs w:val="15"/>
          <w:lang w:val="es-ES_tradnl"/>
        </w:rPr>
        <w:t>Fuente: IFC, 2025</w:t>
      </w:r>
    </w:p>
  </w:footnote>
  <w:footnote w:id="38">
    <w:p w14:paraId="726A6DC0" w14:textId="507423DA" w:rsidR="00947D61" w:rsidRPr="00947D61" w:rsidRDefault="00947D61">
      <w:pPr>
        <w:pStyle w:val="Textonotapie"/>
        <w:rPr>
          <w:lang w:val="es-ES"/>
        </w:rPr>
      </w:pPr>
      <w:r>
        <w:rPr>
          <w:rStyle w:val="Refdenotaalpie"/>
        </w:rPr>
        <w:footnoteRef/>
      </w:r>
      <w:r>
        <w:t xml:space="preserve"> </w:t>
      </w:r>
      <w:r>
        <w:rPr>
          <w:lang w:val="es-ES"/>
        </w:rPr>
        <w:t>Reporte ejecución de ingresos distritales.</w:t>
      </w:r>
    </w:p>
  </w:footnote>
  <w:footnote w:id="39">
    <w:p w14:paraId="3C204733" w14:textId="77777777" w:rsidR="00FA08DA" w:rsidRPr="00947D61" w:rsidRDefault="00FA08DA" w:rsidP="00FA08DA">
      <w:pPr>
        <w:pStyle w:val="Textonotapie"/>
      </w:pPr>
      <w:r>
        <w:rPr>
          <w:rStyle w:val="Refdenotaalpie"/>
        </w:rPr>
        <w:footnoteRef/>
      </w:r>
      <w:r w:rsidRPr="00947D61">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8B6328"/>
    <w:multiLevelType w:val="multilevel"/>
    <w:tmpl w:val="6EA063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B92790"/>
    <w:multiLevelType w:val="multilevel"/>
    <w:tmpl w:val="E9B8D3A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EA6383D"/>
    <w:multiLevelType w:val="hybridMultilevel"/>
    <w:tmpl w:val="99EA0D02"/>
    <w:lvl w:ilvl="0" w:tplc="A8567A5A">
      <w:start w:val="5"/>
      <w:numFmt w:val="bullet"/>
      <w:lvlText w:val="-"/>
      <w:lvlJc w:val="left"/>
      <w:pPr>
        <w:ind w:left="720" w:hanging="360"/>
      </w:pPr>
      <w:rPr>
        <w:rFonts w:ascii="Aptos" w:eastAsiaTheme="minorHAnsi" w:hAnsi="Aptos"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130E243C"/>
    <w:multiLevelType w:val="multilevel"/>
    <w:tmpl w:val="737AA0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C1503FE"/>
    <w:multiLevelType w:val="multilevel"/>
    <w:tmpl w:val="9B2ED2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C843A45"/>
    <w:multiLevelType w:val="multilevel"/>
    <w:tmpl w:val="4B8A47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DAB6813"/>
    <w:multiLevelType w:val="multilevel"/>
    <w:tmpl w:val="006A4B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DF45451"/>
    <w:multiLevelType w:val="multilevel"/>
    <w:tmpl w:val="F18C4C0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E0D1007"/>
    <w:multiLevelType w:val="hybridMultilevel"/>
    <w:tmpl w:val="785A8E7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32540BBA"/>
    <w:multiLevelType w:val="multilevel"/>
    <w:tmpl w:val="13A4F0F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DDC529D"/>
    <w:multiLevelType w:val="multilevel"/>
    <w:tmpl w:val="22A21F5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FC36445"/>
    <w:multiLevelType w:val="multilevel"/>
    <w:tmpl w:val="D772AC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4F3E56A8"/>
    <w:multiLevelType w:val="multilevel"/>
    <w:tmpl w:val="754ED1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52764629"/>
    <w:multiLevelType w:val="multilevel"/>
    <w:tmpl w:val="BF40AD1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5515497A"/>
    <w:multiLevelType w:val="hybridMultilevel"/>
    <w:tmpl w:val="4CF6CC86"/>
    <w:lvl w:ilvl="0" w:tplc="080A0001">
      <w:start w:val="1"/>
      <w:numFmt w:val="bullet"/>
      <w:lvlText w:val=""/>
      <w:lvlJc w:val="left"/>
      <w:pPr>
        <w:ind w:left="1146" w:hanging="360"/>
      </w:pPr>
      <w:rPr>
        <w:rFonts w:ascii="Symbol" w:hAnsi="Symbol" w:hint="default"/>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15" w15:restartNumberingAfterBreak="0">
    <w:nsid w:val="557E0DD0"/>
    <w:multiLevelType w:val="multilevel"/>
    <w:tmpl w:val="0EEE1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6844977"/>
    <w:multiLevelType w:val="multilevel"/>
    <w:tmpl w:val="41BE645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bCs/>
        <w:color w:val="000000" w:themeColor="text1"/>
        <w:sz w:val="24"/>
        <w:szCs w:val="24"/>
      </w:rPr>
    </w:lvl>
    <w:lvl w:ilvl="2">
      <w:start w:val="1"/>
      <w:numFmt w:val="decimal"/>
      <w:isLgl/>
      <w:lvlText w:val="%1.%2.%3."/>
      <w:lvlJc w:val="left"/>
      <w:pPr>
        <w:ind w:left="1080" w:hanging="720"/>
      </w:pPr>
      <w:rPr>
        <w:rFonts w:hint="default"/>
        <w:b/>
        <w:bCs/>
        <w:color w:val="auto"/>
        <w:sz w:val="24"/>
        <w:szCs w:val="24"/>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5C242CB3"/>
    <w:multiLevelType w:val="multilevel"/>
    <w:tmpl w:val="0D3649FA"/>
    <w:lvl w:ilvl="0">
      <w:start w:val="5"/>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8" w15:restartNumberingAfterBreak="0">
    <w:nsid w:val="5C352B04"/>
    <w:multiLevelType w:val="multilevel"/>
    <w:tmpl w:val="074085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66453625"/>
    <w:multiLevelType w:val="multilevel"/>
    <w:tmpl w:val="D794F0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7324569"/>
    <w:multiLevelType w:val="multilevel"/>
    <w:tmpl w:val="18C456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82E7150"/>
    <w:multiLevelType w:val="hybridMultilevel"/>
    <w:tmpl w:val="C730F6C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6F030D62"/>
    <w:multiLevelType w:val="multilevel"/>
    <w:tmpl w:val="4AE6BD4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5440273"/>
    <w:multiLevelType w:val="multilevel"/>
    <w:tmpl w:val="6DC830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79213CA9"/>
    <w:multiLevelType w:val="multilevel"/>
    <w:tmpl w:val="9CCE0D06"/>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color w:val="auto"/>
        <w:sz w:val="22"/>
        <w:szCs w:val="22"/>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25" w15:restartNumberingAfterBreak="0">
    <w:nsid w:val="7B4C7761"/>
    <w:multiLevelType w:val="multilevel"/>
    <w:tmpl w:val="51E4EFC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7DB319FD"/>
    <w:multiLevelType w:val="hybridMultilevel"/>
    <w:tmpl w:val="6638F7D8"/>
    <w:lvl w:ilvl="0" w:tplc="FFFFFFFF">
      <w:start w:val="5"/>
      <w:numFmt w:val="bullet"/>
      <w:lvlText w:val="-"/>
      <w:lvlJc w:val="left"/>
      <w:pPr>
        <w:ind w:left="720" w:hanging="360"/>
      </w:pPr>
      <w:rPr>
        <w:rFonts w:ascii="Aptos" w:hAnsi="Apto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0"/>
  </w:num>
  <w:num w:numId="2">
    <w:abstractNumId w:val="24"/>
  </w:num>
  <w:num w:numId="3">
    <w:abstractNumId w:val="2"/>
  </w:num>
  <w:num w:numId="4">
    <w:abstractNumId w:val="26"/>
  </w:num>
  <w:num w:numId="5">
    <w:abstractNumId w:val="8"/>
  </w:num>
  <w:num w:numId="6">
    <w:abstractNumId w:val="16"/>
  </w:num>
  <w:num w:numId="7">
    <w:abstractNumId w:val="14"/>
  </w:num>
  <w:num w:numId="8">
    <w:abstractNumId w:val="17"/>
  </w:num>
  <w:num w:numId="9">
    <w:abstractNumId w:val="12"/>
  </w:num>
  <w:num w:numId="10">
    <w:abstractNumId w:val="1"/>
  </w:num>
  <w:num w:numId="11">
    <w:abstractNumId w:val="22"/>
  </w:num>
  <w:num w:numId="12">
    <w:abstractNumId w:val="13"/>
  </w:num>
  <w:num w:numId="13">
    <w:abstractNumId w:val="11"/>
  </w:num>
  <w:num w:numId="14">
    <w:abstractNumId w:val="10"/>
  </w:num>
  <w:num w:numId="15">
    <w:abstractNumId w:val="25"/>
  </w:num>
  <w:num w:numId="16">
    <w:abstractNumId w:val="9"/>
  </w:num>
  <w:num w:numId="17">
    <w:abstractNumId w:val="4"/>
  </w:num>
  <w:num w:numId="18">
    <w:abstractNumId w:val="3"/>
  </w:num>
  <w:num w:numId="19">
    <w:abstractNumId w:val="23"/>
  </w:num>
  <w:num w:numId="20">
    <w:abstractNumId w:val="6"/>
  </w:num>
  <w:num w:numId="21">
    <w:abstractNumId w:val="15"/>
  </w:num>
  <w:num w:numId="22">
    <w:abstractNumId w:val="0"/>
  </w:num>
  <w:num w:numId="23">
    <w:abstractNumId w:val="5"/>
  </w:num>
  <w:num w:numId="24">
    <w:abstractNumId w:val="18"/>
  </w:num>
  <w:num w:numId="25">
    <w:abstractNumId w:val="21"/>
  </w:num>
  <w:num w:numId="26">
    <w:abstractNumId w:val="19"/>
  </w:num>
  <w:num w:numId="27">
    <w:abstractNumId w:val="7"/>
  </w:num>
  <w:num w:numId="28">
    <w:abstractNumId w:val="20"/>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3195"/>
    <w:rsid w:val="00000102"/>
    <w:rsid w:val="000001F2"/>
    <w:rsid w:val="00000AC1"/>
    <w:rsid w:val="00000E5A"/>
    <w:rsid w:val="000016FE"/>
    <w:rsid w:val="00001FEE"/>
    <w:rsid w:val="000023D2"/>
    <w:rsid w:val="0000243E"/>
    <w:rsid w:val="00002696"/>
    <w:rsid w:val="000039DE"/>
    <w:rsid w:val="00003E25"/>
    <w:rsid w:val="00003EE4"/>
    <w:rsid w:val="00004399"/>
    <w:rsid w:val="00004E5D"/>
    <w:rsid w:val="00005317"/>
    <w:rsid w:val="00006588"/>
    <w:rsid w:val="00006623"/>
    <w:rsid w:val="0000789A"/>
    <w:rsid w:val="00007C98"/>
    <w:rsid w:val="00007CFA"/>
    <w:rsid w:val="000101A0"/>
    <w:rsid w:val="0001090F"/>
    <w:rsid w:val="00010D43"/>
    <w:rsid w:val="00010ECB"/>
    <w:rsid w:val="00011FA7"/>
    <w:rsid w:val="00012112"/>
    <w:rsid w:val="00013A40"/>
    <w:rsid w:val="00013A64"/>
    <w:rsid w:val="0001404E"/>
    <w:rsid w:val="00014A70"/>
    <w:rsid w:val="00014B67"/>
    <w:rsid w:val="00014CF3"/>
    <w:rsid w:val="00015767"/>
    <w:rsid w:val="0001642A"/>
    <w:rsid w:val="00016796"/>
    <w:rsid w:val="00016860"/>
    <w:rsid w:val="00016A98"/>
    <w:rsid w:val="000177D7"/>
    <w:rsid w:val="00017A7A"/>
    <w:rsid w:val="00017BAE"/>
    <w:rsid w:val="00017C86"/>
    <w:rsid w:val="00017F46"/>
    <w:rsid w:val="000206E4"/>
    <w:rsid w:val="00021F30"/>
    <w:rsid w:val="00022DC7"/>
    <w:rsid w:val="000233E7"/>
    <w:rsid w:val="00024278"/>
    <w:rsid w:val="00024559"/>
    <w:rsid w:val="0002467B"/>
    <w:rsid w:val="0002491E"/>
    <w:rsid w:val="00024F9E"/>
    <w:rsid w:val="0002579E"/>
    <w:rsid w:val="00025C71"/>
    <w:rsid w:val="00025D18"/>
    <w:rsid w:val="00025DAC"/>
    <w:rsid w:val="00026156"/>
    <w:rsid w:val="000262A4"/>
    <w:rsid w:val="00026626"/>
    <w:rsid w:val="00026E2D"/>
    <w:rsid w:val="00027317"/>
    <w:rsid w:val="00030B89"/>
    <w:rsid w:val="00031144"/>
    <w:rsid w:val="00031BEF"/>
    <w:rsid w:val="00032B49"/>
    <w:rsid w:val="00032C96"/>
    <w:rsid w:val="00032EF4"/>
    <w:rsid w:val="00032FE2"/>
    <w:rsid w:val="000335B3"/>
    <w:rsid w:val="000339FC"/>
    <w:rsid w:val="00033B0A"/>
    <w:rsid w:val="00034C5A"/>
    <w:rsid w:val="00035F63"/>
    <w:rsid w:val="00036089"/>
    <w:rsid w:val="000403C8"/>
    <w:rsid w:val="00040416"/>
    <w:rsid w:val="00041678"/>
    <w:rsid w:val="00041DCC"/>
    <w:rsid w:val="000421B8"/>
    <w:rsid w:val="0004223C"/>
    <w:rsid w:val="000429DB"/>
    <w:rsid w:val="00042E13"/>
    <w:rsid w:val="00042F13"/>
    <w:rsid w:val="00044195"/>
    <w:rsid w:val="00044DF9"/>
    <w:rsid w:val="00045438"/>
    <w:rsid w:val="00045A85"/>
    <w:rsid w:val="00045B1C"/>
    <w:rsid w:val="00045D68"/>
    <w:rsid w:val="00045F24"/>
    <w:rsid w:val="000469B1"/>
    <w:rsid w:val="000474F8"/>
    <w:rsid w:val="0004755C"/>
    <w:rsid w:val="00050D44"/>
    <w:rsid w:val="000512F6"/>
    <w:rsid w:val="0005149C"/>
    <w:rsid w:val="00051630"/>
    <w:rsid w:val="00051EE4"/>
    <w:rsid w:val="000521C5"/>
    <w:rsid w:val="00052F05"/>
    <w:rsid w:val="000532C2"/>
    <w:rsid w:val="00053496"/>
    <w:rsid w:val="00053938"/>
    <w:rsid w:val="00053E0C"/>
    <w:rsid w:val="00054B2E"/>
    <w:rsid w:val="00055A7F"/>
    <w:rsid w:val="00056E64"/>
    <w:rsid w:val="0005716F"/>
    <w:rsid w:val="000574CD"/>
    <w:rsid w:val="00057779"/>
    <w:rsid w:val="00057948"/>
    <w:rsid w:val="00057BE7"/>
    <w:rsid w:val="000601B5"/>
    <w:rsid w:val="000603B3"/>
    <w:rsid w:val="00060A28"/>
    <w:rsid w:val="0006155E"/>
    <w:rsid w:val="00061670"/>
    <w:rsid w:val="000616DC"/>
    <w:rsid w:val="00062289"/>
    <w:rsid w:val="000622F6"/>
    <w:rsid w:val="00062985"/>
    <w:rsid w:val="00062DAD"/>
    <w:rsid w:val="00062FCD"/>
    <w:rsid w:val="0006315B"/>
    <w:rsid w:val="0006462A"/>
    <w:rsid w:val="000647E1"/>
    <w:rsid w:val="000659F8"/>
    <w:rsid w:val="00065E0D"/>
    <w:rsid w:val="000664D0"/>
    <w:rsid w:val="0006737F"/>
    <w:rsid w:val="00067528"/>
    <w:rsid w:val="000676F7"/>
    <w:rsid w:val="00067AC3"/>
    <w:rsid w:val="00067CC2"/>
    <w:rsid w:val="00070107"/>
    <w:rsid w:val="000705CF"/>
    <w:rsid w:val="00071151"/>
    <w:rsid w:val="00071B60"/>
    <w:rsid w:val="00071B65"/>
    <w:rsid w:val="00072C04"/>
    <w:rsid w:val="00073029"/>
    <w:rsid w:val="00073789"/>
    <w:rsid w:val="00074B3C"/>
    <w:rsid w:val="00074C03"/>
    <w:rsid w:val="00074DFC"/>
    <w:rsid w:val="00074E03"/>
    <w:rsid w:val="000750A2"/>
    <w:rsid w:val="00075221"/>
    <w:rsid w:val="0007589F"/>
    <w:rsid w:val="00075F77"/>
    <w:rsid w:val="00076681"/>
    <w:rsid w:val="00077220"/>
    <w:rsid w:val="000772F6"/>
    <w:rsid w:val="0007738C"/>
    <w:rsid w:val="00077782"/>
    <w:rsid w:val="000777FE"/>
    <w:rsid w:val="0007780A"/>
    <w:rsid w:val="00077EFB"/>
    <w:rsid w:val="00080175"/>
    <w:rsid w:val="00080A98"/>
    <w:rsid w:val="00081795"/>
    <w:rsid w:val="00082D1A"/>
    <w:rsid w:val="00083109"/>
    <w:rsid w:val="000833EF"/>
    <w:rsid w:val="0008340F"/>
    <w:rsid w:val="0008362C"/>
    <w:rsid w:val="00083747"/>
    <w:rsid w:val="00083E7E"/>
    <w:rsid w:val="00084D8F"/>
    <w:rsid w:val="0008543A"/>
    <w:rsid w:val="000859F4"/>
    <w:rsid w:val="00085B65"/>
    <w:rsid w:val="000863F0"/>
    <w:rsid w:val="00087204"/>
    <w:rsid w:val="00087E15"/>
    <w:rsid w:val="00087E7D"/>
    <w:rsid w:val="000905AB"/>
    <w:rsid w:val="00091C49"/>
    <w:rsid w:val="00091EA5"/>
    <w:rsid w:val="0009220E"/>
    <w:rsid w:val="0009232F"/>
    <w:rsid w:val="00092B95"/>
    <w:rsid w:val="000932D9"/>
    <w:rsid w:val="00093791"/>
    <w:rsid w:val="00093FEC"/>
    <w:rsid w:val="00094006"/>
    <w:rsid w:val="00094566"/>
    <w:rsid w:val="0009457B"/>
    <w:rsid w:val="000945FD"/>
    <w:rsid w:val="00096353"/>
    <w:rsid w:val="000965CF"/>
    <w:rsid w:val="00096A4A"/>
    <w:rsid w:val="0009717C"/>
    <w:rsid w:val="0009746D"/>
    <w:rsid w:val="00097CDD"/>
    <w:rsid w:val="00097CEF"/>
    <w:rsid w:val="00097E3D"/>
    <w:rsid w:val="000A099C"/>
    <w:rsid w:val="000A0FCE"/>
    <w:rsid w:val="000A1E91"/>
    <w:rsid w:val="000A2130"/>
    <w:rsid w:val="000A21D2"/>
    <w:rsid w:val="000A2F35"/>
    <w:rsid w:val="000A3406"/>
    <w:rsid w:val="000A3A51"/>
    <w:rsid w:val="000A3CCE"/>
    <w:rsid w:val="000A432A"/>
    <w:rsid w:val="000A5627"/>
    <w:rsid w:val="000A5A4D"/>
    <w:rsid w:val="000A5B3C"/>
    <w:rsid w:val="000A5FE3"/>
    <w:rsid w:val="000A677F"/>
    <w:rsid w:val="000A69C6"/>
    <w:rsid w:val="000A69D7"/>
    <w:rsid w:val="000A7E4B"/>
    <w:rsid w:val="000B01D9"/>
    <w:rsid w:val="000B045E"/>
    <w:rsid w:val="000B1540"/>
    <w:rsid w:val="000B2421"/>
    <w:rsid w:val="000B248F"/>
    <w:rsid w:val="000B2989"/>
    <w:rsid w:val="000B2B03"/>
    <w:rsid w:val="000B2E35"/>
    <w:rsid w:val="000B3D71"/>
    <w:rsid w:val="000B3EEC"/>
    <w:rsid w:val="000B43C2"/>
    <w:rsid w:val="000B5449"/>
    <w:rsid w:val="000B6AE5"/>
    <w:rsid w:val="000B72F1"/>
    <w:rsid w:val="000B7FEA"/>
    <w:rsid w:val="000C039E"/>
    <w:rsid w:val="000C0BE6"/>
    <w:rsid w:val="000C0CC8"/>
    <w:rsid w:val="000C0F99"/>
    <w:rsid w:val="000C1EE0"/>
    <w:rsid w:val="000C1F48"/>
    <w:rsid w:val="000C24B3"/>
    <w:rsid w:val="000C339A"/>
    <w:rsid w:val="000C3444"/>
    <w:rsid w:val="000C3912"/>
    <w:rsid w:val="000C4623"/>
    <w:rsid w:val="000C4E5E"/>
    <w:rsid w:val="000C5BC3"/>
    <w:rsid w:val="000C68C5"/>
    <w:rsid w:val="000C7CC0"/>
    <w:rsid w:val="000D04B6"/>
    <w:rsid w:val="000D05C4"/>
    <w:rsid w:val="000D0C91"/>
    <w:rsid w:val="000D252E"/>
    <w:rsid w:val="000D2762"/>
    <w:rsid w:val="000D3360"/>
    <w:rsid w:val="000D3962"/>
    <w:rsid w:val="000D4123"/>
    <w:rsid w:val="000D4398"/>
    <w:rsid w:val="000D4458"/>
    <w:rsid w:val="000D449A"/>
    <w:rsid w:val="000D4D7E"/>
    <w:rsid w:val="000D520B"/>
    <w:rsid w:val="000D5BEE"/>
    <w:rsid w:val="000D6150"/>
    <w:rsid w:val="000D64E1"/>
    <w:rsid w:val="000D685C"/>
    <w:rsid w:val="000D72BC"/>
    <w:rsid w:val="000D775B"/>
    <w:rsid w:val="000D7A96"/>
    <w:rsid w:val="000E0861"/>
    <w:rsid w:val="000E0EA4"/>
    <w:rsid w:val="000E15F0"/>
    <w:rsid w:val="000E229A"/>
    <w:rsid w:val="000E2870"/>
    <w:rsid w:val="000E2A68"/>
    <w:rsid w:val="000E2C84"/>
    <w:rsid w:val="000E2EE0"/>
    <w:rsid w:val="000E3204"/>
    <w:rsid w:val="000E3459"/>
    <w:rsid w:val="000E44B4"/>
    <w:rsid w:val="000E4635"/>
    <w:rsid w:val="000E57CC"/>
    <w:rsid w:val="000E5BA2"/>
    <w:rsid w:val="000E6C79"/>
    <w:rsid w:val="000E732F"/>
    <w:rsid w:val="000E73A5"/>
    <w:rsid w:val="000E748E"/>
    <w:rsid w:val="000F05F0"/>
    <w:rsid w:val="000F0BB8"/>
    <w:rsid w:val="000F0C09"/>
    <w:rsid w:val="000F0CA6"/>
    <w:rsid w:val="000F0E16"/>
    <w:rsid w:val="000F2CEB"/>
    <w:rsid w:val="000F30C2"/>
    <w:rsid w:val="000F3534"/>
    <w:rsid w:val="000F3EF1"/>
    <w:rsid w:val="000F3F61"/>
    <w:rsid w:val="000F54EA"/>
    <w:rsid w:val="000F5F4F"/>
    <w:rsid w:val="000F6CF8"/>
    <w:rsid w:val="000F6E5E"/>
    <w:rsid w:val="000F7403"/>
    <w:rsid w:val="00100202"/>
    <w:rsid w:val="001007D9"/>
    <w:rsid w:val="001015E4"/>
    <w:rsid w:val="001016B3"/>
    <w:rsid w:val="00101BE8"/>
    <w:rsid w:val="001020D6"/>
    <w:rsid w:val="00103636"/>
    <w:rsid w:val="00103854"/>
    <w:rsid w:val="00103DD0"/>
    <w:rsid w:val="00104018"/>
    <w:rsid w:val="00104421"/>
    <w:rsid w:val="00104B28"/>
    <w:rsid w:val="00104E19"/>
    <w:rsid w:val="0010581E"/>
    <w:rsid w:val="00105C60"/>
    <w:rsid w:val="00105FFC"/>
    <w:rsid w:val="00106539"/>
    <w:rsid w:val="001069A1"/>
    <w:rsid w:val="001073A9"/>
    <w:rsid w:val="0010751E"/>
    <w:rsid w:val="0011056C"/>
    <w:rsid w:val="00110CC5"/>
    <w:rsid w:val="00111065"/>
    <w:rsid w:val="001112D6"/>
    <w:rsid w:val="001127E3"/>
    <w:rsid w:val="00113D09"/>
    <w:rsid w:val="00113D20"/>
    <w:rsid w:val="001145EE"/>
    <w:rsid w:val="00114C1D"/>
    <w:rsid w:val="00115519"/>
    <w:rsid w:val="0011588F"/>
    <w:rsid w:val="00115947"/>
    <w:rsid w:val="001166D3"/>
    <w:rsid w:val="0011670B"/>
    <w:rsid w:val="001168F8"/>
    <w:rsid w:val="00117163"/>
    <w:rsid w:val="00117833"/>
    <w:rsid w:val="00117A7D"/>
    <w:rsid w:val="00117CF6"/>
    <w:rsid w:val="00117F9F"/>
    <w:rsid w:val="00120BBA"/>
    <w:rsid w:val="00120C02"/>
    <w:rsid w:val="0012169A"/>
    <w:rsid w:val="00121AE7"/>
    <w:rsid w:val="00121B37"/>
    <w:rsid w:val="00121BE2"/>
    <w:rsid w:val="00122438"/>
    <w:rsid w:val="001231D2"/>
    <w:rsid w:val="00123561"/>
    <w:rsid w:val="001236C7"/>
    <w:rsid w:val="00123F00"/>
    <w:rsid w:val="00124231"/>
    <w:rsid w:val="001245AE"/>
    <w:rsid w:val="00124EFE"/>
    <w:rsid w:val="00125556"/>
    <w:rsid w:val="0012562A"/>
    <w:rsid w:val="00125C4E"/>
    <w:rsid w:val="00125F42"/>
    <w:rsid w:val="00125F5B"/>
    <w:rsid w:val="00125F7E"/>
    <w:rsid w:val="00126E0F"/>
    <w:rsid w:val="00127069"/>
    <w:rsid w:val="00127732"/>
    <w:rsid w:val="001305E0"/>
    <w:rsid w:val="00130A8E"/>
    <w:rsid w:val="001311B1"/>
    <w:rsid w:val="00131BD5"/>
    <w:rsid w:val="001323E0"/>
    <w:rsid w:val="00132401"/>
    <w:rsid w:val="001331C1"/>
    <w:rsid w:val="0013383A"/>
    <w:rsid w:val="00133ABE"/>
    <w:rsid w:val="00133D4E"/>
    <w:rsid w:val="001343DB"/>
    <w:rsid w:val="00134BFD"/>
    <w:rsid w:val="001353C3"/>
    <w:rsid w:val="00135BE1"/>
    <w:rsid w:val="00135CA3"/>
    <w:rsid w:val="0013628E"/>
    <w:rsid w:val="00137957"/>
    <w:rsid w:val="00137C7A"/>
    <w:rsid w:val="00140B50"/>
    <w:rsid w:val="00140CED"/>
    <w:rsid w:val="001413E4"/>
    <w:rsid w:val="00141E9F"/>
    <w:rsid w:val="00142695"/>
    <w:rsid w:val="00142B9A"/>
    <w:rsid w:val="00143B4F"/>
    <w:rsid w:val="00143F1C"/>
    <w:rsid w:val="0014419F"/>
    <w:rsid w:val="00144400"/>
    <w:rsid w:val="00144CB3"/>
    <w:rsid w:val="00145754"/>
    <w:rsid w:val="0014672C"/>
    <w:rsid w:val="00147738"/>
    <w:rsid w:val="001479EC"/>
    <w:rsid w:val="00150351"/>
    <w:rsid w:val="001505F2"/>
    <w:rsid w:val="001506CE"/>
    <w:rsid w:val="001507D2"/>
    <w:rsid w:val="00151A6D"/>
    <w:rsid w:val="00151E22"/>
    <w:rsid w:val="00152BB5"/>
    <w:rsid w:val="001546F0"/>
    <w:rsid w:val="00154A01"/>
    <w:rsid w:val="00155457"/>
    <w:rsid w:val="0015571A"/>
    <w:rsid w:val="00155983"/>
    <w:rsid w:val="001566DC"/>
    <w:rsid w:val="00156E1D"/>
    <w:rsid w:val="00156F72"/>
    <w:rsid w:val="001575C5"/>
    <w:rsid w:val="00157E08"/>
    <w:rsid w:val="001600FE"/>
    <w:rsid w:val="0016037B"/>
    <w:rsid w:val="00160384"/>
    <w:rsid w:val="00162015"/>
    <w:rsid w:val="00162277"/>
    <w:rsid w:val="0016260F"/>
    <w:rsid w:val="00162EBF"/>
    <w:rsid w:val="001632E7"/>
    <w:rsid w:val="001635E7"/>
    <w:rsid w:val="001636F1"/>
    <w:rsid w:val="00163766"/>
    <w:rsid w:val="001639E8"/>
    <w:rsid w:val="00163BDD"/>
    <w:rsid w:val="00163C22"/>
    <w:rsid w:val="00164890"/>
    <w:rsid w:val="001651DE"/>
    <w:rsid w:val="00165B90"/>
    <w:rsid w:val="00165E70"/>
    <w:rsid w:val="00166C40"/>
    <w:rsid w:val="00166D30"/>
    <w:rsid w:val="00167329"/>
    <w:rsid w:val="00167576"/>
    <w:rsid w:val="001678C1"/>
    <w:rsid w:val="00167AA3"/>
    <w:rsid w:val="00170011"/>
    <w:rsid w:val="001705BE"/>
    <w:rsid w:val="00170C93"/>
    <w:rsid w:val="00171551"/>
    <w:rsid w:val="00171989"/>
    <w:rsid w:val="00171CA0"/>
    <w:rsid w:val="00171FB8"/>
    <w:rsid w:val="001725A1"/>
    <w:rsid w:val="00172919"/>
    <w:rsid w:val="00172DEB"/>
    <w:rsid w:val="00172F5C"/>
    <w:rsid w:val="001731E5"/>
    <w:rsid w:val="00173BD0"/>
    <w:rsid w:val="001749CF"/>
    <w:rsid w:val="00175EE0"/>
    <w:rsid w:val="0017622B"/>
    <w:rsid w:val="00176888"/>
    <w:rsid w:val="00176BB5"/>
    <w:rsid w:val="00177308"/>
    <w:rsid w:val="00177454"/>
    <w:rsid w:val="00180036"/>
    <w:rsid w:val="00180C25"/>
    <w:rsid w:val="0018102E"/>
    <w:rsid w:val="00181195"/>
    <w:rsid w:val="001816FC"/>
    <w:rsid w:val="00181AF9"/>
    <w:rsid w:val="00181F51"/>
    <w:rsid w:val="00182090"/>
    <w:rsid w:val="0018236E"/>
    <w:rsid w:val="0018245E"/>
    <w:rsid w:val="00182609"/>
    <w:rsid w:val="001834A5"/>
    <w:rsid w:val="001840C2"/>
    <w:rsid w:val="00185575"/>
    <w:rsid w:val="001857D6"/>
    <w:rsid w:val="0018624A"/>
    <w:rsid w:val="001916E1"/>
    <w:rsid w:val="0019263F"/>
    <w:rsid w:val="00192E25"/>
    <w:rsid w:val="00193549"/>
    <w:rsid w:val="00193BAD"/>
    <w:rsid w:val="00193FD8"/>
    <w:rsid w:val="001940E2"/>
    <w:rsid w:val="00194216"/>
    <w:rsid w:val="001947B5"/>
    <w:rsid w:val="00194995"/>
    <w:rsid w:val="001951C6"/>
    <w:rsid w:val="001955ED"/>
    <w:rsid w:val="00196225"/>
    <w:rsid w:val="00196708"/>
    <w:rsid w:val="00196C78"/>
    <w:rsid w:val="00197C6D"/>
    <w:rsid w:val="00197E86"/>
    <w:rsid w:val="00197FF4"/>
    <w:rsid w:val="001A06D2"/>
    <w:rsid w:val="001A0EDE"/>
    <w:rsid w:val="001A11C7"/>
    <w:rsid w:val="001A19AF"/>
    <w:rsid w:val="001A2525"/>
    <w:rsid w:val="001A2BEE"/>
    <w:rsid w:val="001A3BF9"/>
    <w:rsid w:val="001A3CAF"/>
    <w:rsid w:val="001A3E51"/>
    <w:rsid w:val="001A4838"/>
    <w:rsid w:val="001A4CD3"/>
    <w:rsid w:val="001A4D91"/>
    <w:rsid w:val="001A56FC"/>
    <w:rsid w:val="001A5E52"/>
    <w:rsid w:val="001A7914"/>
    <w:rsid w:val="001A7E32"/>
    <w:rsid w:val="001B0420"/>
    <w:rsid w:val="001B0D49"/>
    <w:rsid w:val="001B0EED"/>
    <w:rsid w:val="001B1EAD"/>
    <w:rsid w:val="001B2EC1"/>
    <w:rsid w:val="001B3452"/>
    <w:rsid w:val="001B3562"/>
    <w:rsid w:val="001B3921"/>
    <w:rsid w:val="001B4371"/>
    <w:rsid w:val="001B48FF"/>
    <w:rsid w:val="001B66F1"/>
    <w:rsid w:val="001B708E"/>
    <w:rsid w:val="001C1A67"/>
    <w:rsid w:val="001C2F70"/>
    <w:rsid w:val="001C349D"/>
    <w:rsid w:val="001C3D66"/>
    <w:rsid w:val="001C479C"/>
    <w:rsid w:val="001C4E76"/>
    <w:rsid w:val="001C5138"/>
    <w:rsid w:val="001C549D"/>
    <w:rsid w:val="001C6BAA"/>
    <w:rsid w:val="001C6D79"/>
    <w:rsid w:val="001C7DF6"/>
    <w:rsid w:val="001D0CD2"/>
    <w:rsid w:val="001D1139"/>
    <w:rsid w:val="001D207B"/>
    <w:rsid w:val="001D2287"/>
    <w:rsid w:val="001D23AB"/>
    <w:rsid w:val="001D28BA"/>
    <w:rsid w:val="001D3591"/>
    <w:rsid w:val="001D3782"/>
    <w:rsid w:val="001D4419"/>
    <w:rsid w:val="001D474E"/>
    <w:rsid w:val="001D4A13"/>
    <w:rsid w:val="001D5541"/>
    <w:rsid w:val="001D59DA"/>
    <w:rsid w:val="001D5E82"/>
    <w:rsid w:val="001D6B68"/>
    <w:rsid w:val="001D6EFA"/>
    <w:rsid w:val="001E01CE"/>
    <w:rsid w:val="001E0615"/>
    <w:rsid w:val="001E0EBD"/>
    <w:rsid w:val="001E139D"/>
    <w:rsid w:val="001E1B58"/>
    <w:rsid w:val="001E1C2B"/>
    <w:rsid w:val="001E1F59"/>
    <w:rsid w:val="001E20CC"/>
    <w:rsid w:val="001E28F6"/>
    <w:rsid w:val="001E3001"/>
    <w:rsid w:val="001E30C2"/>
    <w:rsid w:val="001E320D"/>
    <w:rsid w:val="001E34D8"/>
    <w:rsid w:val="001E4058"/>
    <w:rsid w:val="001E442D"/>
    <w:rsid w:val="001E52D3"/>
    <w:rsid w:val="001E5539"/>
    <w:rsid w:val="001E5FFD"/>
    <w:rsid w:val="001E62AF"/>
    <w:rsid w:val="001E637F"/>
    <w:rsid w:val="001E69AA"/>
    <w:rsid w:val="001E7AD9"/>
    <w:rsid w:val="001F008C"/>
    <w:rsid w:val="001F086F"/>
    <w:rsid w:val="001F0BF3"/>
    <w:rsid w:val="001F1312"/>
    <w:rsid w:val="001F1F23"/>
    <w:rsid w:val="001F2A8F"/>
    <w:rsid w:val="001F3254"/>
    <w:rsid w:val="001F4572"/>
    <w:rsid w:val="001F4DBE"/>
    <w:rsid w:val="001F4E5E"/>
    <w:rsid w:val="001F6F9E"/>
    <w:rsid w:val="001F748C"/>
    <w:rsid w:val="001F7A9E"/>
    <w:rsid w:val="0020001B"/>
    <w:rsid w:val="00200BE4"/>
    <w:rsid w:val="002011E7"/>
    <w:rsid w:val="0020125B"/>
    <w:rsid w:val="002014B3"/>
    <w:rsid w:val="00201F48"/>
    <w:rsid w:val="002035CC"/>
    <w:rsid w:val="00203BD4"/>
    <w:rsid w:val="00204435"/>
    <w:rsid w:val="00205127"/>
    <w:rsid w:val="0020557D"/>
    <w:rsid w:val="00205679"/>
    <w:rsid w:val="0020584C"/>
    <w:rsid w:val="00205E6E"/>
    <w:rsid w:val="002062F6"/>
    <w:rsid w:val="002067A3"/>
    <w:rsid w:val="0020680C"/>
    <w:rsid w:val="00206A55"/>
    <w:rsid w:val="0020737E"/>
    <w:rsid w:val="00207E5C"/>
    <w:rsid w:val="0021015A"/>
    <w:rsid w:val="00211890"/>
    <w:rsid w:val="00211AB1"/>
    <w:rsid w:val="00211FB5"/>
    <w:rsid w:val="0021206E"/>
    <w:rsid w:val="002128CE"/>
    <w:rsid w:val="0021356F"/>
    <w:rsid w:val="00213DE8"/>
    <w:rsid w:val="0021400C"/>
    <w:rsid w:val="00214827"/>
    <w:rsid w:val="00214F20"/>
    <w:rsid w:val="00215760"/>
    <w:rsid w:val="00215FE4"/>
    <w:rsid w:val="00216E1E"/>
    <w:rsid w:val="00216E55"/>
    <w:rsid w:val="00216F37"/>
    <w:rsid w:val="00217032"/>
    <w:rsid w:val="00220219"/>
    <w:rsid w:val="002207E4"/>
    <w:rsid w:val="00220A59"/>
    <w:rsid w:val="002227AA"/>
    <w:rsid w:val="00222892"/>
    <w:rsid w:val="00222FE8"/>
    <w:rsid w:val="0022494D"/>
    <w:rsid w:val="00225199"/>
    <w:rsid w:val="002252F7"/>
    <w:rsid w:val="00226698"/>
    <w:rsid w:val="00227013"/>
    <w:rsid w:val="00227342"/>
    <w:rsid w:val="00227906"/>
    <w:rsid w:val="00227B81"/>
    <w:rsid w:val="002300D8"/>
    <w:rsid w:val="00230176"/>
    <w:rsid w:val="002304EE"/>
    <w:rsid w:val="00230861"/>
    <w:rsid w:val="00231C9B"/>
    <w:rsid w:val="00232752"/>
    <w:rsid w:val="002327CC"/>
    <w:rsid w:val="00233A69"/>
    <w:rsid w:val="00233D96"/>
    <w:rsid w:val="002340C5"/>
    <w:rsid w:val="00235226"/>
    <w:rsid w:val="0023611A"/>
    <w:rsid w:val="002364E5"/>
    <w:rsid w:val="002366A7"/>
    <w:rsid w:val="00236C6A"/>
    <w:rsid w:val="00236CC1"/>
    <w:rsid w:val="00236FEC"/>
    <w:rsid w:val="002372A9"/>
    <w:rsid w:val="002375B1"/>
    <w:rsid w:val="00240665"/>
    <w:rsid w:val="00240965"/>
    <w:rsid w:val="00240C59"/>
    <w:rsid w:val="00241314"/>
    <w:rsid w:val="00242125"/>
    <w:rsid w:val="0024247F"/>
    <w:rsid w:val="00242753"/>
    <w:rsid w:val="00242D13"/>
    <w:rsid w:val="00243AEC"/>
    <w:rsid w:val="002446FB"/>
    <w:rsid w:val="0024564C"/>
    <w:rsid w:val="0024573D"/>
    <w:rsid w:val="00246EB5"/>
    <w:rsid w:val="0024747A"/>
    <w:rsid w:val="00247583"/>
    <w:rsid w:val="002477E3"/>
    <w:rsid w:val="002504B3"/>
    <w:rsid w:val="00250613"/>
    <w:rsid w:val="00250937"/>
    <w:rsid w:val="00250A71"/>
    <w:rsid w:val="00251750"/>
    <w:rsid w:val="00251843"/>
    <w:rsid w:val="00251F6A"/>
    <w:rsid w:val="0025227B"/>
    <w:rsid w:val="00252311"/>
    <w:rsid w:val="0025253F"/>
    <w:rsid w:val="002526B9"/>
    <w:rsid w:val="00253440"/>
    <w:rsid w:val="00253937"/>
    <w:rsid w:val="00254000"/>
    <w:rsid w:val="00254984"/>
    <w:rsid w:val="00254AB3"/>
    <w:rsid w:val="0025559A"/>
    <w:rsid w:val="0025627F"/>
    <w:rsid w:val="0025711D"/>
    <w:rsid w:val="002573A2"/>
    <w:rsid w:val="002575DC"/>
    <w:rsid w:val="0026094C"/>
    <w:rsid w:val="00260BD1"/>
    <w:rsid w:val="00260DEB"/>
    <w:rsid w:val="0026177A"/>
    <w:rsid w:val="00261ED0"/>
    <w:rsid w:val="0026254F"/>
    <w:rsid w:val="002626D9"/>
    <w:rsid w:val="00262AD5"/>
    <w:rsid w:val="00263158"/>
    <w:rsid w:val="002633EA"/>
    <w:rsid w:val="00263519"/>
    <w:rsid w:val="00263EFE"/>
    <w:rsid w:val="00264255"/>
    <w:rsid w:val="00265B88"/>
    <w:rsid w:val="00265D51"/>
    <w:rsid w:val="00266193"/>
    <w:rsid w:val="00266226"/>
    <w:rsid w:val="00266671"/>
    <w:rsid w:val="0026675B"/>
    <w:rsid w:val="00266FF3"/>
    <w:rsid w:val="00270503"/>
    <w:rsid w:val="002706C2"/>
    <w:rsid w:val="002708A9"/>
    <w:rsid w:val="00270951"/>
    <w:rsid w:val="0027097D"/>
    <w:rsid w:val="00270F4C"/>
    <w:rsid w:val="002710F7"/>
    <w:rsid w:val="0027319E"/>
    <w:rsid w:val="002741A6"/>
    <w:rsid w:val="002754BE"/>
    <w:rsid w:val="0027552C"/>
    <w:rsid w:val="0027625F"/>
    <w:rsid w:val="002762E7"/>
    <w:rsid w:val="0027630F"/>
    <w:rsid w:val="00276C7B"/>
    <w:rsid w:val="00276D14"/>
    <w:rsid w:val="00276E23"/>
    <w:rsid w:val="00276FA0"/>
    <w:rsid w:val="00277637"/>
    <w:rsid w:val="00277F54"/>
    <w:rsid w:val="00280031"/>
    <w:rsid w:val="0028042D"/>
    <w:rsid w:val="00280EE3"/>
    <w:rsid w:val="0028176D"/>
    <w:rsid w:val="002819DC"/>
    <w:rsid w:val="00281ED8"/>
    <w:rsid w:val="002823A8"/>
    <w:rsid w:val="002828FF"/>
    <w:rsid w:val="00282B0E"/>
    <w:rsid w:val="00282B21"/>
    <w:rsid w:val="00283100"/>
    <w:rsid w:val="00283E75"/>
    <w:rsid w:val="00284001"/>
    <w:rsid w:val="00284FA0"/>
    <w:rsid w:val="002850AE"/>
    <w:rsid w:val="00286568"/>
    <w:rsid w:val="00286E30"/>
    <w:rsid w:val="00287004"/>
    <w:rsid w:val="00287096"/>
    <w:rsid w:val="002877E9"/>
    <w:rsid w:val="00290BFD"/>
    <w:rsid w:val="002918A0"/>
    <w:rsid w:val="002919B9"/>
    <w:rsid w:val="002919CA"/>
    <w:rsid w:val="00293540"/>
    <w:rsid w:val="00293F95"/>
    <w:rsid w:val="00294C47"/>
    <w:rsid w:val="00295F7A"/>
    <w:rsid w:val="00296B2D"/>
    <w:rsid w:val="00297342"/>
    <w:rsid w:val="002978CC"/>
    <w:rsid w:val="00297C29"/>
    <w:rsid w:val="002A0401"/>
    <w:rsid w:val="002A1069"/>
    <w:rsid w:val="002A27E2"/>
    <w:rsid w:val="002A37E0"/>
    <w:rsid w:val="002A3E46"/>
    <w:rsid w:val="002A3F68"/>
    <w:rsid w:val="002A46C3"/>
    <w:rsid w:val="002A4B25"/>
    <w:rsid w:val="002A4FDE"/>
    <w:rsid w:val="002A54A5"/>
    <w:rsid w:val="002A584A"/>
    <w:rsid w:val="002A5F0D"/>
    <w:rsid w:val="002A61A7"/>
    <w:rsid w:val="002A635C"/>
    <w:rsid w:val="002A6FDB"/>
    <w:rsid w:val="002A72B3"/>
    <w:rsid w:val="002A757A"/>
    <w:rsid w:val="002B00E4"/>
    <w:rsid w:val="002B073A"/>
    <w:rsid w:val="002B0B63"/>
    <w:rsid w:val="002B0D11"/>
    <w:rsid w:val="002B0F8C"/>
    <w:rsid w:val="002B13C8"/>
    <w:rsid w:val="002B1508"/>
    <w:rsid w:val="002B1629"/>
    <w:rsid w:val="002B1B97"/>
    <w:rsid w:val="002B1B99"/>
    <w:rsid w:val="002B201E"/>
    <w:rsid w:val="002B22CE"/>
    <w:rsid w:val="002B314C"/>
    <w:rsid w:val="002B3829"/>
    <w:rsid w:val="002B3944"/>
    <w:rsid w:val="002B398B"/>
    <w:rsid w:val="002B3EAF"/>
    <w:rsid w:val="002B48E3"/>
    <w:rsid w:val="002B55BA"/>
    <w:rsid w:val="002B5796"/>
    <w:rsid w:val="002B587A"/>
    <w:rsid w:val="002B5E34"/>
    <w:rsid w:val="002B6926"/>
    <w:rsid w:val="002B69C9"/>
    <w:rsid w:val="002B6FB1"/>
    <w:rsid w:val="002C0136"/>
    <w:rsid w:val="002C06A4"/>
    <w:rsid w:val="002C0BD5"/>
    <w:rsid w:val="002C0CE7"/>
    <w:rsid w:val="002C13AE"/>
    <w:rsid w:val="002C13C0"/>
    <w:rsid w:val="002C16EB"/>
    <w:rsid w:val="002C1AAB"/>
    <w:rsid w:val="002C1B95"/>
    <w:rsid w:val="002C1C09"/>
    <w:rsid w:val="002C1FFF"/>
    <w:rsid w:val="002C24BE"/>
    <w:rsid w:val="002C3780"/>
    <w:rsid w:val="002C3B60"/>
    <w:rsid w:val="002C3C37"/>
    <w:rsid w:val="002C3D4C"/>
    <w:rsid w:val="002C3F36"/>
    <w:rsid w:val="002C4B8F"/>
    <w:rsid w:val="002C4C79"/>
    <w:rsid w:val="002C4F56"/>
    <w:rsid w:val="002C517A"/>
    <w:rsid w:val="002C614B"/>
    <w:rsid w:val="002C725A"/>
    <w:rsid w:val="002C7309"/>
    <w:rsid w:val="002C7B66"/>
    <w:rsid w:val="002C7D82"/>
    <w:rsid w:val="002D0374"/>
    <w:rsid w:val="002D0707"/>
    <w:rsid w:val="002D0A35"/>
    <w:rsid w:val="002D1112"/>
    <w:rsid w:val="002D1AC0"/>
    <w:rsid w:val="002D1C78"/>
    <w:rsid w:val="002D20AC"/>
    <w:rsid w:val="002D2486"/>
    <w:rsid w:val="002D24FF"/>
    <w:rsid w:val="002D2690"/>
    <w:rsid w:val="002D553A"/>
    <w:rsid w:val="002D55CC"/>
    <w:rsid w:val="002D651F"/>
    <w:rsid w:val="002D6825"/>
    <w:rsid w:val="002D69D8"/>
    <w:rsid w:val="002D7534"/>
    <w:rsid w:val="002D753A"/>
    <w:rsid w:val="002D75CE"/>
    <w:rsid w:val="002D75FC"/>
    <w:rsid w:val="002D764C"/>
    <w:rsid w:val="002E02F2"/>
    <w:rsid w:val="002E0F43"/>
    <w:rsid w:val="002E11FC"/>
    <w:rsid w:val="002E1462"/>
    <w:rsid w:val="002E16C7"/>
    <w:rsid w:val="002E2478"/>
    <w:rsid w:val="002E2487"/>
    <w:rsid w:val="002E24BF"/>
    <w:rsid w:val="002E303E"/>
    <w:rsid w:val="002E326B"/>
    <w:rsid w:val="002E3905"/>
    <w:rsid w:val="002E3E05"/>
    <w:rsid w:val="002E662B"/>
    <w:rsid w:val="002E6803"/>
    <w:rsid w:val="002F034F"/>
    <w:rsid w:val="002F06F2"/>
    <w:rsid w:val="002F079D"/>
    <w:rsid w:val="002F0ECF"/>
    <w:rsid w:val="002F1039"/>
    <w:rsid w:val="002F1378"/>
    <w:rsid w:val="002F2DC1"/>
    <w:rsid w:val="002F39C9"/>
    <w:rsid w:val="002F4FC3"/>
    <w:rsid w:val="002F5E7A"/>
    <w:rsid w:val="002F5F3B"/>
    <w:rsid w:val="002F5FCA"/>
    <w:rsid w:val="002F62E4"/>
    <w:rsid w:val="002F639B"/>
    <w:rsid w:val="002F79F8"/>
    <w:rsid w:val="002F7FC3"/>
    <w:rsid w:val="00300295"/>
    <w:rsid w:val="00300541"/>
    <w:rsid w:val="003009A8"/>
    <w:rsid w:val="00301B23"/>
    <w:rsid w:val="003030A5"/>
    <w:rsid w:val="00304264"/>
    <w:rsid w:val="0030450D"/>
    <w:rsid w:val="00304C1A"/>
    <w:rsid w:val="00305893"/>
    <w:rsid w:val="00305DF4"/>
    <w:rsid w:val="00306A5B"/>
    <w:rsid w:val="00306F63"/>
    <w:rsid w:val="00307878"/>
    <w:rsid w:val="00310412"/>
    <w:rsid w:val="00310991"/>
    <w:rsid w:val="003115EB"/>
    <w:rsid w:val="00312333"/>
    <w:rsid w:val="003123F2"/>
    <w:rsid w:val="0031263C"/>
    <w:rsid w:val="003128C8"/>
    <w:rsid w:val="00313503"/>
    <w:rsid w:val="0031501E"/>
    <w:rsid w:val="00315529"/>
    <w:rsid w:val="0031558C"/>
    <w:rsid w:val="003156C3"/>
    <w:rsid w:val="00315FC0"/>
    <w:rsid w:val="0031698A"/>
    <w:rsid w:val="00316AAE"/>
    <w:rsid w:val="0031799E"/>
    <w:rsid w:val="00317B34"/>
    <w:rsid w:val="00320D6B"/>
    <w:rsid w:val="00321184"/>
    <w:rsid w:val="003214E4"/>
    <w:rsid w:val="0032169D"/>
    <w:rsid w:val="003221FB"/>
    <w:rsid w:val="0032387C"/>
    <w:rsid w:val="00323ED4"/>
    <w:rsid w:val="00325097"/>
    <w:rsid w:val="00325659"/>
    <w:rsid w:val="00325B9F"/>
    <w:rsid w:val="00325BC3"/>
    <w:rsid w:val="00326250"/>
    <w:rsid w:val="00326421"/>
    <w:rsid w:val="0032693D"/>
    <w:rsid w:val="00326954"/>
    <w:rsid w:val="00327990"/>
    <w:rsid w:val="0033277C"/>
    <w:rsid w:val="00333157"/>
    <w:rsid w:val="0033396A"/>
    <w:rsid w:val="00333EE2"/>
    <w:rsid w:val="003349B1"/>
    <w:rsid w:val="00335071"/>
    <w:rsid w:val="00335648"/>
    <w:rsid w:val="003357E8"/>
    <w:rsid w:val="00336B03"/>
    <w:rsid w:val="00336D71"/>
    <w:rsid w:val="00337CC7"/>
    <w:rsid w:val="00337D87"/>
    <w:rsid w:val="0034047E"/>
    <w:rsid w:val="003405CB"/>
    <w:rsid w:val="0034069E"/>
    <w:rsid w:val="003413B8"/>
    <w:rsid w:val="00342637"/>
    <w:rsid w:val="00342B81"/>
    <w:rsid w:val="00342BB5"/>
    <w:rsid w:val="003433EF"/>
    <w:rsid w:val="00343783"/>
    <w:rsid w:val="00343E7C"/>
    <w:rsid w:val="00344E88"/>
    <w:rsid w:val="00345053"/>
    <w:rsid w:val="0034567C"/>
    <w:rsid w:val="00347936"/>
    <w:rsid w:val="00347E63"/>
    <w:rsid w:val="003507C9"/>
    <w:rsid w:val="00351ABD"/>
    <w:rsid w:val="0035284B"/>
    <w:rsid w:val="00352FDD"/>
    <w:rsid w:val="00353560"/>
    <w:rsid w:val="00353712"/>
    <w:rsid w:val="003538F4"/>
    <w:rsid w:val="00354380"/>
    <w:rsid w:val="0035575F"/>
    <w:rsid w:val="003559C9"/>
    <w:rsid w:val="00355C6B"/>
    <w:rsid w:val="00355CA1"/>
    <w:rsid w:val="003564A8"/>
    <w:rsid w:val="0035692F"/>
    <w:rsid w:val="0035712A"/>
    <w:rsid w:val="00357C2C"/>
    <w:rsid w:val="00360A2C"/>
    <w:rsid w:val="0036109E"/>
    <w:rsid w:val="0036118C"/>
    <w:rsid w:val="003613E7"/>
    <w:rsid w:val="003618D3"/>
    <w:rsid w:val="003623D4"/>
    <w:rsid w:val="003624E4"/>
    <w:rsid w:val="00362951"/>
    <w:rsid w:val="00364BA3"/>
    <w:rsid w:val="00364D07"/>
    <w:rsid w:val="003652BA"/>
    <w:rsid w:val="0036536C"/>
    <w:rsid w:val="0036539A"/>
    <w:rsid w:val="00365DA8"/>
    <w:rsid w:val="00365ECB"/>
    <w:rsid w:val="003666CB"/>
    <w:rsid w:val="0036671F"/>
    <w:rsid w:val="003679F9"/>
    <w:rsid w:val="003705AC"/>
    <w:rsid w:val="00370D63"/>
    <w:rsid w:val="00371150"/>
    <w:rsid w:val="003713AC"/>
    <w:rsid w:val="003716C2"/>
    <w:rsid w:val="00371A46"/>
    <w:rsid w:val="00372131"/>
    <w:rsid w:val="00372367"/>
    <w:rsid w:val="003724BB"/>
    <w:rsid w:val="003726B5"/>
    <w:rsid w:val="00372EE1"/>
    <w:rsid w:val="0037368C"/>
    <w:rsid w:val="003737FF"/>
    <w:rsid w:val="00373D4A"/>
    <w:rsid w:val="00374777"/>
    <w:rsid w:val="00374BCF"/>
    <w:rsid w:val="00374D34"/>
    <w:rsid w:val="003755C2"/>
    <w:rsid w:val="00375917"/>
    <w:rsid w:val="003764BD"/>
    <w:rsid w:val="0037668C"/>
    <w:rsid w:val="00377506"/>
    <w:rsid w:val="00380034"/>
    <w:rsid w:val="00380B4A"/>
    <w:rsid w:val="00380C6E"/>
    <w:rsid w:val="00380F5F"/>
    <w:rsid w:val="00381160"/>
    <w:rsid w:val="00381F83"/>
    <w:rsid w:val="00382472"/>
    <w:rsid w:val="00382CC6"/>
    <w:rsid w:val="00382ECF"/>
    <w:rsid w:val="003831B0"/>
    <w:rsid w:val="00383686"/>
    <w:rsid w:val="00383844"/>
    <w:rsid w:val="00383DAD"/>
    <w:rsid w:val="0038450E"/>
    <w:rsid w:val="0038495F"/>
    <w:rsid w:val="00384DA8"/>
    <w:rsid w:val="00384DDA"/>
    <w:rsid w:val="003865D8"/>
    <w:rsid w:val="003903DF"/>
    <w:rsid w:val="00391300"/>
    <w:rsid w:val="00391442"/>
    <w:rsid w:val="003915AE"/>
    <w:rsid w:val="00391B15"/>
    <w:rsid w:val="00392318"/>
    <w:rsid w:val="00392773"/>
    <w:rsid w:val="00392BA7"/>
    <w:rsid w:val="00392F12"/>
    <w:rsid w:val="003930AA"/>
    <w:rsid w:val="00393950"/>
    <w:rsid w:val="00393C11"/>
    <w:rsid w:val="00393CAF"/>
    <w:rsid w:val="00394B36"/>
    <w:rsid w:val="0039514B"/>
    <w:rsid w:val="00395308"/>
    <w:rsid w:val="003955C2"/>
    <w:rsid w:val="00395AC6"/>
    <w:rsid w:val="00395C4C"/>
    <w:rsid w:val="003960A7"/>
    <w:rsid w:val="0039613A"/>
    <w:rsid w:val="00396D47"/>
    <w:rsid w:val="003972D4"/>
    <w:rsid w:val="003976CD"/>
    <w:rsid w:val="00397DFB"/>
    <w:rsid w:val="00397F6A"/>
    <w:rsid w:val="003A14D7"/>
    <w:rsid w:val="003A1866"/>
    <w:rsid w:val="003A1A47"/>
    <w:rsid w:val="003A1EBE"/>
    <w:rsid w:val="003A2409"/>
    <w:rsid w:val="003A248B"/>
    <w:rsid w:val="003A2DB4"/>
    <w:rsid w:val="003A372C"/>
    <w:rsid w:val="003A3886"/>
    <w:rsid w:val="003A3C77"/>
    <w:rsid w:val="003A461A"/>
    <w:rsid w:val="003A4D62"/>
    <w:rsid w:val="003A6579"/>
    <w:rsid w:val="003A6D27"/>
    <w:rsid w:val="003A70FE"/>
    <w:rsid w:val="003A7E0E"/>
    <w:rsid w:val="003B0486"/>
    <w:rsid w:val="003B0633"/>
    <w:rsid w:val="003B072C"/>
    <w:rsid w:val="003B0847"/>
    <w:rsid w:val="003B17A9"/>
    <w:rsid w:val="003B1DCE"/>
    <w:rsid w:val="003B1EFA"/>
    <w:rsid w:val="003B30FF"/>
    <w:rsid w:val="003B3F51"/>
    <w:rsid w:val="003B497C"/>
    <w:rsid w:val="003B49CE"/>
    <w:rsid w:val="003B51E5"/>
    <w:rsid w:val="003B5755"/>
    <w:rsid w:val="003B5F29"/>
    <w:rsid w:val="003B621E"/>
    <w:rsid w:val="003B6236"/>
    <w:rsid w:val="003B6DA1"/>
    <w:rsid w:val="003B6DA7"/>
    <w:rsid w:val="003B708B"/>
    <w:rsid w:val="003C0FB0"/>
    <w:rsid w:val="003C1000"/>
    <w:rsid w:val="003C1AC1"/>
    <w:rsid w:val="003C2985"/>
    <w:rsid w:val="003C2D4F"/>
    <w:rsid w:val="003C2E0D"/>
    <w:rsid w:val="003C4097"/>
    <w:rsid w:val="003C41D9"/>
    <w:rsid w:val="003C4265"/>
    <w:rsid w:val="003C45CC"/>
    <w:rsid w:val="003C627D"/>
    <w:rsid w:val="003C67E3"/>
    <w:rsid w:val="003C6A06"/>
    <w:rsid w:val="003D00E6"/>
    <w:rsid w:val="003D2662"/>
    <w:rsid w:val="003D2C50"/>
    <w:rsid w:val="003D38F9"/>
    <w:rsid w:val="003D3E41"/>
    <w:rsid w:val="003D3EB6"/>
    <w:rsid w:val="003D41D4"/>
    <w:rsid w:val="003D4436"/>
    <w:rsid w:val="003D48A5"/>
    <w:rsid w:val="003D4AB4"/>
    <w:rsid w:val="003D55A5"/>
    <w:rsid w:val="003D672D"/>
    <w:rsid w:val="003D6C5D"/>
    <w:rsid w:val="003D71F5"/>
    <w:rsid w:val="003D722F"/>
    <w:rsid w:val="003E05FC"/>
    <w:rsid w:val="003E08A5"/>
    <w:rsid w:val="003E0BDA"/>
    <w:rsid w:val="003E0CB4"/>
    <w:rsid w:val="003E0D3D"/>
    <w:rsid w:val="003E0ECA"/>
    <w:rsid w:val="003E1708"/>
    <w:rsid w:val="003E1AFE"/>
    <w:rsid w:val="003E237B"/>
    <w:rsid w:val="003E28E1"/>
    <w:rsid w:val="003E29D7"/>
    <w:rsid w:val="003E2FF4"/>
    <w:rsid w:val="003E2FF6"/>
    <w:rsid w:val="003E3A1A"/>
    <w:rsid w:val="003E3C0C"/>
    <w:rsid w:val="003E446C"/>
    <w:rsid w:val="003E472C"/>
    <w:rsid w:val="003E49FD"/>
    <w:rsid w:val="003E4D3F"/>
    <w:rsid w:val="003E64B5"/>
    <w:rsid w:val="003E6CC1"/>
    <w:rsid w:val="003E7A38"/>
    <w:rsid w:val="003E7BE7"/>
    <w:rsid w:val="003E7D65"/>
    <w:rsid w:val="003F0B63"/>
    <w:rsid w:val="003F0CB6"/>
    <w:rsid w:val="003F1085"/>
    <w:rsid w:val="003F111C"/>
    <w:rsid w:val="003F1630"/>
    <w:rsid w:val="003F1D32"/>
    <w:rsid w:val="003F265F"/>
    <w:rsid w:val="003F2731"/>
    <w:rsid w:val="003F3B9C"/>
    <w:rsid w:val="003F3CC1"/>
    <w:rsid w:val="003F4039"/>
    <w:rsid w:val="003F4188"/>
    <w:rsid w:val="003F4ECD"/>
    <w:rsid w:val="003F517D"/>
    <w:rsid w:val="003F55A6"/>
    <w:rsid w:val="003F5E3C"/>
    <w:rsid w:val="003F7102"/>
    <w:rsid w:val="003F7FE8"/>
    <w:rsid w:val="004004A6"/>
    <w:rsid w:val="00400A77"/>
    <w:rsid w:val="00400B92"/>
    <w:rsid w:val="00400D2D"/>
    <w:rsid w:val="00400EE8"/>
    <w:rsid w:val="004026AB"/>
    <w:rsid w:val="00402872"/>
    <w:rsid w:val="00402C3A"/>
    <w:rsid w:val="00402F9E"/>
    <w:rsid w:val="00403B88"/>
    <w:rsid w:val="004044EE"/>
    <w:rsid w:val="00404608"/>
    <w:rsid w:val="004046B5"/>
    <w:rsid w:val="00404F01"/>
    <w:rsid w:val="004053BB"/>
    <w:rsid w:val="0040699A"/>
    <w:rsid w:val="00406B1B"/>
    <w:rsid w:val="00406FAB"/>
    <w:rsid w:val="004077DC"/>
    <w:rsid w:val="0041006F"/>
    <w:rsid w:val="00410232"/>
    <w:rsid w:val="004119B3"/>
    <w:rsid w:val="00411C7D"/>
    <w:rsid w:val="00412507"/>
    <w:rsid w:val="004128FD"/>
    <w:rsid w:val="00412947"/>
    <w:rsid w:val="00412DE3"/>
    <w:rsid w:val="0041323E"/>
    <w:rsid w:val="004135D8"/>
    <w:rsid w:val="0041386B"/>
    <w:rsid w:val="0041481C"/>
    <w:rsid w:val="004149C6"/>
    <w:rsid w:val="00414BE0"/>
    <w:rsid w:val="0041559E"/>
    <w:rsid w:val="004166CC"/>
    <w:rsid w:val="00417088"/>
    <w:rsid w:val="00417C85"/>
    <w:rsid w:val="00417FE3"/>
    <w:rsid w:val="004208C3"/>
    <w:rsid w:val="00421428"/>
    <w:rsid w:val="00421AB8"/>
    <w:rsid w:val="00422625"/>
    <w:rsid w:val="00423340"/>
    <w:rsid w:val="004233FB"/>
    <w:rsid w:val="00423902"/>
    <w:rsid w:val="00423AD0"/>
    <w:rsid w:val="004244D3"/>
    <w:rsid w:val="00425E93"/>
    <w:rsid w:val="0042645F"/>
    <w:rsid w:val="004269E0"/>
    <w:rsid w:val="00427613"/>
    <w:rsid w:val="00427F2F"/>
    <w:rsid w:val="004308EE"/>
    <w:rsid w:val="00430C1E"/>
    <w:rsid w:val="004310FC"/>
    <w:rsid w:val="004312D9"/>
    <w:rsid w:val="00431448"/>
    <w:rsid w:val="00431523"/>
    <w:rsid w:val="00431DFD"/>
    <w:rsid w:val="00431F24"/>
    <w:rsid w:val="0043223A"/>
    <w:rsid w:val="00432F89"/>
    <w:rsid w:val="004338F2"/>
    <w:rsid w:val="00433DDA"/>
    <w:rsid w:val="0043482D"/>
    <w:rsid w:val="00434F89"/>
    <w:rsid w:val="004356DA"/>
    <w:rsid w:val="00436346"/>
    <w:rsid w:val="00436DE9"/>
    <w:rsid w:val="00436F35"/>
    <w:rsid w:val="00440138"/>
    <w:rsid w:val="0044034C"/>
    <w:rsid w:val="00440491"/>
    <w:rsid w:val="00440728"/>
    <w:rsid w:val="00440BCD"/>
    <w:rsid w:val="004411DD"/>
    <w:rsid w:val="00441981"/>
    <w:rsid w:val="00441AFF"/>
    <w:rsid w:val="0044203F"/>
    <w:rsid w:val="004427CB"/>
    <w:rsid w:val="00442AED"/>
    <w:rsid w:val="00442E9C"/>
    <w:rsid w:val="0044306F"/>
    <w:rsid w:val="00443A0A"/>
    <w:rsid w:val="00443BE5"/>
    <w:rsid w:val="00445E47"/>
    <w:rsid w:val="00446B67"/>
    <w:rsid w:val="0044750B"/>
    <w:rsid w:val="00447CF1"/>
    <w:rsid w:val="004505A7"/>
    <w:rsid w:val="00451A89"/>
    <w:rsid w:val="00452476"/>
    <w:rsid w:val="00452791"/>
    <w:rsid w:val="00452A59"/>
    <w:rsid w:val="00452B6C"/>
    <w:rsid w:val="0045321D"/>
    <w:rsid w:val="00453547"/>
    <w:rsid w:val="00453AA7"/>
    <w:rsid w:val="00453D75"/>
    <w:rsid w:val="00454267"/>
    <w:rsid w:val="0045445D"/>
    <w:rsid w:val="00454924"/>
    <w:rsid w:val="004551B1"/>
    <w:rsid w:val="0045555D"/>
    <w:rsid w:val="004559E1"/>
    <w:rsid w:val="0045623C"/>
    <w:rsid w:val="004567D8"/>
    <w:rsid w:val="00456C05"/>
    <w:rsid w:val="004579DA"/>
    <w:rsid w:val="004616CB"/>
    <w:rsid w:val="00461CE9"/>
    <w:rsid w:val="004620A9"/>
    <w:rsid w:val="00462664"/>
    <w:rsid w:val="0046314F"/>
    <w:rsid w:val="004631F8"/>
    <w:rsid w:val="00464374"/>
    <w:rsid w:val="004646F6"/>
    <w:rsid w:val="00465098"/>
    <w:rsid w:val="00465659"/>
    <w:rsid w:val="004659AC"/>
    <w:rsid w:val="00465D40"/>
    <w:rsid w:val="00465F44"/>
    <w:rsid w:val="004663AB"/>
    <w:rsid w:val="00466415"/>
    <w:rsid w:val="00467298"/>
    <w:rsid w:val="004714E6"/>
    <w:rsid w:val="00471BBB"/>
    <w:rsid w:val="00471F2D"/>
    <w:rsid w:val="0047209D"/>
    <w:rsid w:val="004729F0"/>
    <w:rsid w:val="004738AA"/>
    <w:rsid w:val="00473BF4"/>
    <w:rsid w:val="00473CE9"/>
    <w:rsid w:val="00473F76"/>
    <w:rsid w:val="004742EC"/>
    <w:rsid w:val="0047445B"/>
    <w:rsid w:val="0047461F"/>
    <w:rsid w:val="00476F59"/>
    <w:rsid w:val="004775E2"/>
    <w:rsid w:val="00477E15"/>
    <w:rsid w:val="00477FEF"/>
    <w:rsid w:val="00480889"/>
    <w:rsid w:val="00480D5C"/>
    <w:rsid w:val="0048103A"/>
    <w:rsid w:val="00481061"/>
    <w:rsid w:val="00481ADE"/>
    <w:rsid w:val="00481D1B"/>
    <w:rsid w:val="00481F5A"/>
    <w:rsid w:val="004824B4"/>
    <w:rsid w:val="004824DB"/>
    <w:rsid w:val="00482C1E"/>
    <w:rsid w:val="00483AD0"/>
    <w:rsid w:val="0048436E"/>
    <w:rsid w:val="00484625"/>
    <w:rsid w:val="00484901"/>
    <w:rsid w:val="00484A2A"/>
    <w:rsid w:val="00484B41"/>
    <w:rsid w:val="00485005"/>
    <w:rsid w:val="004850AE"/>
    <w:rsid w:val="00485CDE"/>
    <w:rsid w:val="00485F6D"/>
    <w:rsid w:val="004860E2"/>
    <w:rsid w:val="004862E2"/>
    <w:rsid w:val="00486310"/>
    <w:rsid w:val="00487DE1"/>
    <w:rsid w:val="0049023C"/>
    <w:rsid w:val="00490696"/>
    <w:rsid w:val="00490F67"/>
    <w:rsid w:val="004915F9"/>
    <w:rsid w:val="00491972"/>
    <w:rsid w:val="00492377"/>
    <w:rsid w:val="004926C7"/>
    <w:rsid w:val="00492BA8"/>
    <w:rsid w:val="00493906"/>
    <w:rsid w:val="00493A22"/>
    <w:rsid w:val="00493F12"/>
    <w:rsid w:val="00494699"/>
    <w:rsid w:val="0049485B"/>
    <w:rsid w:val="00494930"/>
    <w:rsid w:val="00495445"/>
    <w:rsid w:val="00495A32"/>
    <w:rsid w:val="004962AA"/>
    <w:rsid w:val="004967BC"/>
    <w:rsid w:val="004970EE"/>
    <w:rsid w:val="00497240"/>
    <w:rsid w:val="004973F5"/>
    <w:rsid w:val="004979E6"/>
    <w:rsid w:val="00497F6A"/>
    <w:rsid w:val="004A0F75"/>
    <w:rsid w:val="004A1380"/>
    <w:rsid w:val="004A17D0"/>
    <w:rsid w:val="004A191D"/>
    <w:rsid w:val="004A227B"/>
    <w:rsid w:val="004A23A1"/>
    <w:rsid w:val="004A267E"/>
    <w:rsid w:val="004A2BA1"/>
    <w:rsid w:val="004A333F"/>
    <w:rsid w:val="004A39B2"/>
    <w:rsid w:val="004A3FF0"/>
    <w:rsid w:val="004A4237"/>
    <w:rsid w:val="004A4238"/>
    <w:rsid w:val="004A4B61"/>
    <w:rsid w:val="004A4D81"/>
    <w:rsid w:val="004A5444"/>
    <w:rsid w:val="004A69D2"/>
    <w:rsid w:val="004A753E"/>
    <w:rsid w:val="004B0694"/>
    <w:rsid w:val="004B07CC"/>
    <w:rsid w:val="004B08E7"/>
    <w:rsid w:val="004B0A40"/>
    <w:rsid w:val="004B0FA7"/>
    <w:rsid w:val="004B154F"/>
    <w:rsid w:val="004B15A3"/>
    <w:rsid w:val="004B267D"/>
    <w:rsid w:val="004B2987"/>
    <w:rsid w:val="004B3909"/>
    <w:rsid w:val="004B499E"/>
    <w:rsid w:val="004B4AD1"/>
    <w:rsid w:val="004B4B70"/>
    <w:rsid w:val="004B4D4E"/>
    <w:rsid w:val="004B6399"/>
    <w:rsid w:val="004B646A"/>
    <w:rsid w:val="004B664B"/>
    <w:rsid w:val="004B6651"/>
    <w:rsid w:val="004B6D58"/>
    <w:rsid w:val="004B74CF"/>
    <w:rsid w:val="004B7C43"/>
    <w:rsid w:val="004C0050"/>
    <w:rsid w:val="004C04F8"/>
    <w:rsid w:val="004C15E6"/>
    <w:rsid w:val="004C165B"/>
    <w:rsid w:val="004C2149"/>
    <w:rsid w:val="004C349B"/>
    <w:rsid w:val="004C3DE9"/>
    <w:rsid w:val="004C4195"/>
    <w:rsid w:val="004C522F"/>
    <w:rsid w:val="004C5AE1"/>
    <w:rsid w:val="004C5AF1"/>
    <w:rsid w:val="004C73A1"/>
    <w:rsid w:val="004C7C5A"/>
    <w:rsid w:val="004C7DA2"/>
    <w:rsid w:val="004C7FC0"/>
    <w:rsid w:val="004C7FD2"/>
    <w:rsid w:val="004D031C"/>
    <w:rsid w:val="004D098E"/>
    <w:rsid w:val="004D1CF3"/>
    <w:rsid w:val="004D20DB"/>
    <w:rsid w:val="004D2FE9"/>
    <w:rsid w:val="004D32AF"/>
    <w:rsid w:val="004D3A97"/>
    <w:rsid w:val="004D3C7A"/>
    <w:rsid w:val="004D4291"/>
    <w:rsid w:val="004D43AE"/>
    <w:rsid w:val="004D4C05"/>
    <w:rsid w:val="004D5D03"/>
    <w:rsid w:val="004D6025"/>
    <w:rsid w:val="004D66F2"/>
    <w:rsid w:val="004D6890"/>
    <w:rsid w:val="004D68C6"/>
    <w:rsid w:val="004D7152"/>
    <w:rsid w:val="004E0106"/>
    <w:rsid w:val="004E0367"/>
    <w:rsid w:val="004E05AF"/>
    <w:rsid w:val="004E06CC"/>
    <w:rsid w:val="004E16F3"/>
    <w:rsid w:val="004E175E"/>
    <w:rsid w:val="004E2B2A"/>
    <w:rsid w:val="004E3496"/>
    <w:rsid w:val="004E3512"/>
    <w:rsid w:val="004E4247"/>
    <w:rsid w:val="004E4313"/>
    <w:rsid w:val="004E44B4"/>
    <w:rsid w:val="004E45A8"/>
    <w:rsid w:val="004E4795"/>
    <w:rsid w:val="004E4ED5"/>
    <w:rsid w:val="004E5D70"/>
    <w:rsid w:val="004E6DA4"/>
    <w:rsid w:val="004E792A"/>
    <w:rsid w:val="004E7A69"/>
    <w:rsid w:val="004E7B19"/>
    <w:rsid w:val="004E7F75"/>
    <w:rsid w:val="004F161A"/>
    <w:rsid w:val="004F1877"/>
    <w:rsid w:val="004F18E0"/>
    <w:rsid w:val="004F235B"/>
    <w:rsid w:val="004F3190"/>
    <w:rsid w:val="004F32BC"/>
    <w:rsid w:val="004F3BA7"/>
    <w:rsid w:val="004F48D6"/>
    <w:rsid w:val="004F4F6C"/>
    <w:rsid w:val="004F5215"/>
    <w:rsid w:val="004F5288"/>
    <w:rsid w:val="004F52BA"/>
    <w:rsid w:val="004F5B2D"/>
    <w:rsid w:val="004F5BA5"/>
    <w:rsid w:val="004F5EA4"/>
    <w:rsid w:val="004F6284"/>
    <w:rsid w:val="004F676A"/>
    <w:rsid w:val="004F6C69"/>
    <w:rsid w:val="004F74F8"/>
    <w:rsid w:val="004F7C74"/>
    <w:rsid w:val="004F7E67"/>
    <w:rsid w:val="005010B1"/>
    <w:rsid w:val="005010BE"/>
    <w:rsid w:val="0050123F"/>
    <w:rsid w:val="005015FC"/>
    <w:rsid w:val="00501D25"/>
    <w:rsid w:val="00501F2D"/>
    <w:rsid w:val="005033A6"/>
    <w:rsid w:val="005036E8"/>
    <w:rsid w:val="00505607"/>
    <w:rsid w:val="00505DFF"/>
    <w:rsid w:val="00505F3E"/>
    <w:rsid w:val="00507017"/>
    <w:rsid w:val="00507FCC"/>
    <w:rsid w:val="005118B5"/>
    <w:rsid w:val="00511B4F"/>
    <w:rsid w:val="00511E21"/>
    <w:rsid w:val="00511E3F"/>
    <w:rsid w:val="00511F64"/>
    <w:rsid w:val="00512104"/>
    <w:rsid w:val="005128B2"/>
    <w:rsid w:val="00512BD9"/>
    <w:rsid w:val="00512F52"/>
    <w:rsid w:val="00512F95"/>
    <w:rsid w:val="005140C6"/>
    <w:rsid w:val="0051447B"/>
    <w:rsid w:val="005144BF"/>
    <w:rsid w:val="00514739"/>
    <w:rsid w:val="0051566F"/>
    <w:rsid w:val="00515F81"/>
    <w:rsid w:val="00516C09"/>
    <w:rsid w:val="00516D5F"/>
    <w:rsid w:val="00517B2B"/>
    <w:rsid w:val="00520882"/>
    <w:rsid w:val="00520BFA"/>
    <w:rsid w:val="005211CC"/>
    <w:rsid w:val="00521677"/>
    <w:rsid w:val="00521A8E"/>
    <w:rsid w:val="005220D1"/>
    <w:rsid w:val="005226AA"/>
    <w:rsid w:val="00523206"/>
    <w:rsid w:val="005236A0"/>
    <w:rsid w:val="00523C7D"/>
    <w:rsid w:val="00523C84"/>
    <w:rsid w:val="00524072"/>
    <w:rsid w:val="005250CA"/>
    <w:rsid w:val="0052518F"/>
    <w:rsid w:val="00525AC7"/>
    <w:rsid w:val="00526568"/>
    <w:rsid w:val="00526E6C"/>
    <w:rsid w:val="00527261"/>
    <w:rsid w:val="00527ACB"/>
    <w:rsid w:val="00527E17"/>
    <w:rsid w:val="00527E4E"/>
    <w:rsid w:val="005303C9"/>
    <w:rsid w:val="00530BB1"/>
    <w:rsid w:val="00531418"/>
    <w:rsid w:val="00532200"/>
    <w:rsid w:val="00532A79"/>
    <w:rsid w:val="0053318C"/>
    <w:rsid w:val="00533535"/>
    <w:rsid w:val="00534A8C"/>
    <w:rsid w:val="00534D75"/>
    <w:rsid w:val="00534ED4"/>
    <w:rsid w:val="0053564B"/>
    <w:rsid w:val="005374B9"/>
    <w:rsid w:val="00537F9F"/>
    <w:rsid w:val="005408AB"/>
    <w:rsid w:val="00540A65"/>
    <w:rsid w:val="00540E48"/>
    <w:rsid w:val="00540E4D"/>
    <w:rsid w:val="00541147"/>
    <w:rsid w:val="00541B62"/>
    <w:rsid w:val="00541DEB"/>
    <w:rsid w:val="005423FD"/>
    <w:rsid w:val="0054312B"/>
    <w:rsid w:val="00543242"/>
    <w:rsid w:val="00544023"/>
    <w:rsid w:val="00544778"/>
    <w:rsid w:val="005449F1"/>
    <w:rsid w:val="00544D98"/>
    <w:rsid w:val="00545EBA"/>
    <w:rsid w:val="0054664C"/>
    <w:rsid w:val="00550ABE"/>
    <w:rsid w:val="00550B38"/>
    <w:rsid w:val="0055128E"/>
    <w:rsid w:val="0055178A"/>
    <w:rsid w:val="00552196"/>
    <w:rsid w:val="005530E8"/>
    <w:rsid w:val="005533AE"/>
    <w:rsid w:val="00553532"/>
    <w:rsid w:val="005551B8"/>
    <w:rsid w:val="00555B26"/>
    <w:rsid w:val="00555B69"/>
    <w:rsid w:val="00556337"/>
    <w:rsid w:val="0055674B"/>
    <w:rsid w:val="005569B7"/>
    <w:rsid w:val="005569FE"/>
    <w:rsid w:val="00560F07"/>
    <w:rsid w:val="00561456"/>
    <w:rsid w:val="005614E7"/>
    <w:rsid w:val="00561A08"/>
    <w:rsid w:val="00561AAF"/>
    <w:rsid w:val="005622D8"/>
    <w:rsid w:val="00562622"/>
    <w:rsid w:val="00562F64"/>
    <w:rsid w:val="00563931"/>
    <w:rsid w:val="005650D1"/>
    <w:rsid w:val="00565C27"/>
    <w:rsid w:val="005661EA"/>
    <w:rsid w:val="0056637F"/>
    <w:rsid w:val="00566E96"/>
    <w:rsid w:val="005671A8"/>
    <w:rsid w:val="00567489"/>
    <w:rsid w:val="0056758C"/>
    <w:rsid w:val="00567D55"/>
    <w:rsid w:val="00567F35"/>
    <w:rsid w:val="005716F4"/>
    <w:rsid w:val="00571E8C"/>
    <w:rsid w:val="0057257D"/>
    <w:rsid w:val="00572B7D"/>
    <w:rsid w:val="00573474"/>
    <w:rsid w:val="005738A1"/>
    <w:rsid w:val="00573DE6"/>
    <w:rsid w:val="00573FAD"/>
    <w:rsid w:val="00573FB6"/>
    <w:rsid w:val="00574A98"/>
    <w:rsid w:val="00575381"/>
    <w:rsid w:val="00575858"/>
    <w:rsid w:val="00577544"/>
    <w:rsid w:val="00580A15"/>
    <w:rsid w:val="005812B3"/>
    <w:rsid w:val="0058135D"/>
    <w:rsid w:val="005827CB"/>
    <w:rsid w:val="00582908"/>
    <w:rsid w:val="00582D5B"/>
    <w:rsid w:val="0058343C"/>
    <w:rsid w:val="005836E1"/>
    <w:rsid w:val="00583717"/>
    <w:rsid w:val="00583BF2"/>
    <w:rsid w:val="005841D1"/>
    <w:rsid w:val="0058467D"/>
    <w:rsid w:val="00584B30"/>
    <w:rsid w:val="00584CA3"/>
    <w:rsid w:val="00584F10"/>
    <w:rsid w:val="00585E78"/>
    <w:rsid w:val="005860D4"/>
    <w:rsid w:val="0058644E"/>
    <w:rsid w:val="0058735C"/>
    <w:rsid w:val="0058759F"/>
    <w:rsid w:val="005875E4"/>
    <w:rsid w:val="00587600"/>
    <w:rsid w:val="005901BA"/>
    <w:rsid w:val="0059029E"/>
    <w:rsid w:val="0059039A"/>
    <w:rsid w:val="005908CC"/>
    <w:rsid w:val="00590950"/>
    <w:rsid w:val="00590D62"/>
    <w:rsid w:val="005912F3"/>
    <w:rsid w:val="00591402"/>
    <w:rsid w:val="005914F6"/>
    <w:rsid w:val="00591A14"/>
    <w:rsid w:val="00591A64"/>
    <w:rsid w:val="00591C7A"/>
    <w:rsid w:val="005921E3"/>
    <w:rsid w:val="005922BE"/>
    <w:rsid w:val="00592667"/>
    <w:rsid w:val="00592A2F"/>
    <w:rsid w:val="005940DB"/>
    <w:rsid w:val="00595083"/>
    <w:rsid w:val="0059508B"/>
    <w:rsid w:val="00595433"/>
    <w:rsid w:val="005954D2"/>
    <w:rsid w:val="00595606"/>
    <w:rsid w:val="00595636"/>
    <w:rsid w:val="00596B86"/>
    <w:rsid w:val="0059721F"/>
    <w:rsid w:val="005A01CF"/>
    <w:rsid w:val="005A01EB"/>
    <w:rsid w:val="005A05A3"/>
    <w:rsid w:val="005A09E6"/>
    <w:rsid w:val="005A0AA0"/>
    <w:rsid w:val="005A113D"/>
    <w:rsid w:val="005A17D7"/>
    <w:rsid w:val="005A1C80"/>
    <w:rsid w:val="005A1CAE"/>
    <w:rsid w:val="005A1DDB"/>
    <w:rsid w:val="005A1E3B"/>
    <w:rsid w:val="005A1F07"/>
    <w:rsid w:val="005A35C6"/>
    <w:rsid w:val="005A363F"/>
    <w:rsid w:val="005A37AF"/>
    <w:rsid w:val="005A3AD4"/>
    <w:rsid w:val="005A3CE2"/>
    <w:rsid w:val="005A3ED9"/>
    <w:rsid w:val="005A3F88"/>
    <w:rsid w:val="005A47DA"/>
    <w:rsid w:val="005A5569"/>
    <w:rsid w:val="005A5C64"/>
    <w:rsid w:val="005A5EAF"/>
    <w:rsid w:val="005A6EB7"/>
    <w:rsid w:val="005A7AD5"/>
    <w:rsid w:val="005A7D64"/>
    <w:rsid w:val="005B0276"/>
    <w:rsid w:val="005B05F5"/>
    <w:rsid w:val="005B069B"/>
    <w:rsid w:val="005B0A42"/>
    <w:rsid w:val="005B14CF"/>
    <w:rsid w:val="005B1649"/>
    <w:rsid w:val="005B1A62"/>
    <w:rsid w:val="005B347F"/>
    <w:rsid w:val="005B3895"/>
    <w:rsid w:val="005B39CD"/>
    <w:rsid w:val="005B499D"/>
    <w:rsid w:val="005B4B48"/>
    <w:rsid w:val="005B4D07"/>
    <w:rsid w:val="005B5685"/>
    <w:rsid w:val="005B5B3F"/>
    <w:rsid w:val="005B6509"/>
    <w:rsid w:val="005B6629"/>
    <w:rsid w:val="005B7782"/>
    <w:rsid w:val="005B7FF7"/>
    <w:rsid w:val="005C0762"/>
    <w:rsid w:val="005C0820"/>
    <w:rsid w:val="005C12F9"/>
    <w:rsid w:val="005C1786"/>
    <w:rsid w:val="005C182F"/>
    <w:rsid w:val="005C18F2"/>
    <w:rsid w:val="005C2887"/>
    <w:rsid w:val="005C3171"/>
    <w:rsid w:val="005C481C"/>
    <w:rsid w:val="005C4D3F"/>
    <w:rsid w:val="005C4E35"/>
    <w:rsid w:val="005C5744"/>
    <w:rsid w:val="005C5837"/>
    <w:rsid w:val="005C5867"/>
    <w:rsid w:val="005C5CC2"/>
    <w:rsid w:val="005C65E1"/>
    <w:rsid w:val="005C6DFF"/>
    <w:rsid w:val="005D03C0"/>
    <w:rsid w:val="005D0602"/>
    <w:rsid w:val="005D08EA"/>
    <w:rsid w:val="005D0B31"/>
    <w:rsid w:val="005D131D"/>
    <w:rsid w:val="005D21E1"/>
    <w:rsid w:val="005D2C4A"/>
    <w:rsid w:val="005D4A8E"/>
    <w:rsid w:val="005D66CA"/>
    <w:rsid w:val="005D66FA"/>
    <w:rsid w:val="005D7395"/>
    <w:rsid w:val="005D76E2"/>
    <w:rsid w:val="005D780C"/>
    <w:rsid w:val="005D796F"/>
    <w:rsid w:val="005E0499"/>
    <w:rsid w:val="005E14C5"/>
    <w:rsid w:val="005E3C68"/>
    <w:rsid w:val="005E3E2D"/>
    <w:rsid w:val="005E4054"/>
    <w:rsid w:val="005E5A2D"/>
    <w:rsid w:val="005E5D4A"/>
    <w:rsid w:val="005E5F0F"/>
    <w:rsid w:val="005E6898"/>
    <w:rsid w:val="005E70A5"/>
    <w:rsid w:val="005E7B28"/>
    <w:rsid w:val="005E7BB9"/>
    <w:rsid w:val="005F0862"/>
    <w:rsid w:val="005F0CF5"/>
    <w:rsid w:val="005F0DAA"/>
    <w:rsid w:val="005F13D4"/>
    <w:rsid w:val="005F1946"/>
    <w:rsid w:val="005F1CD6"/>
    <w:rsid w:val="005F1CED"/>
    <w:rsid w:val="005F2766"/>
    <w:rsid w:val="005F2985"/>
    <w:rsid w:val="005F2A5C"/>
    <w:rsid w:val="005F2F70"/>
    <w:rsid w:val="005F3063"/>
    <w:rsid w:val="005F3B7C"/>
    <w:rsid w:val="005F3C60"/>
    <w:rsid w:val="005F454A"/>
    <w:rsid w:val="005F4BE4"/>
    <w:rsid w:val="005F5056"/>
    <w:rsid w:val="005F711E"/>
    <w:rsid w:val="005F7F2F"/>
    <w:rsid w:val="0060190A"/>
    <w:rsid w:val="006022C2"/>
    <w:rsid w:val="00602E5F"/>
    <w:rsid w:val="006030C9"/>
    <w:rsid w:val="006032EC"/>
    <w:rsid w:val="006035BA"/>
    <w:rsid w:val="00603AE5"/>
    <w:rsid w:val="00604A2D"/>
    <w:rsid w:val="00604AE9"/>
    <w:rsid w:val="00604B7A"/>
    <w:rsid w:val="00606871"/>
    <w:rsid w:val="00606BC1"/>
    <w:rsid w:val="00607320"/>
    <w:rsid w:val="006074E9"/>
    <w:rsid w:val="006076F8"/>
    <w:rsid w:val="00607E0E"/>
    <w:rsid w:val="00610291"/>
    <w:rsid w:val="00610AF0"/>
    <w:rsid w:val="00611C27"/>
    <w:rsid w:val="0061296A"/>
    <w:rsid w:val="00612A85"/>
    <w:rsid w:val="00612BF4"/>
    <w:rsid w:val="00612E25"/>
    <w:rsid w:val="00613295"/>
    <w:rsid w:val="006132C5"/>
    <w:rsid w:val="006135F8"/>
    <w:rsid w:val="00613D8A"/>
    <w:rsid w:val="006148E5"/>
    <w:rsid w:val="006148FF"/>
    <w:rsid w:val="00614BED"/>
    <w:rsid w:val="006151AD"/>
    <w:rsid w:val="006155B6"/>
    <w:rsid w:val="006162A9"/>
    <w:rsid w:val="006162B4"/>
    <w:rsid w:val="006167E4"/>
    <w:rsid w:val="00616958"/>
    <w:rsid w:val="00616BF9"/>
    <w:rsid w:val="006172F8"/>
    <w:rsid w:val="006175F1"/>
    <w:rsid w:val="006177B1"/>
    <w:rsid w:val="00617DD0"/>
    <w:rsid w:val="006211A5"/>
    <w:rsid w:val="00621546"/>
    <w:rsid w:val="00621F09"/>
    <w:rsid w:val="00622F43"/>
    <w:rsid w:val="0062307C"/>
    <w:rsid w:val="0062330D"/>
    <w:rsid w:val="00623564"/>
    <w:rsid w:val="00623FB2"/>
    <w:rsid w:val="006245DC"/>
    <w:rsid w:val="00624D8E"/>
    <w:rsid w:val="00624DEE"/>
    <w:rsid w:val="00624DF6"/>
    <w:rsid w:val="00625068"/>
    <w:rsid w:val="00625742"/>
    <w:rsid w:val="006258BD"/>
    <w:rsid w:val="006262B1"/>
    <w:rsid w:val="006275E5"/>
    <w:rsid w:val="006300CB"/>
    <w:rsid w:val="006308A4"/>
    <w:rsid w:val="0063092F"/>
    <w:rsid w:val="00630C71"/>
    <w:rsid w:val="006314B9"/>
    <w:rsid w:val="0063152A"/>
    <w:rsid w:val="006320C1"/>
    <w:rsid w:val="00632F4A"/>
    <w:rsid w:val="006334E7"/>
    <w:rsid w:val="00633BA7"/>
    <w:rsid w:val="00633BB5"/>
    <w:rsid w:val="00633DDB"/>
    <w:rsid w:val="00633F0A"/>
    <w:rsid w:val="00634CBD"/>
    <w:rsid w:val="0063519D"/>
    <w:rsid w:val="00635DE4"/>
    <w:rsid w:val="00635E29"/>
    <w:rsid w:val="006360ED"/>
    <w:rsid w:val="006361F3"/>
    <w:rsid w:val="00636387"/>
    <w:rsid w:val="0063653F"/>
    <w:rsid w:val="006366BB"/>
    <w:rsid w:val="00636797"/>
    <w:rsid w:val="00636E0C"/>
    <w:rsid w:val="006372F2"/>
    <w:rsid w:val="0063736F"/>
    <w:rsid w:val="00637BF4"/>
    <w:rsid w:val="00641169"/>
    <w:rsid w:val="00641679"/>
    <w:rsid w:val="00641874"/>
    <w:rsid w:val="00641B12"/>
    <w:rsid w:val="006436A8"/>
    <w:rsid w:val="00643813"/>
    <w:rsid w:val="00643D1A"/>
    <w:rsid w:val="00643EAD"/>
    <w:rsid w:val="00643F35"/>
    <w:rsid w:val="00644126"/>
    <w:rsid w:val="00644532"/>
    <w:rsid w:val="00644790"/>
    <w:rsid w:val="00644EAC"/>
    <w:rsid w:val="00645F01"/>
    <w:rsid w:val="00646029"/>
    <w:rsid w:val="00646CF9"/>
    <w:rsid w:val="0064762C"/>
    <w:rsid w:val="00647DD9"/>
    <w:rsid w:val="00647F84"/>
    <w:rsid w:val="00650576"/>
    <w:rsid w:val="00650A87"/>
    <w:rsid w:val="00651F8C"/>
    <w:rsid w:val="00652A71"/>
    <w:rsid w:val="00652A90"/>
    <w:rsid w:val="0065344B"/>
    <w:rsid w:val="00653BCE"/>
    <w:rsid w:val="00653DE7"/>
    <w:rsid w:val="00653F87"/>
    <w:rsid w:val="0065421E"/>
    <w:rsid w:val="00654A54"/>
    <w:rsid w:val="00654BB5"/>
    <w:rsid w:val="00654FC0"/>
    <w:rsid w:val="00655168"/>
    <w:rsid w:val="00655717"/>
    <w:rsid w:val="00655C86"/>
    <w:rsid w:val="00655D06"/>
    <w:rsid w:val="006563BA"/>
    <w:rsid w:val="0065645C"/>
    <w:rsid w:val="00656AEC"/>
    <w:rsid w:val="00656AF1"/>
    <w:rsid w:val="006578E2"/>
    <w:rsid w:val="0066045B"/>
    <w:rsid w:val="006604A4"/>
    <w:rsid w:val="00660DC1"/>
    <w:rsid w:val="00660E89"/>
    <w:rsid w:val="006615AB"/>
    <w:rsid w:val="00661886"/>
    <w:rsid w:val="00661A4F"/>
    <w:rsid w:val="006627CF"/>
    <w:rsid w:val="00663760"/>
    <w:rsid w:val="00663B02"/>
    <w:rsid w:val="00665870"/>
    <w:rsid w:val="006659FE"/>
    <w:rsid w:val="006662B9"/>
    <w:rsid w:val="00667316"/>
    <w:rsid w:val="00667B4D"/>
    <w:rsid w:val="00667F1E"/>
    <w:rsid w:val="0067116F"/>
    <w:rsid w:val="00671747"/>
    <w:rsid w:val="00672FAE"/>
    <w:rsid w:val="00673C79"/>
    <w:rsid w:val="0067416C"/>
    <w:rsid w:val="00674932"/>
    <w:rsid w:val="00674AED"/>
    <w:rsid w:val="00674F68"/>
    <w:rsid w:val="00675E4F"/>
    <w:rsid w:val="00676D61"/>
    <w:rsid w:val="006775A3"/>
    <w:rsid w:val="006775F4"/>
    <w:rsid w:val="00680129"/>
    <w:rsid w:val="00680B14"/>
    <w:rsid w:val="00680FCA"/>
    <w:rsid w:val="00681302"/>
    <w:rsid w:val="0068131C"/>
    <w:rsid w:val="00681383"/>
    <w:rsid w:val="00681F8E"/>
    <w:rsid w:val="006842F9"/>
    <w:rsid w:val="0068483E"/>
    <w:rsid w:val="0068484B"/>
    <w:rsid w:val="0068487E"/>
    <w:rsid w:val="0068489F"/>
    <w:rsid w:val="00684DE1"/>
    <w:rsid w:val="00684F34"/>
    <w:rsid w:val="00685718"/>
    <w:rsid w:val="006858D2"/>
    <w:rsid w:val="00685A31"/>
    <w:rsid w:val="00686628"/>
    <w:rsid w:val="00687793"/>
    <w:rsid w:val="006877F3"/>
    <w:rsid w:val="0068797D"/>
    <w:rsid w:val="00687C76"/>
    <w:rsid w:val="006905D3"/>
    <w:rsid w:val="0069091C"/>
    <w:rsid w:val="00690975"/>
    <w:rsid w:val="00691432"/>
    <w:rsid w:val="00691554"/>
    <w:rsid w:val="00691781"/>
    <w:rsid w:val="00691CF5"/>
    <w:rsid w:val="0069212F"/>
    <w:rsid w:val="00692130"/>
    <w:rsid w:val="00692F53"/>
    <w:rsid w:val="00693195"/>
    <w:rsid w:val="00693227"/>
    <w:rsid w:val="006934EA"/>
    <w:rsid w:val="00693690"/>
    <w:rsid w:val="00693A78"/>
    <w:rsid w:val="00695ABB"/>
    <w:rsid w:val="006964A4"/>
    <w:rsid w:val="00696539"/>
    <w:rsid w:val="00696C84"/>
    <w:rsid w:val="00697238"/>
    <w:rsid w:val="006976F8"/>
    <w:rsid w:val="006A0340"/>
    <w:rsid w:val="006A054E"/>
    <w:rsid w:val="006A09D7"/>
    <w:rsid w:val="006A284F"/>
    <w:rsid w:val="006A29C6"/>
    <w:rsid w:val="006A2F7B"/>
    <w:rsid w:val="006A3249"/>
    <w:rsid w:val="006A3DF4"/>
    <w:rsid w:val="006A3F7A"/>
    <w:rsid w:val="006A42EF"/>
    <w:rsid w:val="006A4890"/>
    <w:rsid w:val="006A4C07"/>
    <w:rsid w:val="006A4F8A"/>
    <w:rsid w:val="006A5CED"/>
    <w:rsid w:val="006A71F5"/>
    <w:rsid w:val="006A7BF8"/>
    <w:rsid w:val="006B05C3"/>
    <w:rsid w:val="006B0829"/>
    <w:rsid w:val="006B10E2"/>
    <w:rsid w:val="006B11CA"/>
    <w:rsid w:val="006B12DD"/>
    <w:rsid w:val="006B1603"/>
    <w:rsid w:val="006B16DE"/>
    <w:rsid w:val="006B190B"/>
    <w:rsid w:val="006B27D8"/>
    <w:rsid w:val="006B2C57"/>
    <w:rsid w:val="006B3533"/>
    <w:rsid w:val="006B4072"/>
    <w:rsid w:val="006B4D0A"/>
    <w:rsid w:val="006B56D7"/>
    <w:rsid w:val="006B5F11"/>
    <w:rsid w:val="006B6224"/>
    <w:rsid w:val="006B75BE"/>
    <w:rsid w:val="006B778B"/>
    <w:rsid w:val="006B7A73"/>
    <w:rsid w:val="006B7B90"/>
    <w:rsid w:val="006C04C8"/>
    <w:rsid w:val="006C067A"/>
    <w:rsid w:val="006C138D"/>
    <w:rsid w:val="006C25B5"/>
    <w:rsid w:val="006C26BA"/>
    <w:rsid w:val="006C288A"/>
    <w:rsid w:val="006C2AF9"/>
    <w:rsid w:val="006C3107"/>
    <w:rsid w:val="006C3A18"/>
    <w:rsid w:val="006C3C10"/>
    <w:rsid w:val="006C3E37"/>
    <w:rsid w:val="006C4614"/>
    <w:rsid w:val="006C4768"/>
    <w:rsid w:val="006C47AC"/>
    <w:rsid w:val="006C4913"/>
    <w:rsid w:val="006C4A4F"/>
    <w:rsid w:val="006C4C5E"/>
    <w:rsid w:val="006C4F36"/>
    <w:rsid w:val="006C68A1"/>
    <w:rsid w:val="006C68AB"/>
    <w:rsid w:val="006C6C01"/>
    <w:rsid w:val="006D0150"/>
    <w:rsid w:val="006D01F1"/>
    <w:rsid w:val="006D0BCB"/>
    <w:rsid w:val="006D1553"/>
    <w:rsid w:val="006D192F"/>
    <w:rsid w:val="006D2424"/>
    <w:rsid w:val="006D3368"/>
    <w:rsid w:val="006D3398"/>
    <w:rsid w:val="006D34F4"/>
    <w:rsid w:val="006D3EE3"/>
    <w:rsid w:val="006D4CEB"/>
    <w:rsid w:val="006D4E61"/>
    <w:rsid w:val="006D5137"/>
    <w:rsid w:val="006D559D"/>
    <w:rsid w:val="006D5A71"/>
    <w:rsid w:val="006D5F80"/>
    <w:rsid w:val="006D632A"/>
    <w:rsid w:val="006D70C7"/>
    <w:rsid w:val="006D72A7"/>
    <w:rsid w:val="006D7DF6"/>
    <w:rsid w:val="006E06D1"/>
    <w:rsid w:val="006E087E"/>
    <w:rsid w:val="006E08E5"/>
    <w:rsid w:val="006E0AC0"/>
    <w:rsid w:val="006E1F83"/>
    <w:rsid w:val="006E24E7"/>
    <w:rsid w:val="006E3125"/>
    <w:rsid w:val="006E37B3"/>
    <w:rsid w:val="006E45A6"/>
    <w:rsid w:val="006E75B6"/>
    <w:rsid w:val="006F0AA2"/>
    <w:rsid w:val="006F0B0F"/>
    <w:rsid w:val="006F1159"/>
    <w:rsid w:val="006F146C"/>
    <w:rsid w:val="006F17A1"/>
    <w:rsid w:val="006F189B"/>
    <w:rsid w:val="006F189C"/>
    <w:rsid w:val="006F1A78"/>
    <w:rsid w:val="006F31D6"/>
    <w:rsid w:val="006F3892"/>
    <w:rsid w:val="006F3FE0"/>
    <w:rsid w:val="006F4BF0"/>
    <w:rsid w:val="006F59DA"/>
    <w:rsid w:val="006F5B02"/>
    <w:rsid w:val="006F6329"/>
    <w:rsid w:val="006F6A21"/>
    <w:rsid w:val="006F73FA"/>
    <w:rsid w:val="006F760E"/>
    <w:rsid w:val="007000F6"/>
    <w:rsid w:val="0070027B"/>
    <w:rsid w:val="00701186"/>
    <w:rsid w:val="0070125B"/>
    <w:rsid w:val="00701261"/>
    <w:rsid w:val="007013D0"/>
    <w:rsid w:val="00701D8D"/>
    <w:rsid w:val="00702D4A"/>
    <w:rsid w:val="00702E78"/>
    <w:rsid w:val="00703310"/>
    <w:rsid w:val="007035DC"/>
    <w:rsid w:val="007039B2"/>
    <w:rsid w:val="007045DD"/>
    <w:rsid w:val="00705234"/>
    <w:rsid w:val="0070583E"/>
    <w:rsid w:val="00705B60"/>
    <w:rsid w:val="007068CC"/>
    <w:rsid w:val="00706C2B"/>
    <w:rsid w:val="007071E0"/>
    <w:rsid w:val="007074DC"/>
    <w:rsid w:val="007074E7"/>
    <w:rsid w:val="00707B48"/>
    <w:rsid w:val="00707D2D"/>
    <w:rsid w:val="0071070F"/>
    <w:rsid w:val="00710F38"/>
    <w:rsid w:val="00711427"/>
    <w:rsid w:val="007114A1"/>
    <w:rsid w:val="00711636"/>
    <w:rsid w:val="00712615"/>
    <w:rsid w:val="00712F85"/>
    <w:rsid w:val="00713373"/>
    <w:rsid w:val="007157C5"/>
    <w:rsid w:val="00716567"/>
    <w:rsid w:val="00716613"/>
    <w:rsid w:val="00716847"/>
    <w:rsid w:val="0071748E"/>
    <w:rsid w:val="00717B21"/>
    <w:rsid w:val="00717EB3"/>
    <w:rsid w:val="007206C1"/>
    <w:rsid w:val="00720719"/>
    <w:rsid w:val="0072198F"/>
    <w:rsid w:val="00721B86"/>
    <w:rsid w:val="00723211"/>
    <w:rsid w:val="007233D1"/>
    <w:rsid w:val="007236F4"/>
    <w:rsid w:val="0072472D"/>
    <w:rsid w:val="00724DB4"/>
    <w:rsid w:val="00724EB0"/>
    <w:rsid w:val="00724FA4"/>
    <w:rsid w:val="00725753"/>
    <w:rsid w:val="00725DCA"/>
    <w:rsid w:val="0073005E"/>
    <w:rsid w:val="00730117"/>
    <w:rsid w:val="00730156"/>
    <w:rsid w:val="0073036C"/>
    <w:rsid w:val="007309C7"/>
    <w:rsid w:val="00730A8C"/>
    <w:rsid w:val="00731026"/>
    <w:rsid w:val="00731144"/>
    <w:rsid w:val="00731410"/>
    <w:rsid w:val="0073148E"/>
    <w:rsid w:val="00731A2D"/>
    <w:rsid w:val="0073288C"/>
    <w:rsid w:val="007333B5"/>
    <w:rsid w:val="00733505"/>
    <w:rsid w:val="0073398E"/>
    <w:rsid w:val="007339FC"/>
    <w:rsid w:val="00733BD8"/>
    <w:rsid w:val="00733C50"/>
    <w:rsid w:val="00734103"/>
    <w:rsid w:val="0073411A"/>
    <w:rsid w:val="00734D8C"/>
    <w:rsid w:val="00734ED4"/>
    <w:rsid w:val="00734F76"/>
    <w:rsid w:val="00735343"/>
    <w:rsid w:val="007363DB"/>
    <w:rsid w:val="007365E0"/>
    <w:rsid w:val="007366B5"/>
    <w:rsid w:val="007367EA"/>
    <w:rsid w:val="00736B4A"/>
    <w:rsid w:val="00736EE4"/>
    <w:rsid w:val="0073714A"/>
    <w:rsid w:val="007379CF"/>
    <w:rsid w:val="00740130"/>
    <w:rsid w:val="007408BC"/>
    <w:rsid w:val="00740996"/>
    <w:rsid w:val="00741B7E"/>
    <w:rsid w:val="00741F11"/>
    <w:rsid w:val="00742C5F"/>
    <w:rsid w:val="0074378A"/>
    <w:rsid w:val="00743D2F"/>
    <w:rsid w:val="00744020"/>
    <w:rsid w:val="00744662"/>
    <w:rsid w:val="00744AF1"/>
    <w:rsid w:val="007453D3"/>
    <w:rsid w:val="00746486"/>
    <w:rsid w:val="00746934"/>
    <w:rsid w:val="00747074"/>
    <w:rsid w:val="00747148"/>
    <w:rsid w:val="00747816"/>
    <w:rsid w:val="007513AF"/>
    <w:rsid w:val="00751508"/>
    <w:rsid w:val="00751604"/>
    <w:rsid w:val="00751CD9"/>
    <w:rsid w:val="007526F6"/>
    <w:rsid w:val="00752991"/>
    <w:rsid w:val="00752D53"/>
    <w:rsid w:val="00753B29"/>
    <w:rsid w:val="00753C03"/>
    <w:rsid w:val="00754F52"/>
    <w:rsid w:val="00755199"/>
    <w:rsid w:val="00755AE7"/>
    <w:rsid w:val="00755D01"/>
    <w:rsid w:val="00757157"/>
    <w:rsid w:val="007601E6"/>
    <w:rsid w:val="00760969"/>
    <w:rsid w:val="00760993"/>
    <w:rsid w:val="00760BC3"/>
    <w:rsid w:val="0076238C"/>
    <w:rsid w:val="00762F8D"/>
    <w:rsid w:val="00763474"/>
    <w:rsid w:val="00763546"/>
    <w:rsid w:val="007638BF"/>
    <w:rsid w:val="00763B15"/>
    <w:rsid w:val="00763C9D"/>
    <w:rsid w:val="00764177"/>
    <w:rsid w:val="007650BA"/>
    <w:rsid w:val="007652FC"/>
    <w:rsid w:val="00765431"/>
    <w:rsid w:val="00765F81"/>
    <w:rsid w:val="00766088"/>
    <w:rsid w:val="00766464"/>
    <w:rsid w:val="0076649E"/>
    <w:rsid w:val="007669F1"/>
    <w:rsid w:val="00766C32"/>
    <w:rsid w:val="00766EC9"/>
    <w:rsid w:val="00766FB9"/>
    <w:rsid w:val="00767404"/>
    <w:rsid w:val="00767646"/>
    <w:rsid w:val="00767785"/>
    <w:rsid w:val="00770559"/>
    <w:rsid w:val="00773204"/>
    <w:rsid w:val="00773478"/>
    <w:rsid w:val="00775B20"/>
    <w:rsid w:val="00775D3E"/>
    <w:rsid w:val="00776452"/>
    <w:rsid w:val="00776A4C"/>
    <w:rsid w:val="00776C03"/>
    <w:rsid w:val="00776FAF"/>
    <w:rsid w:val="00777337"/>
    <w:rsid w:val="00777577"/>
    <w:rsid w:val="007775B4"/>
    <w:rsid w:val="00777738"/>
    <w:rsid w:val="00777EF6"/>
    <w:rsid w:val="00780765"/>
    <w:rsid w:val="00780DD8"/>
    <w:rsid w:val="00781014"/>
    <w:rsid w:val="00781111"/>
    <w:rsid w:val="007819C8"/>
    <w:rsid w:val="00782AB0"/>
    <w:rsid w:val="007830C8"/>
    <w:rsid w:val="00783343"/>
    <w:rsid w:val="00784A28"/>
    <w:rsid w:val="00784EA1"/>
    <w:rsid w:val="00785758"/>
    <w:rsid w:val="007858DD"/>
    <w:rsid w:val="00785B5C"/>
    <w:rsid w:val="007864B1"/>
    <w:rsid w:val="00786B34"/>
    <w:rsid w:val="007909AE"/>
    <w:rsid w:val="00790B43"/>
    <w:rsid w:val="00790BCD"/>
    <w:rsid w:val="00791AE1"/>
    <w:rsid w:val="00791B67"/>
    <w:rsid w:val="00791D7D"/>
    <w:rsid w:val="00792B5E"/>
    <w:rsid w:val="00792E49"/>
    <w:rsid w:val="00793180"/>
    <w:rsid w:val="007938F5"/>
    <w:rsid w:val="00793B99"/>
    <w:rsid w:val="00793F2C"/>
    <w:rsid w:val="007947A0"/>
    <w:rsid w:val="00795486"/>
    <w:rsid w:val="00795722"/>
    <w:rsid w:val="0079590B"/>
    <w:rsid w:val="00795E37"/>
    <w:rsid w:val="0079649C"/>
    <w:rsid w:val="00797486"/>
    <w:rsid w:val="007975DB"/>
    <w:rsid w:val="00797AD8"/>
    <w:rsid w:val="007A02E9"/>
    <w:rsid w:val="007A087A"/>
    <w:rsid w:val="007A1819"/>
    <w:rsid w:val="007A1B95"/>
    <w:rsid w:val="007A1EE3"/>
    <w:rsid w:val="007A1F8C"/>
    <w:rsid w:val="007A2975"/>
    <w:rsid w:val="007A3633"/>
    <w:rsid w:val="007A3D78"/>
    <w:rsid w:val="007A4A09"/>
    <w:rsid w:val="007A53BB"/>
    <w:rsid w:val="007A53D7"/>
    <w:rsid w:val="007A5A0E"/>
    <w:rsid w:val="007A5D51"/>
    <w:rsid w:val="007A5FF8"/>
    <w:rsid w:val="007A6B24"/>
    <w:rsid w:val="007A6F69"/>
    <w:rsid w:val="007A74D8"/>
    <w:rsid w:val="007A7F63"/>
    <w:rsid w:val="007B03D5"/>
    <w:rsid w:val="007B0500"/>
    <w:rsid w:val="007B06EE"/>
    <w:rsid w:val="007B086C"/>
    <w:rsid w:val="007B08BB"/>
    <w:rsid w:val="007B09FD"/>
    <w:rsid w:val="007B0D6F"/>
    <w:rsid w:val="007B0DC4"/>
    <w:rsid w:val="007B0E3D"/>
    <w:rsid w:val="007B18CD"/>
    <w:rsid w:val="007B214C"/>
    <w:rsid w:val="007B2A47"/>
    <w:rsid w:val="007B4117"/>
    <w:rsid w:val="007B45BF"/>
    <w:rsid w:val="007B48FF"/>
    <w:rsid w:val="007B55B1"/>
    <w:rsid w:val="007B5959"/>
    <w:rsid w:val="007C02E6"/>
    <w:rsid w:val="007C0361"/>
    <w:rsid w:val="007C0545"/>
    <w:rsid w:val="007C058A"/>
    <w:rsid w:val="007C0A96"/>
    <w:rsid w:val="007C0E8D"/>
    <w:rsid w:val="007C1A3D"/>
    <w:rsid w:val="007C390C"/>
    <w:rsid w:val="007C3B21"/>
    <w:rsid w:val="007C5005"/>
    <w:rsid w:val="007C5ED7"/>
    <w:rsid w:val="007C61A7"/>
    <w:rsid w:val="007C6E0D"/>
    <w:rsid w:val="007C7953"/>
    <w:rsid w:val="007C7C41"/>
    <w:rsid w:val="007C7EDD"/>
    <w:rsid w:val="007D0093"/>
    <w:rsid w:val="007D071E"/>
    <w:rsid w:val="007D14E2"/>
    <w:rsid w:val="007D1827"/>
    <w:rsid w:val="007D1C5A"/>
    <w:rsid w:val="007D1FE1"/>
    <w:rsid w:val="007D2652"/>
    <w:rsid w:val="007D2FF6"/>
    <w:rsid w:val="007D323B"/>
    <w:rsid w:val="007D38E5"/>
    <w:rsid w:val="007D4248"/>
    <w:rsid w:val="007D4C2F"/>
    <w:rsid w:val="007D4FC3"/>
    <w:rsid w:val="007D6A66"/>
    <w:rsid w:val="007D7447"/>
    <w:rsid w:val="007D7452"/>
    <w:rsid w:val="007E088C"/>
    <w:rsid w:val="007E0AEF"/>
    <w:rsid w:val="007E0D23"/>
    <w:rsid w:val="007E1242"/>
    <w:rsid w:val="007E1F18"/>
    <w:rsid w:val="007E236A"/>
    <w:rsid w:val="007E2AF9"/>
    <w:rsid w:val="007E2C17"/>
    <w:rsid w:val="007E4732"/>
    <w:rsid w:val="007E5BCE"/>
    <w:rsid w:val="007E6D36"/>
    <w:rsid w:val="007E7506"/>
    <w:rsid w:val="007F0B55"/>
    <w:rsid w:val="007F0BF0"/>
    <w:rsid w:val="007F1795"/>
    <w:rsid w:val="007F17EA"/>
    <w:rsid w:val="007F31BF"/>
    <w:rsid w:val="007F3701"/>
    <w:rsid w:val="007F3962"/>
    <w:rsid w:val="007F4949"/>
    <w:rsid w:val="007F4E59"/>
    <w:rsid w:val="007F50D5"/>
    <w:rsid w:val="007F571C"/>
    <w:rsid w:val="007F5BB3"/>
    <w:rsid w:val="007F61B3"/>
    <w:rsid w:val="007F63E3"/>
    <w:rsid w:val="007F6AC1"/>
    <w:rsid w:val="007F7494"/>
    <w:rsid w:val="007F77CF"/>
    <w:rsid w:val="007F7E7E"/>
    <w:rsid w:val="00800083"/>
    <w:rsid w:val="00800694"/>
    <w:rsid w:val="008007A3"/>
    <w:rsid w:val="008007CA"/>
    <w:rsid w:val="0080093D"/>
    <w:rsid w:val="00800D90"/>
    <w:rsid w:val="0080142A"/>
    <w:rsid w:val="0080147A"/>
    <w:rsid w:val="00801F2F"/>
    <w:rsid w:val="00802C83"/>
    <w:rsid w:val="008051CA"/>
    <w:rsid w:val="00805638"/>
    <w:rsid w:val="008056E1"/>
    <w:rsid w:val="00805DC9"/>
    <w:rsid w:val="0080608E"/>
    <w:rsid w:val="008061C2"/>
    <w:rsid w:val="00806572"/>
    <w:rsid w:val="00807255"/>
    <w:rsid w:val="008074A8"/>
    <w:rsid w:val="00807AA1"/>
    <w:rsid w:val="00807E38"/>
    <w:rsid w:val="0081158E"/>
    <w:rsid w:val="008116CE"/>
    <w:rsid w:val="0081201D"/>
    <w:rsid w:val="008126CC"/>
    <w:rsid w:val="00813D16"/>
    <w:rsid w:val="00813FA3"/>
    <w:rsid w:val="0081526D"/>
    <w:rsid w:val="0081605E"/>
    <w:rsid w:val="00816331"/>
    <w:rsid w:val="00816751"/>
    <w:rsid w:val="008167A7"/>
    <w:rsid w:val="008167D3"/>
    <w:rsid w:val="00816A7A"/>
    <w:rsid w:val="00816C83"/>
    <w:rsid w:val="0081765A"/>
    <w:rsid w:val="0082121A"/>
    <w:rsid w:val="0082152C"/>
    <w:rsid w:val="00821D33"/>
    <w:rsid w:val="00821E33"/>
    <w:rsid w:val="0082231F"/>
    <w:rsid w:val="00822E43"/>
    <w:rsid w:val="008231EA"/>
    <w:rsid w:val="008236BD"/>
    <w:rsid w:val="008238F0"/>
    <w:rsid w:val="00824B77"/>
    <w:rsid w:val="00824FBA"/>
    <w:rsid w:val="008254B8"/>
    <w:rsid w:val="0082578F"/>
    <w:rsid w:val="008260E5"/>
    <w:rsid w:val="00826281"/>
    <w:rsid w:val="00826B39"/>
    <w:rsid w:val="00826E0D"/>
    <w:rsid w:val="00827503"/>
    <w:rsid w:val="0082776F"/>
    <w:rsid w:val="008279F2"/>
    <w:rsid w:val="00827E24"/>
    <w:rsid w:val="008309B0"/>
    <w:rsid w:val="00831185"/>
    <w:rsid w:val="00832588"/>
    <w:rsid w:val="00832CE9"/>
    <w:rsid w:val="00832FC7"/>
    <w:rsid w:val="008340D4"/>
    <w:rsid w:val="00836008"/>
    <w:rsid w:val="008361B3"/>
    <w:rsid w:val="008378E3"/>
    <w:rsid w:val="008379A8"/>
    <w:rsid w:val="008400EF"/>
    <w:rsid w:val="00840180"/>
    <w:rsid w:val="00840A06"/>
    <w:rsid w:val="00840B69"/>
    <w:rsid w:val="00840EC6"/>
    <w:rsid w:val="00841442"/>
    <w:rsid w:val="008417CD"/>
    <w:rsid w:val="00841CE8"/>
    <w:rsid w:val="0084211B"/>
    <w:rsid w:val="0084380D"/>
    <w:rsid w:val="00844724"/>
    <w:rsid w:val="00844BDA"/>
    <w:rsid w:val="00844DED"/>
    <w:rsid w:val="00845541"/>
    <w:rsid w:val="0084563E"/>
    <w:rsid w:val="008459F7"/>
    <w:rsid w:val="00845B57"/>
    <w:rsid w:val="00845C86"/>
    <w:rsid w:val="0084651E"/>
    <w:rsid w:val="00846A68"/>
    <w:rsid w:val="00846FF7"/>
    <w:rsid w:val="008510AE"/>
    <w:rsid w:val="0085152A"/>
    <w:rsid w:val="00852CDA"/>
    <w:rsid w:val="00852D31"/>
    <w:rsid w:val="008532AC"/>
    <w:rsid w:val="00853F39"/>
    <w:rsid w:val="0085429D"/>
    <w:rsid w:val="00854573"/>
    <w:rsid w:val="008549B4"/>
    <w:rsid w:val="00854E75"/>
    <w:rsid w:val="00854E8C"/>
    <w:rsid w:val="00855808"/>
    <w:rsid w:val="00855F9E"/>
    <w:rsid w:val="008563F4"/>
    <w:rsid w:val="008566A3"/>
    <w:rsid w:val="008575ED"/>
    <w:rsid w:val="008579CC"/>
    <w:rsid w:val="00857A47"/>
    <w:rsid w:val="00857E8E"/>
    <w:rsid w:val="008602B4"/>
    <w:rsid w:val="00861655"/>
    <w:rsid w:val="008616C2"/>
    <w:rsid w:val="00861822"/>
    <w:rsid w:val="008618FB"/>
    <w:rsid w:val="00861CAF"/>
    <w:rsid w:val="008623BB"/>
    <w:rsid w:val="0086304C"/>
    <w:rsid w:val="008633A8"/>
    <w:rsid w:val="00863691"/>
    <w:rsid w:val="00863B78"/>
    <w:rsid w:val="00863DCB"/>
    <w:rsid w:val="00864F36"/>
    <w:rsid w:val="0086510F"/>
    <w:rsid w:val="008672A2"/>
    <w:rsid w:val="008702B4"/>
    <w:rsid w:val="0087054F"/>
    <w:rsid w:val="00870655"/>
    <w:rsid w:val="00870A03"/>
    <w:rsid w:val="0087126F"/>
    <w:rsid w:val="00871613"/>
    <w:rsid w:val="00871A0B"/>
    <w:rsid w:val="00872027"/>
    <w:rsid w:val="00872E21"/>
    <w:rsid w:val="00872F75"/>
    <w:rsid w:val="0087325C"/>
    <w:rsid w:val="00873290"/>
    <w:rsid w:val="008739CD"/>
    <w:rsid w:val="00873DD4"/>
    <w:rsid w:val="00873EF7"/>
    <w:rsid w:val="00873F1E"/>
    <w:rsid w:val="00874E85"/>
    <w:rsid w:val="00875161"/>
    <w:rsid w:val="008756DE"/>
    <w:rsid w:val="00875F0B"/>
    <w:rsid w:val="00877551"/>
    <w:rsid w:val="0087769F"/>
    <w:rsid w:val="008800FF"/>
    <w:rsid w:val="00880242"/>
    <w:rsid w:val="008805F7"/>
    <w:rsid w:val="00881F6E"/>
    <w:rsid w:val="008838EB"/>
    <w:rsid w:val="00883C0A"/>
    <w:rsid w:val="00885295"/>
    <w:rsid w:val="0088565B"/>
    <w:rsid w:val="00885684"/>
    <w:rsid w:val="00886151"/>
    <w:rsid w:val="00886A03"/>
    <w:rsid w:val="00886B5E"/>
    <w:rsid w:val="00886DD5"/>
    <w:rsid w:val="0088782F"/>
    <w:rsid w:val="00887AC2"/>
    <w:rsid w:val="00890B00"/>
    <w:rsid w:val="00890C53"/>
    <w:rsid w:val="00890F76"/>
    <w:rsid w:val="008914AF"/>
    <w:rsid w:val="008917D7"/>
    <w:rsid w:val="0089209A"/>
    <w:rsid w:val="008920D7"/>
    <w:rsid w:val="008924E5"/>
    <w:rsid w:val="0089293A"/>
    <w:rsid w:val="00892C4D"/>
    <w:rsid w:val="00892E37"/>
    <w:rsid w:val="00892F05"/>
    <w:rsid w:val="00893177"/>
    <w:rsid w:val="008946EA"/>
    <w:rsid w:val="00896111"/>
    <w:rsid w:val="0089658C"/>
    <w:rsid w:val="0089706C"/>
    <w:rsid w:val="0089744B"/>
    <w:rsid w:val="0089791A"/>
    <w:rsid w:val="008A05BC"/>
    <w:rsid w:val="008A0A44"/>
    <w:rsid w:val="008A0C0B"/>
    <w:rsid w:val="008A0CC6"/>
    <w:rsid w:val="008A0CFD"/>
    <w:rsid w:val="008A0DCB"/>
    <w:rsid w:val="008A0E5A"/>
    <w:rsid w:val="008A13BE"/>
    <w:rsid w:val="008A142B"/>
    <w:rsid w:val="008A1432"/>
    <w:rsid w:val="008A1620"/>
    <w:rsid w:val="008A29F6"/>
    <w:rsid w:val="008A2E08"/>
    <w:rsid w:val="008A360B"/>
    <w:rsid w:val="008A3E14"/>
    <w:rsid w:val="008A4250"/>
    <w:rsid w:val="008A48D2"/>
    <w:rsid w:val="008A4BA2"/>
    <w:rsid w:val="008A559C"/>
    <w:rsid w:val="008A5F0E"/>
    <w:rsid w:val="008A6031"/>
    <w:rsid w:val="008A6C1E"/>
    <w:rsid w:val="008A7500"/>
    <w:rsid w:val="008B00D5"/>
    <w:rsid w:val="008B0AA8"/>
    <w:rsid w:val="008B18D3"/>
    <w:rsid w:val="008B1B88"/>
    <w:rsid w:val="008B1DD7"/>
    <w:rsid w:val="008B28B9"/>
    <w:rsid w:val="008B29A2"/>
    <w:rsid w:val="008B3455"/>
    <w:rsid w:val="008B4575"/>
    <w:rsid w:val="008B472C"/>
    <w:rsid w:val="008B4893"/>
    <w:rsid w:val="008B548C"/>
    <w:rsid w:val="008B5D7F"/>
    <w:rsid w:val="008B5FC6"/>
    <w:rsid w:val="008B6D87"/>
    <w:rsid w:val="008B73B8"/>
    <w:rsid w:val="008B7478"/>
    <w:rsid w:val="008B7578"/>
    <w:rsid w:val="008B7C2C"/>
    <w:rsid w:val="008C0FDB"/>
    <w:rsid w:val="008C13DF"/>
    <w:rsid w:val="008C1592"/>
    <w:rsid w:val="008C1618"/>
    <w:rsid w:val="008C185A"/>
    <w:rsid w:val="008C1C76"/>
    <w:rsid w:val="008C2725"/>
    <w:rsid w:val="008C289D"/>
    <w:rsid w:val="008C311D"/>
    <w:rsid w:val="008C3DDE"/>
    <w:rsid w:val="008C5131"/>
    <w:rsid w:val="008C59C0"/>
    <w:rsid w:val="008C5F2F"/>
    <w:rsid w:val="008C5FAD"/>
    <w:rsid w:val="008C67CB"/>
    <w:rsid w:val="008C6B8C"/>
    <w:rsid w:val="008C6E0E"/>
    <w:rsid w:val="008C6E77"/>
    <w:rsid w:val="008C74F6"/>
    <w:rsid w:val="008C7564"/>
    <w:rsid w:val="008C7AD2"/>
    <w:rsid w:val="008C7E49"/>
    <w:rsid w:val="008C7FE9"/>
    <w:rsid w:val="008D0CCD"/>
    <w:rsid w:val="008D10CC"/>
    <w:rsid w:val="008D1476"/>
    <w:rsid w:val="008D1BD2"/>
    <w:rsid w:val="008D3510"/>
    <w:rsid w:val="008D3801"/>
    <w:rsid w:val="008D3C72"/>
    <w:rsid w:val="008D3E20"/>
    <w:rsid w:val="008D4447"/>
    <w:rsid w:val="008D4B43"/>
    <w:rsid w:val="008D4B63"/>
    <w:rsid w:val="008D51E4"/>
    <w:rsid w:val="008D5673"/>
    <w:rsid w:val="008D6BA1"/>
    <w:rsid w:val="008D6CD8"/>
    <w:rsid w:val="008D7813"/>
    <w:rsid w:val="008E005E"/>
    <w:rsid w:val="008E083A"/>
    <w:rsid w:val="008E08FA"/>
    <w:rsid w:val="008E151F"/>
    <w:rsid w:val="008E1AF5"/>
    <w:rsid w:val="008E31BD"/>
    <w:rsid w:val="008E366B"/>
    <w:rsid w:val="008E3D22"/>
    <w:rsid w:val="008E401C"/>
    <w:rsid w:val="008E51F9"/>
    <w:rsid w:val="008E55AD"/>
    <w:rsid w:val="008E5C2A"/>
    <w:rsid w:val="008E5D07"/>
    <w:rsid w:val="008E5EED"/>
    <w:rsid w:val="008E6022"/>
    <w:rsid w:val="008E69A2"/>
    <w:rsid w:val="008E6B3D"/>
    <w:rsid w:val="008E6FB2"/>
    <w:rsid w:val="008E70DC"/>
    <w:rsid w:val="008E7384"/>
    <w:rsid w:val="008E739E"/>
    <w:rsid w:val="008E74FA"/>
    <w:rsid w:val="008E7D62"/>
    <w:rsid w:val="008F061A"/>
    <w:rsid w:val="008F08A9"/>
    <w:rsid w:val="008F0CC4"/>
    <w:rsid w:val="008F1AD7"/>
    <w:rsid w:val="008F2A3C"/>
    <w:rsid w:val="008F2B14"/>
    <w:rsid w:val="008F2EB8"/>
    <w:rsid w:val="008F2F12"/>
    <w:rsid w:val="008F3254"/>
    <w:rsid w:val="008F37C5"/>
    <w:rsid w:val="008F4224"/>
    <w:rsid w:val="008F4B78"/>
    <w:rsid w:val="008F4B8D"/>
    <w:rsid w:val="008F4C77"/>
    <w:rsid w:val="008F4CE5"/>
    <w:rsid w:val="008F4F65"/>
    <w:rsid w:val="008F506C"/>
    <w:rsid w:val="008F5E71"/>
    <w:rsid w:val="008F5FBD"/>
    <w:rsid w:val="008F63AE"/>
    <w:rsid w:val="008F68E6"/>
    <w:rsid w:val="008F7062"/>
    <w:rsid w:val="008F730A"/>
    <w:rsid w:val="008F74E3"/>
    <w:rsid w:val="008F755F"/>
    <w:rsid w:val="008F7990"/>
    <w:rsid w:val="008F7A40"/>
    <w:rsid w:val="00900150"/>
    <w:rsid w:val="009002EA"/>
    <w:rsid w:val="0090164E"/>
    <w:rsid w:val="00902A32"/>
    <w:rsid w:val="00902C78"/>
    <w:rsid w:val="00903D04"/>
    <w:rsid w:val="00903F93"/>
    <w:rsid w:val="00904189"/>
    <w:rsid w:val="0090565D"/>
    <w:rsid w:val="00905A55"/>
    <w:rsid w:val="00905F42"/>
    <w:rsid w:val="00907898"/>
    <w:rsid w:val="00907C2C"/>
    <w:rsid w:val="00907FCF"/>
    <w:rsid w:val="009117D5"/>
    <w:rsid w:val="00913386"/>
    <w:rsid w:val="00913A7E"/>
    <w:rsid w:val="00914163"/>
    <w:rsid w:val="0091426F"/>
    <w:rsid w:val="00914384"/>
    <w:rsid w:val="0091477F"/>
    <w:rsid w:val="009152B9"/>
    <w:rsid w:val="00915708"/>
    <w:rsid w:val="00915C32"/>
    <w:rsid w:val="00916020"/>
    <w:rsid w:val="0091795D"/>
    <w:rsid w:val="00917C36"/>
    <w:rsid w:val="0092085D"/>
    <w:rsid w:val="00920FB5"/>
    <w:rsid w:val="00921984"/>
    <w:rsid w:val="00921B2A"/>
    <w:rsid w:val="00921ED0"/>
    <w:rsid w:val="00922407"/>
    <w:rsid w:val="009227E1"/>
    <w:rsid w:val="00922C2B"/>
    <w:rsid w:val="00922D28"/>
    <w:rsid w:val="00922E83"/>
    <w:rsid w:val="00923223"/>
    <w:rsid w:val="00923DE0"/>
    <w:rsid w:val="009242FC"/>
    <w:rsid w:val="009246FB"/>
    <w:rsid w:val="00926223"/>
    <w:rsid w:val="009262DE"/>
    <w:rsid w:val="00926F59"/>
    <w:rsid w:val="00927E16"/>
    <w:rsid w:val="00930F34"/>
    <w:rsid w:val="00930F52"/>
    <w:rsid w:val="00931D35"/>
    <w:rsid w:val="009321F7"/>
    <w:rsid w:val="00932F2E"/>
    <w:rsid w:val="00933C30"/>
    <w:rsid w:val="00933E1D"/>
    <w:rsid w:val="00934F20"/>
    <w:rsid w:val="0093524A"/>
    <w:rsid w:val="00935EA4"/>
    <w:rsid w:val="009361FF"/>
    <w:rsid w:val="0093645D"/>
    <w:rsid w:val="00937B86"/>
    <w:rsid w:val="00940B65"/>
    <w:rsid w:val="00941073"/>
    <w:rsid w:val="00941DB1"/>
    <w:rsid w:val="009426CE"/>
    <w:rsid w:val="00943280"/>
    <w:rsid w:val="00943404"/>
    <w:rsid w:val="009439A1"/>
    <w:rsid w:val="00943B4D"/>
    <w:rsid w:val="00944007"/>
    <w:rsid w:val="00945182"/>
    <w:rsid w:val="0094562A"/>
    <w:rsid w:val="00946899"/>
    <w:rsid w:val="00947941"/>
    <w:rsid w:val="00947D61"/>
    <w:rsid w:val="0095006D"/>
    <w:rsid w:val="009502EA"/>
    <w:rsid w:val="009514F1"/>
    <w:rsid w:val="009520EE"/>
    <w:rsid w:val="00953009"/>
    <w:rsid w:val="00954018"/>
    <w:rsid w:val="009540AE"/>
    <w:rsid w:val="00954F0A"/>
    <w:rsid w:val="00954F7A"/>
    <w:rsid w:val="009551E0"/>
    <w:rsid w:val="00955288"/>
    <w:rsid w:val="009553D3"/>
    <w:rsid w:val="0095562D"/>
    <w:rsid w:val="0095586C"/>
    <w:rsid w:val="00955A73"/>
    <w:rsid w:val="00955CC9"/>
    <w:rsid w:val="0095605C"/>
    <w:rsid w:val="0095642A"/>
    <w:rsid w:val="009567ED"/>
    <w:rsid w:val="00960186"/>
    <w:rsid w:val="009604FB"/>
    <w:rsid w:val="0096188E"/>
    <w:rsid w:val="00961E7E"/>
    <w:rsid w:val="00961ECC"/>
    <w:rsid w:val="00962171"/>
    <w:rsid w:val="0096222F"/>
    <w:rsid w:val="00962813"/>
    <w:rsid w:val="00963CCA"/>
    <w:rsid w:val="00963E2A"/>
    <w:rsid w:val="0096498F"/>
    <w:rsid w:val="00964A05"/>
    <w:rsid w:val="00964A53"/>
    <w:rsid w:val="00965544"/>
    <w:rsid w:val="009658CC"/>
    <w:rsid w:val="009661E9"/>
    <w:rsid w:val="009663AF"/>
    <w:rsid w:val="00966708"/>
    <w:rsid w:val="00966B8C"/>
    <w:rsid w:val="00966C58"/>
    <w:rsid w:val="00966CA4"/>
    <w:rsid w:val="0096754A"/>
    <w:rsid w:val="00967705"/>
    <w:rsid w:val="00967E58"/>
    <w:rsid w:val="00970BD4"/>
    <w:rsid w:val="00970E93"/>
    <w:rsid w:val="00971599"/>
    <w:rsid w:val="0097288F"/>
    <w:rsid w:val="00972EFE"/>
    <w:rsid w:val="009732F3"/>
    <w:rsid w:val="0097395B"/>
    <w:rsid w:val="00973D30"/>
    <w:rsid w:val="0097423B"/>
    <w:rsid w:val="00974A44"/>
    <w:rsid w:val="00974AFC"/>
    <w:rsid w:val="00974C1A"/>
    <w:rsid w:val="0097509B"/>
    <w:rsid w:val="00975252"/>
    <w:rsid w:val="00976855"/>
    <w:rsid w:val="00977D91"/>
    <w:rsid w:val="00980183"/>
    <w:rsid w:val="00982FAF"/>
    <w:rsid w:val="00984091"/>
    <w:rsid w:val="009847CD"/>
    <w:rsid w:val="00984802"/>
    <w:rsid w:val="00984DE9"/>
    <w:rsid w:val="00985D29"/>
    <w:rsid w:val="00986024"/>
    <w:rsid w:val="009861D4"/>
    <w:rsid w:val="0098637A"/>
    <w:rsid w:val="00986822"/>
    <w:rsid w:val="00986B5F"/>
    <w:rsid w:val="00987B92"/>
    <w:rsid w:val="00990958"/>
    <w:rsid w:val="00990F4F"/>
    <w:rsid w:val="0099121E"/>
    <w:rsid w:val="009918E3"/>
    <w:rsid w:val="009934C3"/>
    <w:rsid w:val="00993945"/>
    <w:rsid w:val="00993A9F"/>
    <w:rsid w:val="00993B6A"/>
    <w:rsid w:val="00994533"/>
    <w:rsid w:val="00995A48"/>
    <w:rsid w:val="0099682E"/>
    <w:rsid w:val="0099713C"/>
    <w:rsid w:val="00997142"/>
    <w:rsid w:val="009A0723"/>
    <w:rsid w:val="009A15E1"/>
    <w:rsid w:val="009A32C9"/>
    <w:rsid w:val="009A4011"/>
    <w:rsid w:val="009A4132"/>
    <w:rsid w:val="009A44CE"/>
    <w:rsid w:val="009A4EB3"/>
    <w:rsid w:val="009A537B"/>
    <w:rsid w:val="009A5C8B"/>
    <w:rsid w:val="009A619C"/>
    <w:rsid w:val="009A6887"/>
    <w:rsid w:val="009A6B56"/>
    <w:rsid w:val="009A6BC7"/>
    <w:rsid w:val="009A70E9"/>
    <w:rsid w:val="009A75BE"/>
    <w:rsid w:val="009A778D"/>
    <w:rsid w:val="009A78D6"/>
    <w:rsid w:val="009B003D"/>
    <w:rsid w:val="009B03B7"/>
    <w:rsid w:val="009B0695"/>
    <w:rsid w:val="009B073B"/>
    <w:rsid w:val="009B0A19"/>
    <w:rsid w:val="009B1812"/>
    <w:rsid w:val="009B1B6A"/>
    <w:rsid w:val="009B1CA7"/>
    <w:rsid w:val="009B1F16"/>
    <w:rsid w:val="009B2BBA"/>
    <w:rsid w:val="009B30D4"/>
    <w:rsid w:val="009B3333"/>
    <w:rsid w:val="009B376E"/>
    <w:rsid w:val="009B3AAF"/>
    <w:rsid w:val="009B3AC8"/>
    <w:rsid w:val="009B3E04"/>
    <w:rsid w:val="009B407A"/>
    <w:rsid w:val="009B43B0"/>
    <w:rsid w:val="009B459A"/>
    <w:rsid w:val="009B4852"/>
    <w:rsid w:val="009B4A4B"/>
    <w:rsid w:val="009B4E35"/>
    <w:rsid w:val="009B54EB"/>
    <w:rsid w:val="009B562B"/>
    <w:rsid w:val="009B5E8A"/>
    <w:rsid w:val="009B600C"/>
    <w:rsid w:val="009B617F"/>
    <w:rsid w:val="009B6872"/>
    <w:rsid w:val="009B7360"/>
    <w:rsid w:val="009B74C8"/>
    <w:rsid w:val="009C07ED"/>
    <w:rsid w:val="009C19BF"/>
    <w:rsid w:val="009C2276"/>
    <w:rsid w:val="009C2D5D"/>
    <w:rsid w:val="009C2EED"/>
    <w:rsid w:val="009C34BE"/>
    <w:rsid w:val="009C3707"/>
    <w:rsid w:val="009C3C4D"/>
    <w:rsid w:val="009C42E6"/>
    <w:rsid w:val="009C4728"/>
    <w:rsid w:val="009C4D2D"/>
    <w:rsid w:val="009C68A4"/>
    <w:rsid w:val="009C6D5B"/>
    <w:rsid w:val="009C6F89"/>
    <w:rsid w:val="009C6F9A"/>
    <w:rsid w:val="009C7767"/>
    <w:rsid w:val="009C78D7"/>
    <w:rsid w:val="009C7DE0"/>
    <w:rsid w:val="009D041D"/>
    <w:rsid w:val="009D0770"/>
    <w:rsid w:val="009D0FD8"/>
    <w:rsid w:val="009D148B"/>
    <w:rsid w:val="009D1EA7"/>
    <w:rsid w:val="009D1F90"/>
    <w:rsid w:val="009D1F93"/>
    <w:rsid w:val="009D2467"/>
    <w:rsid w:val="009D2BFF"/>
    <w:rsid w:val="009D31C2"/>
    <w:rsid w:val="009D3343"/>
    <w:rsid w:val="009D33A1"/>
    <w:rsid w:val="009D378A"/>
    <w:rsid w:val="009D3846"/>
    <w:rsid w:val="009D431B"/>
    <w:rsid w:val="009D4322"/>
    <w:rsid w:val="009D4C1A"/>
    <w:rsid w:val="009D5E2A"/>
    <w:rsid w:val="009D5E2E"/>
    <w:rsid w:val="009D5F43"/>
    <w:rsid w:val="009D614F"/>
    <w:rsid w:val="009D67FF"/>
    <w:rsid w:val="009D6E8E"/>
    <w:rsid w:val="009D706B"/>
    <w:rsid w:val="009D7171"/>
    <w:rsid w:val="009D74A3"/>
    <w:rsid w:val="009E0390"/>
    <w:rsid w:val="009E053A"/>
    <w:rsid w:val="009E0E3D"/>
    <w:rsid w:val="009E0F62"/>
    <w:rsid w:val="009E10A3"/>
    <w:rsid w:val="009E1117"/>
    <w:rsid w:val="009E157C"/>
    <w:rsid w:val="009E1649"/>
    <w:rsid w:val="009E18C4"/>
    <w:rsid w:val="009E1A69"/>
    <w:rsid w:val="009E2042"/>
    <w:rsid w:val="009E265A"/>
    <w:rsid w:val="009E30E1"/>
    <w:rsid w:val="009E3434"/>
    <w:rsid w:val="009E3DAC"/>
    <w:rsid w:val="009E46D0"/>
    <w:rsid w:val="009E477E"/>
    <w:rsid w:val="009E5AED"/>
    <w:rsid w:val="009E6626"/>
    <w:rsid w:val="009E6B0F"/>
    <w:rsid w:val="009E6FC3"/>
    <w:rsid w:val="009E72C7"/>
    <w:rsid w:val="009E79DE"/>
    <w:rsid w:val="009F0996"/>
    <w:rsid w:val="009F1066"/>
    <w:rsid w:val="009F18A9"/>
    <w:rsid w:val="009F18E0"/>
    <w:rsid w:val="009F2BCA"/>
    <w:rsid w:val="009F2D12"/>
    <w:rsid w:val="009F2E7E"/>
    <w:rsid w:val="009F393D"/>
    <w:rsid w:val="009F454D"/>
    <w:rsid w:val="009F47FA"/>
    <w:rsid w:val="009F4C6B"/>
    <w:rsid w:val="009F5423"/>
    <w:rsid w:val="009F682E"/>
    <w:rsid w:val="009F6D57"/>
    <w:rsid w:val="009F7DCD"/>
    <w:rsid w:val="009F7EBA"/>
    <w:rsid w:val="00A0020F"/>
    <w:rsid w:val="00A00920"/>
    <w:rsid w:val="00A011F3"/>
    <w:rsid w:val="00A0144D"/>
    <w:rsid w:val="00A0164F"/>
    <w:rsid w:val="00A017E5"/>
    <w:rsid w:val="00A0182B"/>
    <w:rsid w:val="00A02DE4"/>
    <w:rsid w:val="00A03538"/>
    <w:rsid w:val="00A0364F"/>
    <w:rsid w:val="00A03DD3"/>
    <w:rsid w:val="00A04169"/>
    <w:rsid w:val="00A04CEB"/>
    <w:rsid w:val="00A04ED2"/>
    <w:rsid w:val="00A0514B"/>
    <w:rsid w:val="00A0578A"/>
    <w:rsid w:val="00A05D67"/>
    <w:rsid w:val="00A06D40"/>
    <w:rsid w:val="00A073E3"/>
    <w:rsid w:val="00A07E1A"/>
    <w:rsid w:val="00A07FF4"/>
    <w:rsid w:val="00A07FFC"/>
    <w:rsid w:val="00A10030"/>
    <w:rsid w:val="00A10115"/>
    <w:rsid w:val="00A1076D"/>
    <w:rsid w:val="00A10E15"/>
    <w:rsid w:val="00A12DC5"/>
    <w:rsid w:val="00A13107"/>
    <w:rsid w:val="00A13327"/>
    <w:rsid w:val="00A13345"/>
    <w:rsid w:val="00A13C50"/>
    <w:rsid w:val="00A13CE4"/>
    <w:rsid w:val="00A142BC"/>
    <w:rsid w:val="00A14AD4"/>
    <w:rsid w:val="00A166E6"/>
    <w:rsid w:val="00A17350"/>
    <w:rsid w:val="00A20376"/>
    <w:rsid w:val="00A2069F"/>
    <w:rsid w:val="00A20C9D"/>
    <w:rsid w:val="00A21036"/>
    <w:rsid w:val="00A21552"/>
    <w:rsid w:val="00A21EEA"/>
    <w:rsid w:val="00A2227E"/>
    <w:rsid w:val="00A22438"/>
    <w:rsid w:val="00A2261A"/>
    <w:rsid w:val="00A23A87"/>
    <w:rsid w:val="00A23DE9"/>
    <w:rsid w:val="00A23F5F"/>
    <w:rsid w:val="00A250BB"/>
    <w:rsid w:val="00A25A6D"/>
    <w:rsid w:val="00A26AF3"/>
    <w:rsid w:val="00A27142"/>
    <w:rsid w:val="00A27567"/>
    <w:rsid w:val="00A27F06"/>
    <w:rsid w:val="00A3000A"/>
    <w:rsid w:val="00A306D1"/>
    <w:rsid w:val="00A3087F"/>
    <w:rsid w:val="00A30A1D"/>
    <w:rsid w:val="00A30CED"/>
    <w:rsid w:val="00A31A5E"/>
    <w:rsid w:val="00A31C2A"/>
    <w:rsid w:val="00A31FB8"/>
    <w:rsid w:val="00A323AC"/>
    <w:rsid w:val="00A32C5A"/>
    <w:rsid w:val="00A32D81"/>
    <w:rsid w:val="00A339FC"/>
    <w:rsid w:val="00A3480B"/>
    <w:rsid w:val="00A3611C"/>
    <w:rsid w:val="00A36273"/>
    <w:rsid w:val="00A362B6"/>
    <w:rsid w:val="00A36A31"/>
    <w:rsid w:val="00A3714E"/>
    <w:rsid w:val="00A37430"/>
    <w:rsid w:val="00A3791D"/>
    <w:rsid w:val="00A37C5F"/>
    <w:rsid w:val="00A40F09"/>
    <w:rsid w:val="00A411E6"/>
    <w:rsid w:val="00A41BA7"/>
    <w:rsid w:val="00A41CB2"/>
    <w:rsid w:val="00A423F9"/>
    <w:rsid w:val="00A42567"/>
    <w:rsid w:val="00A42911"/>
    <w:rsid w:val="00A42A4E"/>
    <w:rsid w:val="00A42B2C"/>
    <w:rsid w:val="00A43613"/>
    <w:rsid w:val="00A44221"/>
    <w:rsid w:val="00A447AD"/>
    <w:rsid w:val="00A44896"/>
    <w:rsid w:val="00A449ED"/>
    <w:rsid w:val="00A452CB"/>
    <w:rsid w:val="00A455C6"/>
    <w:rsid w:val="00A465F0"/>
    <w:rsid w:val="00A46FE5"/>
    <w:rsid w:val="00A50761"/>
    <w:rsid w:val="00A51747"/>
    <w:rsid w:val="00A51A0E"/>
    <w:rsid w:val="00A520BA"/>
    <w:rsid w:val="00A54EC4"/>
    <w:rsid w:val="00A55051"/>
    <w:rsid w:val="00A552F9"/>
    <w:rsid w:val="00A55F4C"/>
    <w:rsid w:val="00A5650D"/>
    <w:rsid w:val="00A567BA"/>
    <w:rsid w:val="00A56EE8"/>
    <w:rsid w:val="00A607CD"/>
    <w:rsid w:val="00A60BD6"/>
    <w:rsid w:val="00A61007"/>
    <w:rsid w:val="00A6187C"/>
    <w:rsid w:val="00A618B7"/>
    <w:rsid w:val="00A61DAA"/>
    <w:rsid w:val="00A6209F"/>
    <w:rsid w:val="00A63C7A"/>
    <w:rsid w:val="00A63D09"/>
    <w:rsid w:val="00A63DA6"/>
    <w:rsid w:val="00A63ED2"/>
    <w:rsid w:val="00A641CD"/>
    <w:rsid w:val="00A64516"/>
    <w:rsid w:val="00A64AFA"/>
    <w:rsid w:val="00A65750"/>
    <w:rsid w:val="00A65C15"/>
    <w:rsid w:val="00A661E5"/>
    <w:rsid w:val="00A662D2"/>
    <w:rsid w:val="00A66BB7"/>
    <w:rsid w:val="00A672AB"/>
    <w:rsid w:val="00A72427"/>
    <w:rsid w:val="00A7257C"/>
    <w:rsid w:val="00A72F94"/>
    <w:rsid w:val="00A736FE"/>
    <w:rsid w:val="00A73E72"/>
    <w:rsid w:val="00A745C9"/>
    <w:rsid w:val="00A75D52"/>
    <w:rsid w:val="00A75EE2"/>
    <w:rsid w:val="00A77A4E"/>
    <w:rsid w:val="00A77FA4"/>
    <w:rsid w:val="00A804BE"/>
    <w:rsid w:val="00A8116A"/>
    <w:rsid w:val="00A81237"/>
    <w:rsid w:val="00A82C2C"/>
    <w:rsid w:val="00A8372A"/>
    <w:rsid w:val="00A83F95"/>
    <w:rsid w:val="00A84351"/>
    <w:rsid w:val="00A86155"/>
    <w:rsid w:val="00A861A0"/>
    <w:rsid w:val="00A8637C"/>
    <w:rsid w:val="00A8663E"/>
    <w:rsid w:val="00A8684D"/>
    <w:rsid w:val="00A874CC"/>
    <w:rsid w:val="00A877C6"/>
    <w:rsid w:val="00A87A1E"/>
    <w:rsid w:val="00A87A3F"/>
    <w:rsid w:val="00A87C4D"/>
    <w:rsid w:val="00A87FEB"/>
    <w:rsid w:val="00A91003"/>
    <w:rsid w:val="00A9124F"/>
    <w:rsid w:val="00A92147"/>
    <w:rsid w:val="00A92335"/>
    <w:rsid w:val="00A92DA3"/>
    <w:rsid w:val="00A92F0D"/>
    <w:rsid w:val="00A93575"/>
    <w:rsid w:val="00A938D6"/>
    <w:rsid w:val="00A9395D"/>
    <w:rsid w:val="00A93AD2"/>
    <w:rsid w:val="00A946F9"/>
    <w:rsid w:val="00A9483D"/>
    <w:rsid w:val="00A94C48"/>
    <w:rsid w:val="00A94DF0"/>
    <w:rsid w:val="00A94EC7"/>
    <w:rsid w:val="00A954DC"/>
    <w:rsid w:val="00A96BEB"/>
    <w:rsid w:val="00A97516"/>
    <w:rsid w:val="00A97A26"/>
    <w:rsid w:val="00A97A76"/>
    <w:rsid w:val="00A97CD6"/>
    <w:rsid w:val="00A97EF3"/>
    <w:rsid w:val="00AA11D9"/>
    <w:rsid w:val="00AA148A"/>
    <w:rsid w:val="00AA1A8D"/>
    <w:rsid w:val="00AA1B9C"/>
    <w:rsid w:val="00AA1D93"/>
    <w:rsid w:val="00AA276D"/>
    <w:rsid w:val="00AA2F3A"/>
    <w:rsid w:val="00AA3F0C"/>
    <w:rsid w:val="00AA43B0"/>
    <w:rsid w:val="00AA4BE5"/>
    <w:rsid w:val="00AA4C82"/>
    <w:rsid w:val="00AA4DC6"/>
    <w:rsid w:val="00AA564F"/>
    <w:rsid w:val="00AA5830"/>
    <w:rsid w:val="00AA5BCC"/>
    <w:rsid w:val="00AA5C09"/>
    <w:rsid w:val="00AA63BA"/>
    <w:rsid w:val="00AA64D3"/>
    <w:rsid w:val="00AA6613"/>
    <w:rsid w:val="00AA7BB8"/>
    <w:rsid w:val="00AB0454"/>
    <w:rsid w:val="00AB0BC5"/>
    <w:rsid w:val="00AB0EDB"/>
    <w:rsid w:val="00AB0F81"/>
    <w:rsid w:val="00AB1B5B"/>
    <w:rsid w:val="00AB2C75"/>
    <w:rsid w:val="00AB2FAF"/>
    <w:rsid w:val="00AB3236"/>
    <w:rsid w:val="00AB4548"/>
    <w:rsid w:val="00AB54F7"/>
    <w:rsid w:val="00AB72FC"/>
    <w:rsid w:val="00AB7893"/>
    <w:rsid w:val="00AB7CE3"/>
    <w:rsid w:val="00AC0ECA"/>
    <w:rsid w:val="00AC124A"/>
    <w:rsid w:val="00AC2166"/>
    <w:rsid w:val="00AC2220"/>
    <w:rsid w:val="00AC2F3A"/>
    <w:rsid w:val="00AC3247"/>
    <w:rsid w:val="00AC3295"/>
    <w:rsid w:val="00AC3F94"/>
    <w:rsid w:val="00AC43F6"/>
    <w:rsid w:val="00AC4820"/>
    <w:rsid w:val="00AC4B9A"/>
    <w:rsid w:val="00AC4C6E"/>
    <w:rsid w:val="00AC5183"/>
    <w:rsid w:val="00AC54D1"/>
    <w:rsid w:val="00AC5564"/>
    <w:rsid w:val="00AC564C"/>
    <w:rsid w:val="00AC6910"/>
    <w:rsid w:val="00AC6FD2"/>
    <w:rsid w:val="00AC7FEB"/>
    <w:rsid w:val="00AD05B9"/>
    <w:rsid w:val="00AD12A5"/>
    <w:rsid w:val="00AD1D66"/>
    <w:rsid w:val="00AD20DA"/>
    <w:rsid w:val="00AD4319"/>
    <w:rsid w:val="00AD44CC"/>
    <w:rsid w:val="00AD44CE"/>
    <w:rsid w:val="00AD5144"/>
    <w:rsid w:val="00AE067C"/>
    <w:rsid w:val="00AE0B34"/>
    <w:rsid w:val="00AE0DE7"/>
    <w:rsid w:val="00AE0F3A"/>
    <w:rsid w:val="00AE11B0"/>
    <w:rsid w:val="00AE1369"/>
    <w:rsid w:val="00AE19FF"/>
    <w:rsid w:val="00AE202C"/>
    <w:rsid w:val="00AE20FB"/>
    <w:rsid w:val="00AE245B"/>
    <w:rsid w:val="00AE29C8"/>
    <w:rsid w:val="00AE2BC3"/>
    <w:rsid w:val="00AE2F00"/>
    <w:rsid w:val="00AE2F72"/>
    <w:rsid w:val="00AE313A"/>
    <w:rsid w:val="00AE3756"/>
    <w:rsid w:val="00AE42A4"/>
    <w:rsid w:val="00AE4E0A"/>
    <w:rsid w:val="00AE56A7"/>
    <w:rsid w:val="00AE6DCA"/>
    <w:rsid w:val="00AE6E57"/>
    <w:rsid w:val="00AE6FE0"/>
    <w:rsid w:val="00AE710D"/>
    <w:rsid w:val="00AE7881"/>
    <w:rsid w:val="00AE7A50"/>
    <w:rsid w:val="00AE7F1A"/>
    <w:rsid w:val="00AF002C"/>
    <w:rsid w:val="00AF0414"/>
    <w:rsid w:val="00AF0B7B"/>
    <w:rsid w:val="00AF13FB"/>
    <w:rsid w:val="00AF155B"/>
    <w:rsid w:val="00AF1FBD"/>
    <w:rsid w:val="00AF2961"/>
    <w:rsid w:val="00AF2D3A"/>
    <w:rsid w:val="00AF2F4B"/>
    <w:rsid w:val="00AF3050"/>
    <w:rsid w:val="00AF3555"/>
    <w:rsid w:val="00AF365A"/>
    <w:rsid w:val="00AF3956"/>
    <w:rsid w:val="00AF3E71"/>
    <w:rsid w:val="00AF3EFC"/>
    <w:rsid w:val="00AF4372"/>
    <w:rsid w:val="00AF51D3"/>
    <w:rsid w:val="00AF56E8"/>
    <w:rsid w:val="00AF5A41"/>
    <w:rsid w:val="00AF6781"/>
    <w:rsid w:val="00AF69B5"/>
    <w:rsid w:val="00B0055A"/>
    <w:rsid w:val="00B00846"/>
    <w:rsid w:val="00B01471"/>
    <w:rsid w:val="00B01DDE"/>
    <w:rsid w:val="00B023FD"/>
    <w:rsid w:val="00B02EB6"/>
    <w:rsid w:val="00B03B91"/>
    <w:rsid w:val="00B03C0F"/>
    <w:rsid w:val="00B03E22"/>
    <w:rsid w:val="00B04700"/>
    <w:rsid w:val="00B04C97"/>
    <w:rsid w:val="00B05775"/>
    <w:rsid w:val="00B05BB7"/>
    <w:rsid w:val="00B0667D"/>
    <w:rsid w:val="00B0680A"/>
    <w:rsid w:val="00B06C1B"/>
    <w:rsid w:val="00B073CB"/>
    <w:rsid w:val="00B078E6"/>
    <w:rsid w:val="00B07E6A"/>
    <w:rsid w:val="00B10089"/>
    <w:rsid w:val="00B10AB5"/>
    <w:rsid w:val="00B10F9C"/>
    <w:rsid w:val="00B111BA"/>
    <w:rsid w:val="00B1131B"/>
    <w:rsid w:val="00B11CEA"/>
    <w:rsid w:val="00B11E20"/>
    <w:rsid w:val="00B120D4"/>
    <w:rsid w:val="00B12CD9"/>
    <w:rsid w:val="00B12D0A"/>
    <w:rsid w:val="00B13212"/>
    <w:rsid w:val="00B13223"/>
    <w:rsid w:val="00B1388A"/>
    <w:rsid w:val="00B13995"/>
    <w:rsid w:val="00B13DBF"/>
    <w:rsid w:val="00B1479C"/>
    <w:rsid w:val="00B147B4"/>
    <w:rsid w:val="00B15C1F"/>
    <w:rsid w:val="00B1632D"/>
    <w:rsid w:val="00B16AC1"/>
    <w:rsid w:val="00B16CDC"/>
    <w:rsid w:val="00B17393"/>
    <w:rsid w:val="00B17BFC"/>
    <w:rsid w:val="00B20506"/>
    <w:rsid w:val="00B20ABA"/>
    <w:rsid w:val="00B20F98"/>
    <w:rsid w:val="00B2167B"/>
    <w:rsid w:val="00B22482"/>
    <w:rsid w:val="00B22D46"/>
    <w:rsid w:val="00B22E01"/>
    <w:rsid w:val="00B23C6A"/>
    <w:rsid w:val="00B244A2"/>
    <w:rsid w:val="00B2510A"/>
    <w:rsid w:val="00B25C29"/>
    <w:rsid w:val="00B2659B"/>
    <w:rsid w:val="00B26722"/>
    <w:rsid w:val="00B271DD"/>
    <w:rsid w:val="00B279DB"/>
    <w:rsid w:val="00B314E0"/>
    <w:rsid w:val="00B32A4B"/>
    <w:rsid w:val="00B32C2D"/>
    <w:rsid w:val="00B333EA"/>
    <w:rsid w:val="00B3402E"/>
    <w:rsid w:val="00B3412E"/>
    <w:rsid w:val="00B34240"/>
    <w:rsid w:val="00B34F79"/>
    <w:rsid w:val="00B3517B"/>
    <w:rsid w:val="00B3581C"/>
    <w:rsid w:val="00B35FA6"/>
    <w:rsid w:val="00B3632B"/>
    <w:rsid w:val="00B369AA"/>
    <w:rsid w:val="00B36B2F"/>
    <w:rsid w:val="00B371C8"/>
    <w:rsid w:val="00B37230"/>
    <w:rsid w:val="00B37921"/>
    <w:rsid w:val="00B37AF4"/>
    <w:rsid w:val="00B4070F"/>
    <w:rsid w:val="00B41576"/>
    <w:rsid w:val="00B41898"/>
    <w:rsid w:val="00B422E5"/>
    <w:rsid w:val="00B4253A"/>
    <w:rsid w:val="00B43118"/>
    <w:rsid w:val="00B43646"/>
    <w:rsid w:val="00B43FE5"/>
    <w:rsid w:val="00B4478D"/>
    <w:rsid w:val="00B45355"/>
    <w:rsid w:val="00B45590"/>
    <w:rsid w:val="00B455DB"/>
    <w:rsid w:val="00B462C0"/>
    <w:rsid w:val="00B46B4E"/>
    <w:rsid w:val="00B46DA3"/>
    <w:rsid w:val="00B50035"/>
    <w:rsid w:val="00B506B7"/>
    <w:rsid w:val="00B50CC1"/>
    <w:rsid w:val="00B5127B"/>
    <w:rsid w:val="00B518F3"/>
    <w:rsid w:val="00B51E18"/>
    <w:rsid w:val="00B52028"/>
    <w:rsid w:val="00B529F7"/>
    <w:rsid w:val="00B52BD5"/>
    <w:rsid w:val="00B52E92"/>
    <w:rsid w:val="00B53214"/>
    <w:rsid w:val="00B5327F"/>
    <w:rsid w:val="00B5334F"/>
    <w:rsid w:val="00B54896"/>
    <w:rsid w:val="00B54D37"/>
    <w:rsid w:val="00B54E45"/>
    <w:rsid w:val="00B55126"/>
    <w:rsid w:val="00B5544C"/>
    <w:rsid w:val="00B5566A"/>
    <w:rsid w:val="00B55BE6"/>
    <w:rsid w:val="00B56515"/>
    <w:rsid w:val="00B56814"/>
    <w:rsid w:val="00B576F0"/>
    <w:rsid w:val="00B605CE"/>
    <w:rsid w:val="00B6169F"/>
    <w:rsid w:val="00B63385"/>
    <w:rsid w:val="00B63E0D"/>
    <w:rsid w:val="00B64D61"/>
    <w:rsid w:val="00B64EDE"/>
    <w:rsid w:val="00B64FFB"/>
    <w:rsid w:val="00B6525E"/>
    <w:rsid w:val="00B65296"/>
    <w:rsid w:val="00B6611F"/>
    <w:rsid w:val="00B661FC"/>
    <w:rsid w:val="00B665A3"/>
    <w:rsid w:val="00B67321"/>
    <w:rsid w:val="00B67D90"/>
    <w:rsid w:val="00B703AC"/>
    <w:rsid w:val="00B705C9"/>
    <w:rsid w:val="00B712FA"/>
    <w:rsid w:val="00B71446"/>
    <w:rsid w:val="00B71514"/>
    <w:rsid w:val="00B71E80"/>
    <w:rsid w:val="00B71EA9"/>
    <w:rsid w:val="00B72AF3"/>
    <w:rsid w:val="00B72D8F"/>
    <w:rsid w:val="00B73327"/>
    <w:rsid w:val="00B73BF7"/>
    <w:rsid w:val="00B74417"/>
    <w:rsid w:val="00B75374"/>
    <w:rsid w:val="00B76646"/>
    <w:rsid w:val="00B7671E"/>
    <w:rsid w:val="00B76959"/>
    <w:rsid w:val="00B7727C"/>
    <w:rsid w:val="00B77785"/>
    <w:rsid w:val="00B80302"/>
    <w:rsid w:val="00B80374"/>
    <w:rsid w:val="00B80C6F"/>
    <w:rsid w:val="00B80E74"/>
    <w:rsid w:val="00B81AC5"/>
    <w:rsid w:val="00B81BF7"/>
    <w:rsid w:val="00B82216"/>
    <w:rsid w:val="00B82F72"/>
    <w:rsid w:val="00B83BB9"/>
    <w:rsid w:val="00B83DCB"/>
    <w:rsid w:val="00B8457E"/>
    <w:rsid w:val="00B8492C"/>
    <w:rsid w:val="00B84C8A"/>
    <w:rsid w:val="00B86130"/>
    <w:rsid w:val="00B865D1"/>
    <w:rsid w:val="00B86AE7"/>
    <w:rsid w:val="00B86D3F"/>
    <w:rsid w:val="00B87187"/>
    <w:rsid w:val="00B87209"/>
    <w:rsid w:val="00B874C7"/>
    <w:rsid w:val="00B877D4"/>
    <w:rsid w:val="00B900A4"/>
    <w:rsid w:val="00B90232"/>
    <w:rsid w:val="00B90E10"/>
    <w:rsid w:val="00B91219"/>
    <w:rsid w:val="00B91579"/>
    <w:rsid w:val="00B91D00"/>
    <w:rsid w:val="00B928A4"/>
    <w:rsid w:val="00B92C35"/>
    <w:rsid w:val="00B93608"/>
    <w:rsid w:val="00B93D7A"/>
    <w:rsid w:val="00B9555B"/>
    <w:rsid w:val="00B96DB0"/>
    <w:rsid w:val="00B97226"/>
    <w:rsid w:val="00B9741A"/>
    <w:rsid w:val="00B97837"/>
    <w:rsid w:val="00B97B34"/>
    <w:rsid w:val="00B97F13"/>
    <w:rsid w:val="00BA0031"/>
    <w:rsid w:val="00BA003C"/>
    <w:rsid w:val="00BA0C4C"/>
    <w:rsid w:val="00BA0D2E"/>
    <w:rsid w:val="00BA162B"/>
    <w:rsid w:val="00BA1C92"/>
    <w:rsid w:val="00BA1F86"/>
    <w:rsid w:val="00BA2B9B"/>
    <w:rsid w:val="00BA3203"/>
    <w:rsid w:val="00BA3845"/>
    <w:rsid w:val="00BA389C"/>
    <w:rsid w:val="00BA39AA"/>
    <w:rsid w:val="00BA3EDB"/>
    <w:rsid w:val="00BA4CD9"/>
    <w:rsid w:val="00BA4F22"/>
    <w:rsid w:val="00BA522F"/>
    <w:rsid w:val="00BA5EF8"/>
    <w:rsid w:val="00BA5F55"/>
    <w:rsid w:val="00BA699C"/>
    <w:rsid w:val="00BA782E"/>
    <w:rsid w:val="00BA7F00"/>
    <w:rsid w:val="00BB0187"/>
    <w:rsid w:val="00BB13F9"/>
    <w:rsid w:val="00BB14A0"/>
    <w:rsid w:val="00BB1C09"/>
    <w:rsid w:val="00BB1E66"/>
    <w:rsid w:val="00BB213B"/>
    <w:rsid w:val="00BB26C1"/>
    <w:rsid w:val="00BB2770"/>
    <w:rsid w:val="00BB29D3"/>
    <w:rsid w:val="00BB2F13"/>
    <w:rsid w:val="00BB302A"/>
    <w:rsid w:val="00BB3667"/>
    <w:rsid w:val="00BB3A13"/>
    <w:rsid w:val="00BB3BD1"/>
    <w:rsid w:val="00BB3DA5"/>
    <w:rsid w:val="00BB48EB"/>
    <w:rsid w:val="00BB4F6D"/>
    <w:rsid w:val="00BB57BF"/>
    <w:rsid w:val="00BB5CC4"/>
    <w:rsid w:val="00BB5D3F"/>
    <w:rsid w:val="00BB5E6B"/>
    <w:rsid w:val="00BB5EC8"/>
    <w:rsid w:val="00BB663A"/>
    <w:rsid w:val="00BB69C8"/>
    <w:rsid w:val="00BB6ED1"/>
    <w:rsid w:val="00BB7174"/>
    <w:rsid w:val="00BB71DD"/>
    <w:rsid w:val="00BB7939"/>
    <w:rsid w:val="00BC035C"/>
    <w:rsid w:val="00BC19EE"/>
    <w:rsid w:val="00BC1A2A"/>
    <w:rsid w:val="00BC1B37"/>
    <w:rsid w:val="00BC23CC"/>
    <w:rsid w:val="00BC3086"/>
    <w:rsid w:val="00BC345B"/>
    <w:rsid w:val="00BC366B"/>
    <w:rsid w:val="00BC3BC8"/>
    <w:rsid w:val="00BC479F"/>
    <w:rsid w:val="00BC56A0"/>
    <w:rsid w:val="00BC5875"/>
    <w:rsid w:val="00BC5ED3"/>
    <w:rsid w:val="00BC63F7"/>
    <w:rsid w:val="00BC73BC"/>
    <w:rsid w:val="00BC7F63"/>
    <w:rsid w:val="00BD0316"/>
    <w:rsid w:val="00BD1A03"/>
    <w:rsid w:val="00BD1B2B"/>
    <w:rsid w:val="00BD24AD"/>
    <w:rsid w:val="00BD2875"/>
    <w:rsid w:val="00BD3174"/>
    <w:rsid w:val="00BD31E3"/>
    <w:rsid w:val="00BD33F1"/>
    <w:rsid w:val="00BD3830"/>
    <w:rsid w:val="00BD40BE"/>
    <w:rsid w:val="00BD4855"/>
    <w:rsid w:val="00BD5899"/>
    <w:rsid w:val="00BD61EF"/>
    <w:rsid w:val="00BD6C74"/>
    <w:rsid w:val="00BD70FC"/>
    <w:rsid w:val="00BD78A0"/>
    <w:rsid w:val="00BD7E62"/>
    <w:rsid w:val="00BE147C"/>
    <w:rsid w:val="00BE326A"/>
    <w:rsid w:val="00BE3360"/>
    <w:rsid w:val="00BE3419"/>
    <w:rsid w:val="00BE37BC"/>
    <w:rsid w:val="00BE435B"/>
    <w:rsid w:val="00BE4529"/>
    <w:rsid w:val="00BE47FA"/>
    <w:rsid w:val="00BE52B6"/>
    <w:rsid w:val="00BE5531"/>
    <w:rsid w:val="00BE564D"/>
    <w:rsid w:val="00BE5B74"/>
    <w:rsid w:val="00BE5D30"/>
    <w:rsid w:val="00BE67D4"/>
    <w:rsid w:val="00BE761C"/>
    <w:rsid w:val="00BE77CF"/>
    <w:rsid w:val="00BE7B26"/>
    <w:rsid w:val="00BE7CC0"/>
    <w:rsid w:val="00BF0AF6"/>
    <w:rsid w:val="00BF0CBB"/>
    <w:rsid w:val="00BF10CC"/>
    <w:rsid w:val="00BF165A"/>
    <w:rsid w:val="00BF3795"/>
    <w:rsid w:val="00BF3911"/>
    <w:rsid w:val="00BF3C31"/>
    <w:rsid w:val="00BF433E"/>
    <w:rsid w:val="00BF4A88"/>
    <w:rsid w:val="00BF4B3D"/>
    <w:rsid w:val="00BF51A8"/>
    <w:rsid w:val="00BF67E0"/>
    <w:rsid w:val="00BF758F"/>
    <w:rsid w:val="00BF7A1F"/>
    <w:rsid w:val="00BF7FA9"/>
    <w:rsid w:val="00C00609"/>
    <w:rsid w:val="00C009A6"/>
    <w:rsid w:val="00C00CD1"/>
    <w:rsid w:val="00C00DEE"/>
    <w:rsid w:val="00C01145"/>
    <w:rsid w:val="00C028A2"/>
    <w:rsid w:val="00C02BEF"/>
    <w:rsid w:val="00C037BA"/>
    <w:rsid w:val="00C03DA3"/>
    <w:rsid w:val="00C0434B"/>
    <w:rsid w:val="00C043B7"/>
    <w:rsid w:val="00C04BA5"/>
    <w:rsid w:val="00C0593D"/>
    <w:rsid w:val="00C05DF2"/>
    <w:rsid w:val="00C05E41"/>
    <w:rsid w:val="00C063ED"/>
    <w:rsid w:val="00C0651A"/>
    <w:rsid w:val="00C07111"/>
    <w:rsid w:val="00C072CB"/>
    <w:rsid w:val="00C07DCB"/>
    <w:rsid w:val="00C1037E"/>
    <w:rsid w:val="00C105AA"/>
    <w:rsid w:val="00C106CB"/>
    <w:rsid w:val="00C10D50"/>
    <w:rsid w:val="00C10F9E"/>
    <w:rsid w:val="00C11145"/>
    <w:rsid w:val="00C11A56"/>
    <w:rsid w:val="00C11C08"/>
    <w:rsid w:val="00C12A7D"/>
    <w:rsid w:val="00C12C76"/>
    <w:rsid w:val="00C12FEE"/>
    <w:rsid w:val="00C13DB2"/>
    <w:rsid w:val="00C1536E"/>
    <w:rsid w:val="00C156FB"/>
    <w:rsid w:val="00C17172"/>
    <w:rsid w:val="00C17A4E"/>
    <w:rsid w:val="00C2045F"/>
    <w:rsid w:val="00C206E5"/>
    <w:rsid w:val="00C2104A"/>
    <w:rsid w:val="00C218E1"/>
    <w:rsid w:val="00C21B72"/>
    <w:rsid w:val="00C22210"/>
    <w:rsid w:val="00C230D8"/>
    <w:rsid w:val="00C24300"/>
    <w:rsid w:val="00C243B0"/>
    <w:rsid w:val="00C245F4"/>
    <w:rsid w:val="00C249D1"/>
    <w:rsid w:val="00C24E52"/>
    <w:rsid w:val="00C250E0"/>
    <w:rsid w:val="00C25416"/>
    <w:rsid w:val="00C25D77"/>
    <w:rsid w:val="00C26024"/>
    <w:rsid w:val="00C26077"/>
    <w:rsid w:val="00C26222"/>
    <w:rsid w:val="00C262EB"/>
    <w:rsid w:val="00C26830"/>
    <w:rsid w:val="00C26F99"/>
    <w:rsid w:val="00C26FCB"/>
    <w:rsid w:val="00C2732F"/>
    <w:rsid w:val="00C27A27"/>
    <w:rsid w:val="00C30102"/>
    <w:rsid w:val="00C304CD"/>
    <w:rsid w:val="00C3120E"/>
    <w:rsid w:val="00C31946"/>
    <w:rsid w:val="00C31CD8"/>
    <w:rsid w:val="00C31F68"/>
    <w:rsid w:val="00C3215A"/>
    <w:rsid w:val="00C32317"/>
    <w:rsid w:val="00C3237B"/>
    <w:rsid w:val="00C32617"/>
    <w:rsid w:val="00C3371E"/>
    <w:rsid w:val="00C33AF4"/>
    <w:rsid w:val="00C3494E"/>
    <w:rsid w:val="00C3500A"/>
    <w:rsid w:val="00C3595D"/>
    <w:rsid w:val="00C35C18"/>
    <w:rsid w:val="00C36441"/>
    <w:rsid w:val="00C36DAD"/>
    <w:rsid w:val="00C3788E"/>
    <w:rsid w:val="00C37960"/>
    <w:rsid w:val="00C37A63"/>
    <w:rsid w:val="00C4068C"/>
    <w:rsid w:val="00C40BED"/>
    <w:rsid w:val="00C4187F"/>
    <w:rsid w:val="00C41F90"/>
    <w:rsid w:val="00C4259E"/>
    <w:rsid w:val="00C428A4"/>
    <w:rsid w:val="00C42C9A"/>
    <w:rsid w:val="00C42D22"/>
    <w:rsid w:val="00C43087"/>
    <w:rsid w:val="00C43823"/>
    <w:rsid w:val="00C43887"/>
    <w:rsid w:val="00C43DAD"/>
    <w:rsid w:val="00C447E3"/>
    <w:rsid w:val="00C46279"/>
    <w:rsid w:val="00C46D49"/>
    <w:rsid w:val="00C473C0"/>
    <w:rsid w:val="00C47772"/>
    <w:rsid w:val="00C47ADC"/>
    <w:rsid w:val="00C508B5"/>
    <w:rsid w:val="00C50AC6"/>
    <w:rsid w:val="00C50F7C"/>
    <w:rsid w:val="00C51A3D"/>
    <w:rsid w:val="00C51C44"/>
    <w:rsid w:val="00C51F2C"/>
    <w:rsid w:val="00C5206F"/>
    <w:rsid w:val="00C5252F"/>
    <w:rsid w:val="00C5254F"/>
    <w:rsid w:val="00C529DA"/>
    <w:rsid w:val="00C52D32"/>
    <w:rsid w:val="00C52FE5"/>
    <w:rsid w:val="00C5317D"/>
    <w:rsid w:val="00C535A3"/>
    <w:rsid w:val="00C5407B"/>
    <w:rsid w:val="00C551C8"/>
    <w:rsid w:val="00C55312"/>
    <w:rsid w:val="00C5581B"/>
    <w:rsid w:val="00C55D0E"/>
    <w:rsid w:val="00C561DB"/>
    <w:rsid w:val="00C56206"/>
    <w:rsid w:val="00C56402"/>
    <w:rsid w:val="00C567C4"/>
    <w:rsid w:val="00C56D52"/>
    <w:rsid w:val="00C570C7"/>
    <w:rsid w:val="00C57375"/>
    <w:rsid w:val="00C6082C"/>
    <w:rsid w:val="00C60A34"/>
    <w:rsid w:val="00C60A5D"/>
    <w:rsid w:val="00C6196C"/>
    <w:rsid w:val="00C61BBB"/>
    <w:rsid w:val="00C625EF"/>
    <w:rsid w:val="00C62680"/>
    <w:rsid w:val="00C62E92"/>
    <w:rsid w:val="00C62EB4"/>
    <w:rsid w:val="00C63268"/>
    <w:rsid w:val="00C6367F"/>
    <w:rsid w:val="00C6388F"/>
    <w:rsid w:val="00C63A35"/>
    <w:rsid w:val="00C63C35"/>
    <w:rsid w:val="00C65231"/>
    <w:rsid w:val="00C659F5"/>
    <w:rsid w:val="00C66083"/>
    <w:rsid w:val="00C66188"/>
    <w:rsid w:val="00C67DD2"/>
    <w:rsid w:val="00C70C82"/>
    <w:rsid w:val="00C70E35"/>
    <w:rsid w:val="00C710BE"/>
    <w:rsid w:val="00C71142"/>
    <w:rsid w:val="00C71345"/>
    <w:rsid w:val="00C715B9"/>
    <w:rsid w:val="00C71C2B"/>
    <w:rsid w:val="00C72713"/>
    <w:rsid w:val="00C72FEB"/>
    <w:rsid w:val="00C737AC"/>
    <w:rsid w:val="00C74679"/>
    <w:rsid w:val="00C755A0"/>
    <w:rsid w:val="00C76152"/>
    <w:rsid w:val="00C763B7"/>
    <w:rsid w:val="00C768A2"/>
    <w:rsid w:val="00C76F91"/>
    <w:rsid w:val="00C77C93"/>
    <w:rsid w:val="00C806B9"/>
    <w:rsid w:val="00C80F82"/>
    <w:rsid w:val="00C81C13"/>
    <w:rsid w:val="00C82826"/>
    <w:rsid w:val="00C833BB"/>
    <w:rsid w:val="00C839D1"/>
    <w:rsid w:val="00C8449B"/>
    <w:rsid w:val="00C8463E"/>
    <w:rsid w:val="00C8483A"/>
    <w:rsid w:val="00C854C8"/>
    <w:rsid w:val="00C85C4D"/>
    <w:rsid w:val="00C86003"/>
    <w:rsid w:val="00C860EC"/>
    <w:rsid w:val="00C86A0F"/>
    <w:rsid w:val="00C86ADC"/>
    <w:rsid w:val="00C8741B"/>
    <w:rsid w:val="00C90326"/>
    <w:rsid w:val="00C90892"/>
    <w:rsid w:val="00C90E7B"/>
    <w:rsid w:val="00C90F52"/>
    <w:rsid w:val="00C91728"/>
    <w:rsid w:val="00C923AC"/>
    <w:rsid w:val="00C92B4E"/>
    <w:rsid w:val="00C92C0E"/>
    <w:rsid w:val="00C936DB"/>
    <w:rsid w:val="00C93C4E"/>
    <w:rsid w:val="00C943C6"/>
    <w:rsid w:val="00C94924"/>
    <w:rsid w:val="00C95B55"/>
    <w:rsid w:val="00C961CE"/>
    <w:rsid w:val="00C96A61"/>
    <w:rsid w:val="00C96CA9"/>
    <w:rsid w:val="00C97041"/>
    <w:rsid w:val="00C97331"/>
    <w:rsid w:val="00C97431"/>
    <w:rsid w:val="00C977A3"/>
    <w:rsid w:val="00CA022A"/>
    <w:rsid w:val="00CA083E"/>
    <w:rsid w:val="00CA0DF7"/>
    <w:rsid w:val="00CA1038"/>
    <w:rsid w:val="00CA12B5"/>
    <w:rsid w:val="00CA1634"/>
    <w:rsid w:val="00CA18FD"/>
    <w:rsid w:val="00CA2485"/>
    <w:rsid w:val="00CA28E7"/>
    <w:rsid w:val="00CA2DCF"/>
    <w:rsid w:val="00CA3224"/>
    <w:rsid w:val="00CA3299"/>
    <w:rsid w:val="00CA52B5"/>
    <w:rsid w:val="00CA5892"/>
    <w:rsid w:val="00CA5D0D"/>
    <w:rsid w:val="00CA68C6"/>
    <w:rsid w:val="00CA7613"/>
    <w:rsid w:val="00CA7CB7"/>
    <w:rsid w:val="00CB0B2B"/>
    <w:rsid w:val="00CB1A30"/>
    <w:rsid w:val="00CB1B85"/>
    <w:rsid w:val="00CB2A16"/>
    <w:rsid w:val="00CB2ACB"/>
    <w:rsid w:val="00CB2E3E"/>
    <w:rsid w:val="00CB3269"/>
    <w:rsid w:val="00CB3772"/>
    <w:rsid w:val="00CB4238"/>
    <w:rsid w:val="00CB4305"/>
    <w:rsid w:val="00CB5677"/>
    <w:rsid w:val="00CB59EF"/>
    <w:rsid w:val="00CB5CE5"/>
    <w:rsid w:val="00CB7423"/>
    <w:rsid w:val="00CB7687"/>
    <w:rsid w:val="00CB77F7"/>
    <w:rsid w:val="00CB79DD"/>
    <w:rsid w:val="00CB7A20"/>
    <w:rsid w:val="00CC032B"/>
    <w:rsid w:val="00CC13E3"/>
    <w:rsid w:val="00CC13FA"/>
    <w:rsid w:val="00CC1BCD"/>
    <w:rsid w:val="00CC1FB1"/>
    <w:rsid w:val="00CC2C4B"/>
    <w:rsid w:val="00CC2E6C"/>
    <w:rsid w:val="00CC32A4"/>
    <w:rsid w:val="00CC3BD2"/>
    <w:rsid w:val="00CC4016"/>
    <w:rsid w:val="00CC41DF"/>
    <w:rsid w:val="00CC4D4C"/>
    <w:rsid w:val="00CC4FC8"/>
    <w:rsid w:val="00CC5741"/>
    <w:rsid w:val="00CC58D6"/>
    <w:rsid w:val="00CC5ED2"/>
    <w:rsid w:val="00CC61C2"/>
    <w:rsid w:val="00CC63A6"/>
    <w:rsid w:val="00CC6594"/>
    <w:rsid w:val="00CC69F2"/>
    <w:rsid w:val="00CC715B"/>
    <w:rsid w:val="00CC727C"/>
    <w:rsid w:val="00CD018C"/>
    <w:rsid w:val="00CD044A"/>
    <w:rsid w:val="00CD047D"/>
    <w:rsid w:val="00CD060C"/>
    <w:rsid w:val="00CD18F5"/>
    <w:rsid w:val="00CD1A3D"/>
    <w:rsid w:val="00CD1A83"/>
    <w:rsid w:val="00CD1C02"/>
    <w:rsid w:val="00CD1C0E"/>
    <w:rsid w:val="00CD3036"/>
    <w:rsid w:val="00CD3923"/>
    <w:rsid w:val="00CD4F23"/>
    <w:rsid w:val="00CD520A"/>
    <w:rsid w:val="00CD5438"/>
    <w:rsid w:val="00CD6CC9"/>
    <w:rsid w:val="00CD7D64"/>
    <w:rsid w:val="00CE0946"/>
    <w:rsid w:val="00CE0D30"/>
    <w:rsid w:val="00CE11B7"/>
    <w:rsid w:val="00CE18F8"/>
    <w:rsid w:val="00CE1F32"/>
    <w:rsid w:val="00CE2139"/>
    <w:rsid w:val="00CE225F"/>
    <w:rsid w:val="00CE37F3"/>
    <w:rsid w:val="00CE40C6"/>
    <w:rsid w:val="00CE4440"/>
    <w:rsid w:val="00CE51C4"/>
    <w:rsid w:val="00CE5259"/>
    <w:rsid w:val="00CE60B1"/>
    <w:rsid w:val="00CE6469"/>
    <w:rsid w:val="00CE675B"/>
    <w:rsid w:val="00CE6959"/>
    <w:rsid w:val="00CE7390"/>
    <w:rsid w:val="00CE75DA"/>
    <w:rsid w:val="00CF00DE"/>
    <w:rsid w:val="00CF0823"/>
    <w:rsid w:val="00CF1D79"/>
    <w:rsid w:val="00CF1DBB"/>
    <w:rsid w:val="00CF1E53"/>
    <w:rsid w:val="00CF1FC9"/>
    <w:rsid w:val="00CF259A"/>
    <w:rsid w:val="00CF2617"/>
    <w:rsid w:val="00CF2BCA"/>
    <w:rsid w:val="00CF2D25"/>
    <w:rsid w:val="00CF311F"/>
    <w:rsid w:val="00CF34FF"/>
    <w:rsid w:val="00CF3A68"/>
    <w:rsid w:val="00CF3E8E"/>
    <w:rsid w:val="00CF3EC9"/>
    <w:rsid w:val="00CF46E7"/>
    <w:rsid w:val="00CF4AD3"/>
    <w:rsid w:val="00CF4C1A"/>
    <w:rsid w:val="00CF5793"/>
    <w:rsid w:val="00CF5AEC"/>
    <w:rsid w:val="00CF6043"/>
    <w:rsid w:val="00CF6076"/>
    <w:rsid w:val="00CF66FF"/>
    <w:rsid w:val="00CF7469"/>
    <w:rsid w:val="00CF794B"/>
    <w:rsid w:val="00CF7DB3"/>
    <w:rsid w:val="00D0061F"/>
    <w:rsid w:val="00D01CD3"/>
    <w:rsid w:val="00D0205F"/>
    <w:rsid w:val="00D02085"/>
    <w:rsid w:val="00D028C5"/>
    <w:rsid w:val="00D03944"/>
    <w:rsid w:val="00D04D43"/>
    <w:rsid w:val="00D050EA"/>
    <w:rsid w:val="00D0544F"/>
    <w:rsid w:val="00D062E4"/>
    <w:rsid w:val="00D065FD"/>
    <w:rsid w:val="00D06969"/>
    <w:rsid w:val="00D07D87"/>
    <w:rsid w:val="00D10A6A"/>
    <w:rsid w:val="00D11426"/>
    <w:rsid w:val="00D11975"/>
    <w:rsid w:val="00D11B9F"/>
    <w:rsid w:val="00D120EA"/>
    <w:rsid w:val="00D12260"/>
    <w:rsid w:val="00D125F1"/>
    <w:rsid w:val="00D1283E"/>
    <w:rsid w:val="00D12C31"/>
    <w:rsid w:val="00D12CF8"/>
    <w:rsid w:val="00D12FC3"/>
    <w:rsid w:val="00D139D9"/>
    <w:rsid w:val="00D14D24"/>
    <w:rsid w:val="00D1511A"/>
    <w:rsid w:val="00D15479"/>
    <w:rsid w:val="00D158F6"/>
    <w:rsid w:val="00D15C21"/>
    <w:rsid w:val="00D16AEC"/>
    <w:rsid w:val="00D16D2F"/>
    <w:rsid w:val="00D2015D"/>
    <w:rsid w:val="00D20F7E"/>
    <w:rsid w:val="00D2108E"/>
    <w:rsid w:val="00D211EC"/>
    <w:rsid w:val="00D214B0"/>
    <w:rsid w:val="00D232BF"/>
    <w:rsid w:val="00D24352"/>
    <w:rsid w:val="00D24509"/>
    <w:rsid w:val="00D2476A"/>
    <w:rsid w:val="00D24B41"/>
    <w:rsid w:val="00D265A5"/>
    <w:rsid w:val="00D26607"/>
    <w:rsid w:val="00D268B4"/>
    <w:rsid w:val="00D27755"/>
    <w:rsid w:val="00D30587"/>
    <w:rsid w:val="00D308F2"/>
    <w:rsid w:val="00D30C28"/>
    <w:rsid w:val="00D30F3D"/>
    <w:rsid w:val="00D31BBE"/>
    <w:rsid w:val="00D32D51"/>
    <w:rsid w:val="00D34CEB"/>
    <w:rsid w:val="00D353FC"/>
    <w:rsid w:val="00D355D8"/>
    <w:rsid w:val="00D35ADA"/>
    <w:rsid w:val="00D35C30"/>
    <w:rsid w:val="00D37711"/>
    <w:rsid w:val="00D377FA"/>
    <w:rsid w:val="00D40A15"/>
    <w:rsid w:val="00D40CA2"/>
    <w:rsid w:val="00D41455"/>
    <w:rsid w:val="00D41520"/>
    <w:rsid w:val="00D41646"/>
    <w:rsid w:val="00D4169D"/>
    <w:rsid w:val="00D41C50"/>
    <w:rsid w:val="00D42B73"/>
    <w:rsid w:val="00D42F4B"/>
    <w:rsid w:val="00D4382F"/>
    <w:rsid w:val="00D43D4F"/>
    <w:rsid w:val="00D44B43"/>
    <w:rsid w:val="00D45E2E"/>
    <w:rsid w:val="00D4604D"/>
    <w:rsid w:val="00D46C9E"/>
    <w:rsid w:val="00D51E65"/>
    <w:rsid w:val="00D54473"/>
    <w:rsid w:val="00D544C1"/>
    <w:rsid w:val="00D54C81"/>
    <w:rsid w:val="00D54EE6"/>
    <w:rsid w:val="00D54F40"/>
    <w:rsid w:val="00D550D5"/>
    <w:rsid w:val="00D55A45"/>
    <w:rsid w:val="00D56AB6"/>
    <w:rsid w:val="00D56B07"/>
    <w:rsid w:val="00D56BFA"/>
    <w:rsid w:val="00D56D6B"/>
    <w:rsid w:val="00D57F4E"/>
    <w:rsid w:val="00D60F76"/>
    <w:rsid w:val="00D6106B"/>
    <w:rsid w:val="00D6169F"/>
    <w:rsid w:val="00D625B3"/>
    <w:rsid w:val="00D62A71"/>
    <w:rsid w:val="00D63079"/>
    <w:rsid w:val="00D63598"/>
    <w:rsid w:val="00D64095"/>
    <w:rsid w:val="00D644AC"/>
    <w:rsid w:val="00D649A1"/>
    <w:rsid w:val="00D65940"/>
    <w:rsid w:val="00D66969"/>
    <w:rsid w:val="00D7093E"/>
    <w:rsid w:val="00D70AC1"/>
    <w:rsid w:val="00D7117F"/>
    <w:rsid w:val="00D71E19"/>
    <w:rsid w:val="00D7228E"/>
    <w:rsid w:val="00D72F69"/>
    <w:rsid w:val="00D73438"/>
    <w:rsid w:val="00D73448"/>
    <w:rsid w:val="00D74279"/>
    <w:rsid w:val="00D74964"/>
    <w:rsid w:val="00D755D7"/>
    <w:rsid w:val="00D75744"/>
    <w:rsid w:val="00D76104"/>
    <w:rsid w:val="00D7627D"/>
    <w:rsid w:val="00D765A5"/>
    <w:rsid w:val="00D76DAC"/>
    <w:rsid w:val="00D772E3"/>
    <w:rsid w:val="00D77700"/>
    <w:rsid w:val="00D77C4F"/>
    <w:rsid w:val="00D80A76"/>
    <w:rsid w:val="00D80A9C"/>
    <w:rsid w:val="00D81A3A"/>
    <w:rsid w:val="00D82B94"/>
    <w:rsid w:val="00D82EEC"/>
    <w:rsid w:val="00D83111"/>
    <w:rsid w:val="00D83CB1"/>
    <w:rsid w:val="00D84039"/>
    <w:rsid w:val="00D842F4"/>
    <w:rsid w:val="00D8458F"/>
    <w:rsid w:val="00D85B4D"/>
    <w:rsid w:val="00D85BF6"/>
    <w:rsid w:val="00D870C2"/>
    <w:rsid w:val="00D8725F"/>
    <w:rsid w:val="00D8761E"/>
    <w:rsid w:val="00D876CB"/>
    <w:rsid w:val="00D87B5F"/>
    <w:rsid w:val="00D87D87"/>
    <w:rsid w:val="00D87E3A"/>
    <w:rsid w:val="00D90274"/>
    <w:rsid w:val="00D905D2"/>
    <w:rsid w:val="00D90767"/>
    <w:rsid w:val="00D90892"/>
    <w:rsid w:val="00D90C3E"/>
    <w:rsid w:val="00D90F8B"/>
    <w:rsid w:val="00D9121B"/>
    <w:rsid w:val="00D91376"/>
    <w:rsid w:val="00D91A74"/>
    <w:rsid w:val="00D91B3F"/>
    <w:rsid w:val="00D91E96"/>
    <w:rsid w:val="00D9247C"/>
    <w:rsid w:val="00D9288B"/>
    <w:rsid w:val="00D92D8A"/>
    <w:rsid w:val="00D93609"/>
    <w:rsid w:val="00D94145"/>
    <w:rsid w:val="00D948FB"/>
    <w:rsid w:val="00D94FB2"/>
    <w:rsid w:val="00D95125"/>
    <w:rsid w:val="00D956E3"/>
    <w:rsid w:val="00D95B74"/>
    <w:rsid w:val="00D95C41"/>
    <w:rsid w:val="00D95F62"/>
    <w:rsid w:val="00D9618B"/>
    <w:rsid w:val="00D96324"/>
    <w:rsid w:val="00D96663"/>
    <w:rsid w:val="00D96968"/>
    <w:rsid w:val="00D970D1"/>
    <w:rsid w:val="00D97709"/>
    <w:rsid w:val="00D97756"/>
    <w:rsid w:val="00DA00B8"/>
    <w:rsid w:val="00DA08D3"/>
    <w:rsid w:val="00DA0D25"/>
    <w:rsid w:val="00DA1889"/>
    <w:rsid w:val="00DA1C44"/>
    <w:rsid w:val="00DA467E"/>
    <w:rsid w:val="00DA4A24"/>
    <w:rsid w:val="00DA4AD7"/>
    <w:rsid w:val="00DA57E9"/>
    <w:rsid w:val="00DA5B4D"/>
    <w:rsid w:val="00DA62B8"/>
    <w:rsid w:val="00DA6613"/>
    <w:rsid w:val="00DA690C"/>
    <w:rsid w:val="00DA6C4E"/>
    <w:rsid w:val="00DA7197"/>
    <w:rsid w:val="00DA73BC"/>
    <w:rsid w:val="00DA7755"/>
    <w:rsid w:val="00DB01F6"/>
    <w:rsid w:val="00DB03DA"/>
    <w:rsid w:val="00DB074D"/>
    <w:rsid w:val="00DB0D6D"/>
    <w:rsid w:val="00DB1223"/>
    <w:rsid w:val="00DB12D4"/>
    <w:rsid w:val="00DB1629"/>
    <w:rsid w:val="00DB2330"/>
    <w:rsid w:val="00DB262D"/>
    <w:rsid w:val="00DB31BB"/>
    <w:rsid w:val="00DB334E"/>
    <w:rsid w:val="00DB4315"/>
    <w:rsid w:val="00DB4C52"/>
    <w:rsid w:val="00DB5452"/>
    <w:rsid w:val="00DB5604"/>
    <w:rsid w:val="00DB5AA3"/>
    <w:rsid w:val="00DB70D6"/>
    <w:rsid w:val="00DB7F57"/>
    <w:rsid w:val="00DC0A5E"/>
    <w:rsid w:val="00DC154B"/>
    <w:rsid w:val="00DC1EED"/>
    <w:rsid w:val="00DC2026"/>
    <w:rsid w:val="00DC2116"/>
    <w:rsid w:val="00DC25F3"/>
    <w:rsid w:val="00DC27BB"/>
    <w:rsid w:val="00DC2E0A"/>
    <w:rsid w:val="00DC37BD"/>
    <w:rsid w:val="00DC383F"/>
    <w:rsid w:val="00DC3CE7"/>
    <w:rsid w:val="00DC4140"/>
    <w:rsid w:val="00DC433C"/>
    <w:rsid w:val="00DC43BD"/>
    <w:rsid w:val="00DC59E4"/>
    <w:rsid w:val="00DC5A8C"/>
    <w:rsid w:val="00DC5B31"/>
    <w:rsid w:val="00DC5FFC"/>
    <w:rsid w:val="00DD05D3"/>
    <w:rsid w:val="00DD1530"/>
    <w:rsid w:val="00DD1639"/>
    <w:rsid w:val="00DD1805"/>
    <w:rsid w:val="00DD1BA2"/>
    <w:rsid w:val="00DD22EA"/>
    <w:rsid w:val="00DD2810"/>
    <w:rsid w:val="00DD348C"/>
    <w:rsid w:val="00DD406E"/>
    <w:rsid w:val="00DD4207"/>
    <w:rsid w:val="00DD4435"/>
    <w:rsid w:val="00DD58E0"/>
    <w:rsid w:val="00DD6516"/>
    <w:rsid w:val="00DD674B"/>
    <w:rsid w:val="00DD6B7F"/>
    <w:rsid w:val="00DD7278"/>
    <w:rsid w:val="00DD7421"/>
    <w:rsid w:val="00DD78B8"/>
    <w:rsid w:val="00DD79BB"/>
    <w:rsid w:val="00DE0489"/>
    <w:rsid w:val="00DE063D"/>
    <w:rsid w:val="00DE06CE"/>
    <w:rsid w:val="00DE07C2"/>
    <w:rsid w:val="00DE1132"/>
    <w:rsid w:val="00DE1582"/>
    <w:rsid w:val="00DE1757"/>
    <w:rsid w:val="00DE1B8B"/>
    <w:rsid w:val="00DE2666"/>
    <w:rsid w:val="00DE29F3"/>
    <w:rsid w:val="00DE3630"/>
    <w:rsid w:val="00DE4559"/>
    <w:rsid w:val="00DE47C7"/>
    <w:rsid w:val="00DE53BB"/>
    <w:rsid w:val="00DE53DE"/>
    <w:rsid w:val="00DE53ED"/>
    <w:rsid w:val="00DE5FA3"/>
    <w:rsid w:val="00DE639D"/>
    <w:rsid w:val="00DE6938"/>
    <w:rsid w:val="00DF0669"/>
    <w:rsid w:val="00DF079F"/>
    <w:rsid w:val="00DF0919"/>
    <w:rsid w:val="00DF0F16"/>
    <w:rsid w:val="00DF1D0F"/>
    <w:rsid w:val="00DF1D26"/>
    <w:rsid w:val="00DF291B"/>
    <w:rsid w:val="00DF2AC3"/>
    <w:rsid w:val="00DF34E4"/>
    <w:rsid w:val="00DF3875"/>
    <w:rsid w:val="00DF4617"/>
    <w:rsid w:val="00DF48CA"/>
    <w:rsid w:val="00DF5C11"/>
    <w:rsid w:val="00DF613E"/>
    <w:rsid w:val="00DF6514"/>
    <w:rsid w:val="00DF7118"/>
    <w:rsid w:val="00DF74F3"/>
    <w:rsid w:val="00DF7C37"/>
    <w:rsid w:val="00E000E7"/>
    <w:rsid w:val="00E00534"/>
    <w:rsid w:val="00E011B0"/>
    <w:rsid w:val="00E01277"/>
    <w:rsid w:val="00E0130E"/>
    <w:rsid w:val="00E0303E"/>
    <w:rsid w:val="00E035A8"/>
    <w:rsid w:val="00E0565C"/>
    <w:rsid w:val="00E05B92"/>
    <w:rsid w:val="00E05C4B"/>
    <w:rsid w:val="00E06FAB"/>
    <w:rsid w:val="00E07586"/>
    <w:rsid w:val="00E07D45"/>
    <w:rsid w:val="00E10A80"/>
    <w:rsid w:val="00E10D4C"/>
    <w:rsid w:val="00E10F8B"/>
    <w:rsid w:val="00E10F94"/>
    <w:rsid w:val="00E11998"/>
    <w:rsid w:val="00E11F90"/>
    <w:rsid w:val="00E1228D"/>
    <w:rsid w:val="00E12CF2"/>
    <w:rsid w:val="00E13019"/>
    <w:rsid w:val="00E13078"/>
    <w:rsid w:val="00E146E1"/>
    <w:rsid w:val="00E149C6"/>
    <w:rsid w:val="00E15D4D"/>
    <w:rsid w:val="00E16296"/>
    <w:rsid w:val="00E17233"/>
    <w:rsid w:val="00E1749D"/>
    <w:rsid w:val="00E17920"/>
    <w:rsid w:val="00E17CEB"/>
    <w:rsid w:val="00E207E5"/>
    <w:rsid w:val="00E209CF"/>
    <w:rsid w:val="00E2193D"/>
    <w:rsid w:val="00E22475"/>
    <w:rsid w:val="00E23C5D"/>
    <w:rsid w:val="00E2468E"/>
    <w:rsid w:val="00E24982"/>
    <w:rsid w:val="00E24F75"/>
    <w:rsid w:val="00E27511"/>
    <w:rsid w:val="00E275A3"/>
    <w:rsid w:val="00E2762A"/>
    <w:rsid w:val="00E27E75"/>
    <w:rsid w:val="00E30103"/>
    <w:rsid w:val="00E30909"/>
    <w:rsid w:val="00E314B3"/>
    <w:rsid w:val="00E321C0"/>
    <w:rsid w:val="00E321EF"/>
    <w:rsid w:val="00E32EF7"/>
    <w:rsid w:val="00E32F0C"/>
    <w:rsid w:val="00E33020"/>
    <w:rsid w:val="00E33464"/>
    <w:rsid w:val="00E33EBC"/>
    <w:rsid w:val="00E34F05"/>
    <w:rsid w:val="00E35595"/>
    <w:rsid w:val="00E3560C"/>
    <w:rsid w:val="00E358A2"/>
    <w:rsid w:val="00E358AA"/>
    <w:rsid w:val="00E3620B"/>
    <w:rsid w:val="00E36801"/>
    <w:rsid w:val="00E36B73"/>
    <w:rsid w:val="00E36FC8"/>
    <w:rsid w:val="00E3785F"/>
    <w:rsid w:val="00E4020C"/>
    <w:rsid w:val="00E4066F"/>
    <w:rsid w:val="00E4114E"/>
    <w:rsid w:val="00E41DD5"/>
    <w:rsid w:val="00E4284E"/>
    <w:rsid w:val="00E42C75"/>
    <w:rsid w:val="00E42D89"/>
    <w:rsid w:val="00E42EA5"/>
    <w:rsid w:val="00E43304"/>
    <w:rsid w:val="00E438E6"/>
    <w:rsid w:val="00E438F3"/>
    <w:rsid w:val="00E44965"/>
    <w:rsid w:val="00E450B4"/>
    <w:rsid w:val="00E453CE"/>
    <w:rsid w:val="00E459FB"/>
    <w:rsid w:val="00E45B96"/>
    <w:rsid w:val="00E46AB0"/>
    <w:rsid w:val="00E46C52"/>
    <w:rsid w:val="00E50C77"/>
    <w:rsid w:val="00E51175"/>
    <w:rsid w:val="00E511F4"/>
    <w:rsid w:val="00E51B22"/>
    <w:rsid w:val="00E51E83"/>
    <w:rsid w:val="00E526B3"/>
    <w:rsid w:val="00E52866"/>
    <w:rsid w:val="00E533D2"/>
    <w:rsid w:val="00E54903"/>
    <w:rsid w:val="00E549EF"/>
    <w:rsid w:val="00E55AEF"/>
    <w:rsid w:val="00E56380"/>
    <w:rsid w:val="00E56B6E"/>
    <w:rsid w:val="00E570D1"/>
    <w:rsid w:val="00E570EF"/>
    <w:rsid w:val="00E57C6D"/>
    <w:rsid w:val="00E57EF0"/>
    <w:rsid w:val="00E6022A"/>
    <w:rsid w:val="00E6071D"/>
    <w:rsid w:val="00E60D8F"/>
    <w:rsid w:val="00E6129B"/>
    <w:rsid w:val="00E61DBD"/>
    <w:rsid w:val="00E62340"/>
    <w:rsid w:val="00E624CF"/>
    <w:rsid w:val="00E62A8D"/>
    <w:rsid w:val="00E631F1"/>
    <w:rsid w:val="00E6483E"/>
    <w:rsid w:val="00E64935"/>
    <w:rsid w:val="00E649CF"/>
    <w:rsid w:val="00E65FDA"/>
    <w:rsid w:val="00E66012"/>
    <w:rsid w:val="00E6674B"/>
    <w:rsid w:val="00E66DFA"/>
    <w:rsid w:val="00E67ABB"/>
    <w:rsid w:val="00E67DBD"/>
    <w:rsid w:val="00E706F5"/>
    <w:rsid w:val="00E70B44"/>
    <w:rsid w:val="00E70CBE"/>
    <w:rsid w:val="00E70EB0"/>
    <w:rsid w:val="00E715C8"/>
    <w:rsid w:val="00E7186D"/>
    <w:rsid w:val="00E7188F"/>
    <w:rsid w:val="00E71CF9"/>
    <w:rsid w:val="00E7213A"/>
    <w:rsid w:val="00E722F2"/>
    <w:rsid w:val="00E72ED2"/>
    <w:rsid w:val="00E73278"/>
    <w:rsid w:val="00E73483"/>
    <w:rsid w:val="00E74414"/>
    <w:rsid w:val="00E74D75"/>
    <w:rsid w:val="00E74E71"/>
    <w:rsid w:val="00E755A5"/>
    <w:rsid w:val="00E75A40"/>
    <w:rsid w:val="00E75C94"/>
    <w:rsid w:val="00E7633C"/>
    <w:rsid w:val="00E763FD"/>
    <w:rsid w:val="00E76D49"/>
    <w:rsid w:val="00E77189"/>
    <w:rsid w:val="00E775CA"/>
    <w:rsid w:val="00E816A8"/>
    <w:rsid w:val="00E81CD2"/>
    <w:rsid w:val="00E8215F"/>
    <w:rsid w:val="00E822A2"/>
    <w:rsid w:val="00E824C6"/>
    <w:rsid w:val="00E82DBA"/>
    <w:rsid w:val="00E832FE"/>
    <w:rsid w:val="00E835A3"/>
    <w:rsid w:val="00E8365F"/>
    <w:rsid w:val="00E83A74"/>
    <w:rsid w:val="00E83B08"/>
    <w:rsid w:val="00E83C0E"/>
    <w:rsid w:val="00E83F85"/>
    <w:rsid w:val="00E840D3"/>
    <w:rsid w:val="00E8425C"/>
    <w:rsid w:val="00E848E0"/>
    <w:rsid w:val="00E84D89"/>
    <w:rsid w:val="00E850B1"/>
    <w:rsid w:val="00E85ABA"/>
    <w:rsid w:val="00E85BFF"/>
    <w:rsid w:val="00E86973"/>
    <w:rsid w:val="00E86F92"/>
    <w:rsid w:val="00E870CA"/>
    <w:rsid w:val="00E874F4"/>
    <w:rsid w:val="00E878B5"/>
    <w:rsid w:val="00E87AC4"/>
    <w:rsid w:val="00E9006D"/>
    <w:rsid w:val="00E90635"/>
    <w:rsid w:val="00E9092D"/>
    <w:rsid w:val="00E90A7B"/>
    <w:rsid w:val="00E90BAF"/>
    <w:rsid w:val="00E91142"/>
    <w:rsid w:val="00E911E3"/>
    <w:rsid w:val="00E913F6"/>
    <w:rsid w:val="00E91A58"/>
    <w:rsid w:val="00E924D9"/>
    <w:rsid w:val="00E92E5B"/>
    <w:rsid w:val="00E92FD2"/>
    <w:rsid w:val="00E93011"/>
    <w:rsid w:val="00E93443"/>
    <w:rsid w:val="00E93459"/>
    <w:rsid w:val="00E934D5"/>
    <w:rsid w:val="00E94A1E"/>
    <w:rsid w:val="00E951B1"/>
    <w:rsid w:val="00E95269"/>
    <w:rsid w:val="00E95592"/>
    <w:rsid w:val="00E95B7D"/>
    <w:rsid w:val="00E961A0"/>
    <w:rsid w:val="00E963F4"/>
    <w:rsid w:val="00E96D28"/>
    <w:rsid w:val="00E97B69"/>
    <w:rsid w:val="00E97E6D"/>
    <w:rsid w:val="00EA0322"/>
    <w:rsid w:val="00EA146A"/>
    <w:rsid w:val="00EA2312"/>
    <w:rsid w:val="00EA26BB"/>
    <w:rsid w:val="00EA26E8"/>
    <w:rsid w:val="00EA2974"/>
    <w:rsid w:val="00EA343C"/>
    <w:rsid w:val="00EA530F"/>
    <w:rsid w:val="00EA587E"/>
    <w:rsid w:val="00EA7469"/>
    <w:rsid w:val="00EA7918"/>
    <w:rsid w:val="00EB03C1"/>
    <w:rsid w:val="00EB1902"/>
    <w:rsid w:val="00EB1F7E"/>
    <w:rsid w:val="00EB2051"/>
    <w:rsid w:val="00EB2765"/>
    <w:rsid w:val="00EB27EE"/>
    <w:rsid w:val="00EB3103"/>
    <w:rsid w:val="00EB3AEC"/>
    <w:rsid w:val="00EB4291"/>
    <w:rsid w:val="00EB44C6"/>
    <w:rsid w:val="00EB4B59"/>
    <w:rsid w:val="00EB528D"/>
    <w:rsid w:val="00EB71CB"/>
    <w:rsid w:val="00EB74B4"/>
    <w:rsid w:val="00EC00A8"/>
    <w:rsid w:val="00EC0562"/>
    <w:rsid w:val="00EC0609"/>
    <w:rsid w:val="00EC06C4"/>
    <w:rsid w:val="00EC1155"/>
    <w:rsid w:val="00EC13C0"/>
    <w:rsid w:val="00EC1BAA"/>
    <w:rsid w:val="00EC271D"/>
    <w:rsid w:val="00EC3289"/>
    <w:rsid w:val="00EC410C"/>
    <w:rsid w:val="00EC4576"/>
    <w:rsid w:val="00EC46B0"/>
    <w:rsid w:val="00EC4D65"/>
    <w:rsid w:val="00EC4EE8"/>
    <w:rsid w:val="00EC5620"/>
    <w:rsid w:val="00EC6EB3"/>
    <w:rsid w:val="00EC7C72"/>
    <w:rsid w:val="00ED0832"/>
    <w:rsid w:val="00ED09E2"/>
    <w:rsid w:val="00ED0F3D"/>
    <w:rsid w:val="00ED126C"/>
    <w:rsid w:val="00ED15C1"/>
    <w:rsid w:val="00ED1D19"/>
    <w:rsid w:val="00ED1E94"/>
    <w:rsid w:val="00ED2358"/>
    <w:rsid w:val="00ED2B41"/>
    <w:rsid w:val="00ED3100"/>
    <w:rsid w:val="00ED31D2"/>
    <w:rsid w:val="00ED4053"/>
    <w:rsid w:val="00ED4D0F"/>
    <w:rsid w:val="00ED4E17"/>
    <w:rsid w:val="00ED5870"/>
    <w:rsid w:val="00ED5B70"/>
    <w:rsid w:val="00ED5B84"/>
    <w:rsid w:val="00ED5EBC"/>
    <w:rsid w:val="00ED6350"/>
    <w:rsid w:val="00ED666C"/>
    <w:rsid w:val="00ED7D8F"/>
    <w:rsid w:val="00EE005D"/>
    <w:rsid w:val="00EE017D"/>
    <w:rsid w:val="00EE0BD4"/>
    <w:rsid w:val="00EE1010"/>
    <w:rsid w:val="00EE1A27"/>
    <w:rsid w:val="00EE1E55"/>
    <w:rsid w:val="00EE20A8"/>
    <w:rsid w:val="00EE2114"/>
    <w:rsid w:val="00EE42D1"/>
    <w:rsid w:val="00EE45DD"/>
    <w:rsid w:val="00EE5A59"/>
    <w:rsid w:val="00EE6A16"/>
    <w:rsid w:val="00EE74B7"/>
    <w:rsid w:val="00EE755D"/>
    <w:rsid w:val="00EE7A6F"/>
    <w:rsid w:val="00EF08DB"/>
    <w:rsid w:val="00EF0A4B"/>
    <w:rsid w:val="00EF0EDB"/>
    <w:rsid w:val="00EF11B2"/>
    <w:rsid w:val="00EF2002"/>
    <w:rsid w:val="00EF26D6"/>
    <w:rsid w:val="00EF34E4"/>
    <w:rsid w:val="00EF374B"/>
    <w:rsid w:val="00EF39C3"/>
    <w:rsid w:val="00EF3C7D"/>
    <w:rsid w:val="00EF484E"/>
    <w:rsid w:val="00EF4CB6"/>
    <w:rsid w:val="00EF4DE9"/>
    <w:rsid w:val="00EF5E78"/>
    <w:rsid w:val="00EF6559"/>
    <w:rsid w:val="00EF6B3C"/>
    <w:rsid w:val="00EF7869"/>
    <w:rsid w:val="00EF7E08"/>
    <w:rsid w:val="00F01092"/>
    <w:rsid w:val="00F0138E"/>
    <w:rsid w:val="00F01EDE"/>
    <w:rsid w:val="00F02959"/>
    <w:rsid w:val="00F02E03"/>
    <w:rsid w:val="00F03B98"/>
    <w:rsid w:val="00F03DA0"/>
    <w:rsid w:val="00F04193"/>
    <w:rsid w:val="00F047E4"/>
    <w:rsid w:val="00F04880"/>
    <w:rsid w:val="00F04E7E"/>
    <w:rsid w:val="00F05099"/>
    <w:rsid w:val="00F051FE"/>
    <w:rsid w:val="00F0580C"/>
    <w:rsid w:val="00F0589D"/>
    <w:rsid w:val="00F062DE"/>
    <w:rsid w:val="00F06E66"/>
    <w:rsid w:val="00F06F9D"/>
    <w:rsid w:val="00F07098"/>
    <w:rsid w:val="00F10096"/>
    <w:rsid w:val="00F1018C"/>
    <w:rsid w:val="00F11557"/>
    <w:rsid w:val="00F117A2"/>
    <w:rsid w:val="00F12140"/>
    <w:rsid w:val="00F1380D"/>
    <w:rsid w:val="00F13848"/>
    <w:rsid w:val="00F13CEB"/>
    <w:rsid w:val="00F151A1"/>
    <w:rsid w:val="00F155D4"/>
    <w:rsid w:val="00F1562E"/>
    <w:rsid w:val="00F15635"/>
    <w:rsid w:val="00F1599F"/>
    <w:rsid w:val="00F162D0"/>
    <w:rsid w:val="00F16996"/>
    <w:rsid w:val="00F16C91"/>
    <w:rsid w:val="00F1720F"/>
    <w:rsid w:val="00F17A00"/>
    <w:rsid w:val="00F17A69"/>
    <w:rsid w:val="00F17AB9"/>
    <w:rsid w:val="00F17E92"/>
    <w:rsid w:val="00F20792"/>
    <w:rsid w:val="00F20CE9"/>
    <w:rsid w:val="00F20D10"/>
    <w:rsid w:val="00F219FB"/>
    <w:rsid w:val="00F229E0"/>
    <w:rsid w:val="00F22E0C"/>
    <w:rsid w:val="00F24077"/>
    <w:rsid w:val="00F241DA"/>
    <w:rsid w:val="00F24590"/>
    <w:rsid w:val="00F24DC3"/>
    <w:rsid w:val="00F255CF"/>
    <w:rsid w:val="00F25CAA"/>
    <w:rsid w:val="00F266A3"/>
    <w:rsid w:val="00F269CF"/>
    <w:rsid w:val="00F26DB1"/>
    <w:rsid w:val="00F274B8"/>
    <w:rsid w:val="00F276AC"/>
    <w:rsid w:val="00F277D5"/>
    <w:rsid w:val="00F279EA"/>
    <w:rsid w:val="00F30445"/>
    <w:rsid w:val="00F30447"/>
    <w:rsid w:val="00F310D8"/>
    <w:rsid w:val="00F31789"/>
    <w:rsid w:val="00F32169"/>
    <w:rsid w:val="00F32270"/>
    <w:rsid w:val="00F3269A"/>
    <w:rsid w:val="00F328D0"/>
    <w:rsid w:val="00F32E07"/>
    <w:rsid w:val="00F33778"/>
    <w:rsid w:val="00F33FC4"/>
    <w:rsid w:val="00F345FA"/>
    <w:rsid w:val="00F36021"/>
    <w:rsid w:val="00F36B42"/>
    <w:rsid w:val="00F37325"/>
    <w:rsid w:val="00F37FD1"/>
    <w:rsid w:val="00F41019"/>
    <w:rsid w:val="00F412D5"/>
    <w:rsid w:val="00F415E1"/>
    <w:rsid w:val="00F41648"/>
    <w:rsid w:val="00F4239C"/>
    <w:rsid w:val="00F426D5"/>
    <w:rsid w:val="00F42EE0"/>
    <w:rsid w:val="00F4303C"/>
    <w:rsid w:val="00F432B4"/>
    <w:rsid w:val="00F43BC9"/>
    <w:rsid w:val="00F446D1"/>
    <w:rsid w:val="00F44EAE"/>
    <w:rsid w:val="00F45028"/>
    <w:rsid w:val="00F45134"/>
    <w:rsid w:val="00F453A4"/>
    <w:rsid w:val="00F45E79"/>
    <w:rsid w:val="00F46505"/>
    <w:rsid w:val="00F46D68"/>
    <w:rsid w:val="00F46D97"/>
    <w:rsid w:val="00F47B4F"/>
    <w:rsid w:val="00F5041C"/>
    <w:rsid w:val="00F50595"/>
    <w:rsid w:val="00F50D37"/>
    <w:rsid w:val="00F5192C"/>
    <w:rsid w:val="00F51A93"/>
    <w:rsid w:val="00F51AA0"/>
    <w:rsid w:val="00F52990"/>
    <w:rsid w:val="00F52A85"/>
    <w:rsid w:val="00F53131"/>
    <w:rsid w:val="00F53298"/>
    <w:rsid w:val="00F53309"/>
    <w:rsid w:val="00F5350E"/>
    <w:rsid w:val="00F5397F"/>
    <w:rsid w:val="00F539E9"/>
    <w:rsid w:val="00F53DAD"/>
    <w:rsid w:val="00F53E4D"/>
    <w:rsid w:val="00F54012"/>
    <w:rsid w:val="00F540B0"/>
    <w:rsid w:val="00F54304"/>
    <w:rsid w:val="00F557B6"/>
    <w:rsid w:val="00F55BDB"/>
    <w:rsid w:val="00F5636B"/>
    <w:rsid w:val="00F56578"/>
    <w:rsid w:val="00F56E2B"/>
    <w:rsid w:val="00F56EED"/>
    <w:rsid w:val="00F57289"/>
    <w:rsid w:val="00F57709"/>
    <w:rsid w:val="00F579A9"/>
    <w:rsid w:val="00F57AB4"/>
    <w:rsid w:val="00F60402"/>
    <w:rsid w:val="00F6113A"/>
    <w:rsid w:val="00F61ADC"/>
    <w:rsid w:val="00F61FA7"/>
    <w:rsid w:val="00F627A3"/>
    <w:rsid w:val="00F62818"/>
    <w:rsid w:val="00F62E92"/>
    <w:rsid w:val="00F62F6C"/>
    <w:rsid w:val="00F632EE"/>
    <w:rsid w:val="00F63530"/>
    <w:rsid w:val="00F6429F"/>
    <w:rsid w:val="00F64551"/>
    <w:rsid w:val="00F646E0"/>
    <w:rsid w:val="00F658C3"/>
    <w:rsid w:val="00F65BEC"/>
    <w:rsid w:val="00F668CE"/>
    <w:rsid w:val="00F66947"/>
    <w:rsid w:val="00F6727D"/>
    <w:rsid w:val="00F67AC5"/>
    <w:rsid w:val="00F67E3E"/>
    <w:rsid w:val="00F70634"/>
    <w:rsid w:val="00F70845"/>
    <w:rsid w:val="00F70C9F"/>
    <w:rsid w:val="00F70D76"/>
    <w:rsid w:val="00F71854"/>
    <w:rsid w:val="00F71D13"/>
    <w:rsid w:val="00F73679"/>
    <w:rsid w:val="00F736F4"/>
    <w:rsid w:val="00F74D01"/>
    <w:rsid w:val="00F75747"/>
    <w:rsid w:val="00F757DF"/>
    <w:rsid w:val="00F7662D"/>
    <w:rsid w:val="00F76D02"/>
    <w:rsid w:val="00F774FA"/>
    <w:rsid w:val="00F77C32"/>
    <w:rsid w:val="00F77F05"/>
    <w:rsid w:val="00F8014C"/>
    <w:rsid w:val="00F808FF"/>
    <w:rsid w:val="00F81179"/>
    <w:rsid w:val="00F818A5"/>
    <w:rsid w:val="00F81A31"/>
    <w:rsid w:val="00F81EA1"/>
    <w:rsid w:val="00F826DA"/>
    <w:rsid w:val="00F827CA"/>
    <w:rsid w:val="00F82E3C"/>
    <w:rsid w:val="00F82F43"/>
    <w:rsid w:val="00F830CF"/>
    <w:rsid w:val="00F83E72"/>
    <w:rsid w:val="00F83F23"/>
    <w:rsid w:val="00F841E0"/>
    <w:rsid w:val="00F8467D"/>
    <w:rsid w:val="00F84961"/>
    <w:rsid w:val="00F850F9"/>
    <w:rsid w:val="00F855EC"/>
    <w:rsid w:val="00F85629"/>
    <w:rsid w:val="00F85E26"/>
    <w:rsid w:val="00F8605E"/>
    <w:rsid w:val="00F863E3"/>
    <w:rsid w:val="00F864F6"/>
    <w:rsid w:val="00F867CC"/>
    <w:rsid w:val="00F86CAA"/>
    <w:rsid w:val="00F86FB9"/>
    <w:rsid w:val="00F87BEC"/>
    <w:rsid w:val="00F87D98"/>
    <w:rsid w:val="00F90432"/>
    <w:rsid w:val="00F907EF"/>
    <w:rsid w:val="00F908F5"/>
    <w:rsid w:val="00F91431"/>
    <w:rsid w:val="00F91D2D"/>
    <w:rsid w:val="00F91E70"/>
    <w:rsid w:val="00F928D6"/>
    <w:rsid w:val="00F92D5E"/>
    <w:rsid w:val="00F934D9"/>
    <w:rsid w:val="00F93998"/>
    <w:rsid w:val="00F93D9E"/>
    <w:rsid w:val="00F94538"/>
    <w:rsid w:val="00F958DA"/>
    <w:rsid w:val="00FA0399"/>
    <w:rsid w:val="00FA08DA"/>
    <w:rsid w:val="00FA10C3"/>
    <w:rsid w:val="00FA1BCA"/>
    <w:rsid w:val="00FA1D54"/>
    <w:rsid w:val="00FA2CCB"/>
    <w:rsid w:val="00FA3BE7"/>
    <w:rsid w:val="00FA49C5"/>
    <w:rsid w:val="00FA50CA"/>
    <w:rsid w:val="00FA63E4"/>
    <w:rsid w:val="00FA6A81"/>
    <w:rsid w:val="00FA708A"/>
    <w:rsid w:val="00FA70DE"/>
    <w:rsid w:val="00FB00B7"/>
    <w:rsid w:val="00FB06A9"/>
    <w:rsid w:val="00FB0778"/>
    <w:rsid w:val="00FB18B0"/>
    <w:rsid w:val="00FB1D3F"/>
    <w:rsid w:val="00FB23EA"/>
    <w:rsid w:val="00FB2694"/>
    <w:rsid w:val="00FB3181"/>
    <w:rsid w:val="00FB37A2"/>
    <w:rsid w:val="00FB474C"/>
    <w:rsid w:val="00FB4BA9"/>
    <w:rsid w:val="00FB570D"/>
    <w:rsid w:val="00FB58F9"/>
    <w:rsid w:val="00FB6273"/>
    <w:rsid w:val="00FB671A"/>
    <w:rsid w:val="00FB6B94"/>
    <w:rsid w:val="00FB6E31"/>
    <w:rsid w:val="00FC068F"/>
    <w:rsid w:val="00FC1160"/>
    <w:rsid w:val="00FC1DCC"/>
    <w:rsid w:val="00FC203B"/>
    <w:rsid w:val="00FC2B4F"/>
    <w:rsid w:val="00FC2EC5"/>
    <w:rsid w:val="00FC39A3"/>
    <w:rsid w:val="00FC3BB6"/>
    <w:rsid w:val="00FC3FAD"/>
    <w:rsid w:val="00FC4BFF"/>
    <w:rsid w:val="00FC555D"/>
    <w:rsid w:val="00FC59C4"/>
    <w:rsid w:val="00FC639F"/>
    <w:rsid w:val="00FC6886"/>
    <w:rsid w:val="00FC6AFB"/>
    <w:rsid w:val="00FC7028"/>
    <w:rsid w:val="00FC7204"/>
    <w:rsid w:val="00FC772F"/>
    <w:rsid w:val="00FC79DF"/>
    <w:rsid w:val="00FC7CFA"/>
    <w:rsid w:val="00FC7DD0"/>
    <w:rsid w:val="00FD00E6"/>
    <w:rsid w:val="00FD048D"/>
    <w:rsid w:val="00FD0961"/>
    <w:rsid w:val="00FD0A88"/>
    <w:rsid w:val="00FD14B2"/>
    <w:rsid w:val="00FD1DB3"/>
    <w:rsid w:val="00FD216C"/>
    <w:rsid w:val="00FD2401"/>
    <w:rsid w:val="00FD408C"/>
    <w:rsid w:val="00FD481E"/>
    <w:rsid w:val="00FD535F"/>
    <w:rsid w:val="00FD57A5"/>
    <w:rsid w:val="00FD6310"/>
    <w:rsid w:val="00FD78C1"/>
    <w:rsid w:val="00FE000E"/>
    <w:rsid w:val="00FE01C0"/>
    <w:rsid w:val="00FE026D"/>
    <w:rsid w:val="00FE04A5"/>
    <w:rsid w:val="00FE1B21"/>
    <w:rsid w:val="00FE1D43"/>
    <w:rsid w:val="00FE1DFF"/>
    <w:rsid w:val="00FE237D"/>
    <w:rsid w:val="00FE25AB"/>
    <w:rsid w:val="00FE273D"/>
    <w:rsid w:val="00FE2D4C"/>
    <w:rsid w:val="00FE2F3D"/>
    <w:rsid w:val="00FE30B8"/>
    <w:rsid w:val="00FE30D0"/>
    <w:rsid w:val="00FE322B"/>
    <w:rsid w:val="00FE413F"/>
    <w:rsid w:val="00FE41AD"/>
    <w:rsid w:val="00FE45CD"/>
    <w:rsid w:val="00FE4A62"/>
    <w:rsid w:val="00FE5D1D"/>
    <w:rsid w:val="00FE61A1"/>
    <w:rsid w:val="00FE701C"/>
    <w:rsid w:val="00FF02DE"/>
    <w:rsid w:val="00FF08DD"/>
    <w:rsid w:val="00FF0B0D"/>
    <w:rsid w:val="00FF1B63"/>
    <w:rsid w:val="00FF2233"/>
    <w:rsid w:val="00FF2917"/>
    <w:rsid w:val="00FF2E5A"/>
    <w:rsid w:val="00FF39A2"/>
    <w:rsid w:val="00FF4E6B"/>
    <w:rsid w:val="00FF5085"/>
    <w:rsid w:val="00FF516E"/>
    <w:rsid w:val="00FF6411"/>
    <w:rsid w:val="00FF69DD"/>
    <w:rsid w:val="00FF6F08"/>
    <w:rsid w:val="00FF7351"/>
    <w:rsid w:val="00FF77D9"/>
    <w:rsid w:val="0134B0D5"/>
    <w:rsid w:val="0181C0FA"/>
    <w:rsid w:val="019ECB34"/>
    <w:rsid w:val="01D11E3B"/>
    <w:rsid w:val="01D2DD81"/>
    <w:rsid w:val="021B0F8D"/>
    <w:rsid w:val="0234E2F2"/>
    <w:rsid w:val="029F9CD1"/>
    <w:rsid w:val="02E6B628"/>
    <w:rsid w:val="02FD8945"/>
    <w:rsid w:val="031C8A52"/>
    <w:rsid w:val="03BD7A42"/>
    <w:rsid w:val="03D69D8C"/>
    <w:rsid w:val="03EB635B"/>
    <w:rsid w:val="03EDBD52"/>
    <w:rsid w:val="043AEB47"/>
    <w:rsid w:val="04E649A6"/>
    <w:rsid w:val="04F86BC7"/>
    <w:rsid w:val="0529D278"/>
    <w:rsid w:val="0538EB2F"/>
    <w:rsid w:val="053E2AB2"/>
    <w:rsid w:val="057C9200"/>
    <w:rsid w:val="0591B9C2"/>
    <w:rsid w:val="0598C0EC"/>
    <w:rsid w:val="05A01BBC"/>
    <w:rsid w:val="0604C28E"/>
    <w:rsid w:val="064D7ADB"/>
    <w:rsid w:val="0657A565"/>
    <w:rsid w:val="0661FB2E"/>
    <w:rsid w:val="06657911"/>
    <w:rsid w:val="06CA7801"/>
    <w:rsid w:val="06D18876"/>
    <w:rsid w:val="06EFA2F4"/>
    <w:rsid w:val="071FD5CC"/>
    <w:rsid w:val="07D25B01"/>
    <w:rsid w:val="08090361"/>
    <w:rsid w:val="0846150A"/>
    <w:rsid w:val="0860E51B"/>
    <w:rsid w:val="08ECF112"/>
    <w:rsid w:val="0907084D"/>
    <w:rsid w:val="0937ECFD"/>
    <w:rsid w:val="095C0B97"/>
    <w:rsid w:val="09687485"/>
    <w:rsid w:val="0ADA029A"/>
    <w:rsid w:val="0B07C817"/>
    <w:rsid w:val="0B5F0605"/>
    <w:rsid w:val="0B83E4FA"/>
    <w:rsid w:val="0B96B5FF"/>
    <w:rsid w:val="0BEEA12D"/>
    <w:rsid w:val="0BFCC988"/>
    <w:rsid w:val="0C0E02FE"/>
    <w:rsid w:val="0C2A27B6"/>
    <w:rsid w:val="0C3B1D63"/>
    <w:rsid w:val="0C4CF7C3"/>
    <w:rsid w:val="0C4E9994"/>
    <w:rsid w:val="0CE39BD0"/>
    <w:rsid w:val="0D0B6C8A"/>
    <w:rsid w:val="0D1904BE"/>
    <w:rsid w:val="0D51285C"/>
    <w:rsid w:val="0D53B447"/>
    <w:rsid w:val="0D9B2BDC"/>
    <w:rsid w:val="0E1F7434"/>
    <w:rsid w:val="0E25B9FE"/>
    <w:rsid w:val="0E4142DC"/>
    <w:rsid w:val="0E65677C"/>
    <w:rsid w:val="0E6F8416"/>
    <w:rsid w:val="0E7904AA"/>
    <w:rsid w:val="0EBD00A2"/>
    <w:rsid w:val="0ED12926"/>
    <w:rsid w:val="0F7DE336"/>
    <w:rsid w:val="103BD15C"/>
    <w:rsid w:val="106334C1"/>
    <w:rsid w:val="11093F24"/>
    <w:rsid w:val="1127FE21"/>
    <w:rsid w:val="1133AAF7"/>
    <w:rsid w:val="1159AF46"/>
    <w:rsid w:val="115F7DBB"/>
    <w:rsid w:val="117F55DE"/>
    <w:rsid w:val="11A839B1"/>
    <w:rsid w:val="11C627A6"/>
    <w:rsid w:val="11C859A2"/>
    <w:rsid w:val="11DE3E0E"/>
    <w:rsid w:val="123D5121"/>
    <w:rsid w:val="125B2D15"/>
    <w:rsid w:val="125FA3C3"/>
    <w:rsid w:val="126E4D88"/>
    <w:rsid w:val="127010C8"/>
    <w:rsid w:val="12992699"/>
    <w:rsid w:val="12D89BAD"/>
    <w:rsid w:val="136F4F8E"/>
    <w:rsid w:val="1389F79F"/>
    <w:rsid w:val="13921900"/>
    <w:rsid w:val="13971650"/>
    <w:rsid w:val="13B102E0"/>
    <w:rsid w:val="13B5A169"/>
    <w:rsid w:val="13C9C902"/>
    <w:rsid w:val="13D55EA4"/>
    <w:rsid w:val="13DDB86B"/>
    <w:rsid w:val="1400D5C3"/>
    <w:rsid w:val="1441FC81"/>
    <w:rsid w:val="14C30E70"/>
    <w:rsid w:val="14DA277B"/>
    <w:rsid w:val="151D78EE"/>
    <w:rsid w:val="153F5355"/>
    <w:rsid w:val="1564F60F"/>
    <w:rsid w:val="16B262BE"/>
    <w:rsid w:val="16BEEB32"/>
    <w:rsid w:val="16D8F17D"/>
    <w:rsid w:val="16E5EB51"/>
    <w:rsid w:val="16EFB66C"/>
    <w:rsid w:val="175B951D"/>
    <w:rsid w:val="1789ECEE"/>
    <w:rsid w:val="17B76C9F"/>
    <w:rsid w:val="17C41D92"/>
    <w:rsid w:val="186910C4"/>
    <w:rsid w:val="18B9BA06"/>
    <w:rsid w:val="18BA432D"/>
    <w:rsid w:val="18EF1FE1"/>
    <w:rsid w:val="199A9A80"/>
    <w:rsid w:val="19BE1080"/>
    <w:rsid w:val="19D5F49C"/>
    <w:rsid w:val="19EBDE5E"/>
    <w:rsid w:val="19F25CF7"/>
    <w:rsid w:val="19F5628C"/>
    <w:rsid w:val="1A40CFCF"/>
    <w:rsid w:val="1A6C37B1"/>
    <w:rsid w:val="1AD8928D"/>
    <w:rsid w:val="1B298A12"/>
    <w:rsid w:val="1B5C357A"/>
    <w:rsid w:val="1BBADCF4"/>
    <w:rsid w:val="1BC47DC6"/>
    <w:rsid w:val="1BD15FF4"/>
    <w:rsid w:val="1C0415BD"/>
    <w:rsid w:val="1CE08DC9"/>
    <w:rsid w:val="1CE12162"/>
    <w:rsid w:val="1D9A5E5C"/>
    <w:rsid w:val="1F178DAC"/>
    <w:rsid w:val="1F93425C"/>
    <w:rsid w:val="1FA30972"/>
    <w:rsid w:val="1FD0C12F"/>
    <w:rsid w:val="1FE7D6FC"/>
    <w:rsid w:val="1FF68E9B"/>
    <w:rsid w:val="2020902C"/>
    <w:rsid w:val="20213C02"/>
    <w:rsid w:val="2057A8EC"/>
    <w:rsid w:val="20A5AE42"/>
    <w:rsid w:val="20EDB872"/>
    <w:rsid w:val="2235BA28"/>
    <w:rsid w:val="2258F3F8"/>
    <w:rsid w:val="225A1AF5"/>
    <w:rsid w:val="2264C3AE"/>
    <w:rsid w:val="229DCE33"/>
    <w:rsid w:val="22C267D5"/>
    <w:rsid w:val="22F89182"/>
    <w:rsid w:val="2314038F"/>
    <w:rsid w:val="241E300D"/>
    <w:rsid w:val="2434E49D"/>
    <w:rsid w:val="2435341D"/>
    <w:rsid w:val="244288C0"/>
    <w:rsid w:val="246EEAF0"/>
    <w:rsid w:val="24A517E1"/>
    <w:rsid w:val="24AFD79A"/>
    <w:rsid w:val="2520A1A7"/>
    <w:rsid w:val="2543A184"/>
    <w:rsid w:val="254F2F96"/>
    <w:rsid w:val="25712776"/>
    <w:rsid w:val="25BBE919"/>
    <w:rsid w:val="25E3CA79"/>
    <w:rsid w:val="261E7387"/>
    <w:rsid w:val="26956EED"/>
    <w:rsid w:val="275AAB38"/>
    <w:rsid w:val="27724AED"/>
    <w:rsid w:val="27EC243A"/>
    <w:rsid w:val="281DE4A8"/>
    <w:rsid w:val="2866DE0B"/>
    <w:rsid w:val="28827A60"/>
    <w:rsid w:val="28ADC592"/>
    <w:rsid w:val="292FB449"/>
    <w:rsid w:val="29A07554"/>
    <w:rsid w:val="29B95AD0"/>
    <w:rsid w:val="29D64EE0"/>
    <w:rsid w:val="29E0F8D9"/>
    <w:rsid w:val="29EACE71"/>
    <w:rsid w:val="2A22DF9C"/>
    <w:rsid w:val="2A5A08DE"/>
    <w:rsid w:val="2A655774"/>
    <w:rsid w:val="2AB1573F"/>
    <w:rsid w:val="2B060904"/>
    <w:rsid w:val="2B1D25DF"/>
    <w:rsid w:val="2BC3627B"/>
    <w:rsid w:val="2BC3C4E9"/>
    <w:rsid w:val="2C028C19"/>
    <w:rsid w:val="2C0A7964"/>
    <w:rsid w:val="2C3D8F60"/>
    <w:rsid w:val="2C408456"/>
    <w:rsid w:val="2C982FBE"/>
    <w:rsid w:val="2CB7E050"/>
    <w:rsid w:val="2CD09EAF"/>
    <w:rsid w:val="2CE743A5"/>
    <w:rsid w:val="2D173F65"/>
    <w:rsid w:val="2D19231C"/>
    <w:rsid w:val="2D9BCA5F"/>
    <w:rsid w:val="2DBACDB3"/>
    <w:rsid w:val="2DC8995A"/>
    <w:rsid w:val="2E16D0FE"/>
    <w:rsid w:val="2E1EC94F"/>
    <w:rsid w:val="2E698C01"/>
    <w:rsid w:val="2E94EA01"/>
    <w:rsid w:val="2E99A45E"/>
    <w:rsid w:val="2EBD2CDD"/>
    <w:rsid w:val="2ECFC45C"/>
    <w:rsid w:val="2F0E5504"/>
    <w:rsid w:val="2F4662A0"/>
    <w:rsid w:val="2F5186A9"/>
    <w:rsid w:val="2F9A0FCD"/>
    <w:rsid w:val="2FC9C189"/>
    <w:rsid w:val="2FDD9971"/>
    <w:rsid w:val="300582CE"/>
    <w:rsid w:val="30263BFD"/>
    <w:rsid w:val="303BE96E"/>
    <w:rsid w:val="31087AED"/>
    <w:rsid w:val="317C452F"/>
    <w:rsid w:val="31A1A125"/>
    <w:rsid w:val="31C8EFF1"/>
    <w:rsid w:val="31ED70A2"/>
    <w:rsid w:val="32048F82"/>
    <w:rsid w:val="320F9D41"/>
    <w:rsid w:val="32185BA6"/>
    <w:rsid w:val="3229EB73"/>
    <w:rsid w:val="3289DA17"/>
    <w:rsid w:val="336A620F"/>
    <w:rsid w:val="338011B2"/>
    <w:rsid w:val="33A8B952"/>
    <w:rsid w:val="341FF177"/>
    <w:rsid w:val="3449F468"/>
    <w:rsid w:val="345236EE"/>
    <w:rsid w:val="346F2634"/>
    <w:rsid w:val="34A55CD9"/>
    <w:rsid w:val="34B9D81F"/>
    <w:rsid w:val="34D4CF8C"/>
    <w:rsid w:val="35186A28"/>
    <w:rsid w:val="358FB895"/>
    <w:rsid w:val="35BEDFBE"/>
    <w:rsid w:val="35F94C47"/>
    <w:rsid w:val="36A1FF96"/>
    <w:rsid w:val="36B01DAE"/>
    <w:rsid w:val="3720D8CD"/>
    <w:rsid w:val="3826DE5A"/>
    <w:rsid w:val="3874895C"/>
    <w:rsid w:val="3877BC1A"/>
    <w:rsid w:val="387FD7A1"/>
    <w:rsid w:val="3886226E"/>
    <w:rsid w:val="38C41F2A"/>
    <w:rsid w:val="38D48C39"/>
    <w:rsid w:val="38D55B79"/>
    <w:rsid w:val="38DA3E33"/>
    <w:rsid w:val="38DCEDB2"/>
    <w:rsid w:val="3997E1AF"/>
    <w:rsid w:val="3A3AADD6"/>
    <w:rsid w:val="3A5A8F06"/>
    <w:rsid w:val="3A8EADF7"/>
    <w:rsid w:val="3B386424"/>
    <w:rsid w:val="3B625C82"/>
    <w:rsid w:val="3B7B376D"/>
    <w:rsid w:val="3BD75D31"/>
    <w:rsid w:val="3C09BEDC"/>
    <w:rsid w:val="3C2915CF"/>
    <w:rsid w:val="3C49D765"/>
    <w:rsid w:val="3C77AA41"/>
    <w:rsid w:val="3C9006AE"/>
    <w:rsid w:val="3CC2A73A"/>
    <w:rsid w:val="3D6F5DCA"/>
    <w:rsid w:val="3D9936BE"/>
    <w:rsid w:val="3DEEDC87"/>
    <w:rsid w:val="3E16C4FE"/>
    <w:rsid w:val="3E68DE18"/>
    <w:rsid w:val="3E7F49EB"/>
    <w:rsid w:val="3E8AD62D"/>
    <w:rsid w:val="3EB0DBEF"/>
    <w:rsid w:val="3F8F185A"/>
    <w:rsid w:val="3FAA2248"/>
    <w:rsid w:val="3FF590F5"/>
    <w:rsid w:val="4010ADA4"/>
    <w:rsid w:val="401FF59F"/>
    <w:rsid w:val="4025FC76"/>
    <w:rsid w:val="402B9BB8"/>
    <w:rsid w:val="404A07B1"/>
    <w:rsid w:val="407251BA"/>
    <w:rsid w:val="40EE507A"/>
    <w:rsid w:val="414B24C3"/>
    <w:rsid w:val="41DF7AF4"/>
    <w:rsid w:val="42201CBC"/>
    <w:rsid w:val="42978866"/>
    <w:rsid w:val="42BAB156"/>
    <w:rsid w:val="42C36B4E"/>
    <w:rsid w:val="4307A847"/>
    <w:rsid w:val="4321EC9B"/>
    <w:rsid w:val="438C19C3"/>
    <w:rsid w:val="43CA3981"/>
    <w:rsid w:val="440A79D9"/>
    <w:rsid w:val="443A9D95"/>
    <w:rsid w:val="44893A60"/>
    <w:rsid w:val="4490FCFE"/>
    <w:rsid w:val="456F2708"/>
    <w:rsid w:val="45B7C9B0"/>
    <w:rsid w:val="460CE3C3"/>
    <w:rsid w:val="461ACE30"/>
    <w:rsid w:val="46221FE5"/>
    <w:rsid w:val="468E3ECA"/>
    <w:rsid w:val="4690264E"/>
    <w:rsid w:val="472859B4"/>
    <w:rsid w:val="47EAAF87"/>
    <w:rsid w:val="48EAA97E"/>
    <w:rsid w:val="49F665A7"/>
    <w:rsid w:val="4A17CD85"/>
    <w:rsid w:val="4A452C36"/>
    <w:rsid w:val="4A7B8557"/>
    <w:rsid w:val="4AA01A52"/>
    <w:rsid w:val="4AF828E7"/>
    <w:rsid w:val="4B4B539F"/>
    <w:rsid w:val="4BF3870E"/>
    <w:rsid w:val="4BF76166"/>
    <w:rsid w:val="4C8594AD"/>
    <w:rsid w:val="4C883DFA"/>
    <w:rsid w:val="4CA46B21"/>
    <w:rsid w:val="4CB53F44"/>
    <w:rsid w:val="4CBDDAA5"/>
    <w:rsid w:val="4CDBBAFA"/>
    <w:rsid w:val="4CDD974B"/>
    <w:rsid w:val="4D03C0F1"/>
    <w:rsid w:val="4DCB9083"/>
    <w:rsid w:val="4E0250A2"/>
    <w:rsid w:val="4E244529"/>
    <w:rsid w:val="4E646C60"/>
    <w:rsid w:val="4E8E03EF"/>
    <w:rsid w:val="4E9B77B4"/>
    <w:rsid w:val="4EF1535A"/>
    <w:rsid w:val="4F1824FD"/>
    <w:rsid w:val="4F31FBB4"/>
    <w:rsid w:val="4F3594B7"/>
    <w:rsid w:val="4F3A2502"/>
    <w:rsid w:val="4FF1A2B8"/>
    <w:rsid w:val="50161868"/>
    <w:rsid w:val="50965855"/>
    <w:rsid w:val="5121F639"/>
    <w:rsid w:val="5132B73E"/>
    <w:rsid w:val="5147FCCC"/>
    <w:rsid w:val="5178FDCE"/>
    <w:rsid w:val="51AB2B86"/>
    <w:rsid w:val="51CAF43B"/>
    <w:rsid w:val="51CC00DB"/>
    <w:rsid w:val="51DD02CE"/>
    <w:rsid w:val="52B240F7"/>
    <w:rsid w:val="52E2EF57"/>
    <w:rsid w:val="5303AB56"/>
    <w:rsid w:val="539DAFBA"/>
    <w:rsid w:val="53B25D2F"/>
    <w:rsid w:val="53C4D01D"/>
    <w:rsid w:val="53FEC271"/>
    <w:rsid w:val="54583179"/>
    <w:rsid w:val="5492117F"/>
    <w:rsid w:val="54949628"/>
    <w:rsid w:val="54A88FF5"/>
    <w:rsid w:val="54B0A6AA"/>
    <w:rsid w:val="54F480AD"/>
    <w:rsid w:val="55424D15"/>
    <w:rsid w:val="55B1F124"/>
    <w:rsid w:val="55EC6734"/>
    <w:rsid w:val="560C0026"/>
    <w:rsid w:val="56DB5733"/>
    <w:rsid w:val="576E5FBC"/>
    <w:rsid w:val="576F8AE5"/>
    <w:rsid w:val="577DA5CD"/>
    <w:rsid w:val="57FE7098"/>
    <w:rsid w:val="586C3ACF"/>
    <w:rsid w:val="58D64D6C"/>
    <w:rsid w:val="59645D0C"/>
    <w:rsid w:val="5970A602"/>
    <w:rsid w:val="59723C4C"/>
    <w:rsid w:val="5A0474AB"/>
    <w:rsid w:val="5A5C5E99"/>
    <w:rsid w:val="5A7E123D"/>
    <w:rsid w:val="5AA13809"/>
    <w:rsid w:val="5AC000DD"/>
    <w:rsid w:val="5AD9A278"/>
    <w:rsid w:val="5B1877C0"/>
    <w:rsid w:val="5B1AEFCE"/>
    <w:rsid w:val="5B3BB93A"/>
    <w:rsid w:val="5B43B0B4"/>
    <w:rsid w:val="5B514E87"/>
    <w:rsid w:val="5B6FEECA"/>
    <w:rsid w:val="5B71AACC"/>
    <w:rsid w:val="5B71AF76"/>
    <w:rsid w:val="5BB90EF4"/>
    <w:rsid w:val="5BF158C7"/>
    <w:rsid w:val="5C17CA37"/>
    <w:rsid w:val="5C1EC599"/>
    <w:rsid w:val="5C1F68E0"/>
    <w:rsid w:val="5C3713C1"/>
    <w:rsid w:val="5C97F231"/>
    <w:rsid w:val="5CA7BCF6"/>
    <w:rsid w:val="5CA8D08D"/>
    <w:rsid w:val="5CAE1416"/>
    <w:rsid w:val="5CD11F96"/>
    <w:rsid w:val="5CE06B18"/>
    <w:rsid w:val="5D0BC94D"/>
    <w:rsid w:val="5D348BB3"/>
    <w:rsid w:val="5D799C69"/>
    <w:rsid w:val="5D80E9A0"/>
    <w:rsid w:val="5DB6295F"/>
    <w:rsid w:val="5DF5C53C"/>
    <w:rsid w:val="5E098260"/>
    <w:rsid w:val="5E1F15C6"/>
    <w:rsid w:val="5E38DA31"/>
    <w:rsid w:val="5E48AE6B"/>
    <w:rsid w:val="5E4E29C3"/>
    <w:rsid w:val="5E839ED0"/>
    <w:rsid w:val="5EAC0BA7"/>
    <w:rsid w:val="5EBA130B"/>
    <w:rsid w:val="5EFFA72E"/>
    <w:rsid w:val="5F6B6F0D"/>
    <w:rsid w:val="5F9BFA52"/>
    <w:rsid w:val="5FA0E6DE"/>
    <w:rsid w:val="5FBA1279"/>
    <w:rsid w:val="5FCA271C"/>
    <w:rsid w:val="5FCE1C63"/>
    <w:rsid w:val="5FFF9653"/>
    <w:rsid w:val="60154141"/>
    <w:rsid w:val="6033AF25"/>
    <w:rsid w:val="606571C1"/>
    <w:rsid w:val="6086A844"/>
    <w:rsid w:val="60A30B04"/>
    <w:rsid w:val="60A9697E"/>
    <w:rsid w:val="6104B467"/>
    <w:rsid w:val="610B9BA8"/>
    <w:rsid w:val="612F4790"/>
    <w:rsid w:val="6138E3F3"/>
    <w:rsid w:val="6173AF1D"/>
    <w:rsid w:val="61D566C0"/>
    <w:rsid w:val="61EC4D4B"/>
    <w:rsid w:val="622ECEF6"/>
    <w:rsid w:val="628185F8"/>
    <w:rsid w:val="62AD7BB9"/>
    <w:rsid w:val="62C3DBA9"/>
    <w:rsid w:val="63049EC6"/>
    <w:rsid w:val="6320D684"/>
    <w:rsid w:val="63573930"/>
    <w:rsid w:val="63CF5242"/>
    <w:rsid w:val="64879006"/>
    <w:rsid w:val="64C65A3E"/>
    <w:rsid w:val="64E7F1F0"/>
    <w:rsid w:val="6502FB97"/>
    <w:rsid w:val="652B4BF2"/>
    <w:rsid w:val="655F39BB"/>
    <w:rsid w:val="656B1873"/>
    <w:rsid w:val="65EE76CB"/>
    <w:rsid w:val="65F9A3A5"/>
    <w:rsid w:val="66085806"/>
    <w:rsid w:val="663CD71D"/>
    <w:rsid w:val="66453879"/>
    <w:rsid w:val="6659DEC2"/>
    <w:rsid w:val="668B3885"/>
    <w:rsid w:val="669E813A"/>
    <w:rsid w:val="66A17993"/>
    <w:rsid w:val="66C923ED"/>
    <w:rsid w:val="66F5F3DB"/>
    <w:rsid w:val="66FB0F22"/>
    <w:rsid w:val="6741A290"/>
    <w:rsid w:val="6743876E"/>
    <w:rsid w:val="67552651"/>
    <w:rsid w:val="677B7079"/>
    <w:rsid w:val="67E0C98A"/>
    <w:rsid w:val="6804109A"/>
    <w:rsid w:val="684DA67B"/>
    <w:rsid w:val="6881F63C"/>
    <w:rsid w:val="68980AD9"/>
    <w:rsid w:val="689DEEEB"/>
    <w:rsid w:val="68B45A31"/>
    <w:rsid w:val="692F7236"/>
    <w:rsid w:val="69387633"/>
    <w:rsid w:val="69412A0C"/>
    <w:rsid w:val="6968BB73"/>
    <w:rsid w:val="69837DD5"/>
    <w:rsid w:val="69AEB626"/>
    <w:rsid w:val="69D6BE21"/>
    <w:rsid w:val="69DFA53A"/>
    <w:rsid w:val="6A7F073F"/>
    <w:rsid w:val="6AE92338"/>
    <w:rsid w:val="6AF62E66"/>
    <w:rsid w:val="6BD29B00"/>
    <w:rsid w:val="6BF977B3"/>
    <w:rsid w:val="6C20EE92"/>
    <w:rsid w:val="6C2E9398"/>
    <w:rsid w:val="6CE123DD"/>
    <w:rsid w:val="6CE6A462"/>
    <w:rsid w:val="6D247561"/>
    <w:rsid w:val="6D35C5DC"/>
    <w:rsid w:val="6D55FF87"/>
    <w:rsid w:val="6E199548"/>
    <w:rsid w:val="6E21A52A"/>
    <w:rsid w:val="6E53CF06"/>
    <w:rsid w:val="6F649348"/>
    <w:rsid w:val="6F79F096"/>
    <w:rsid w:val="6F95362F"/>
    <w:rsid w:val="6FA8F02F"/>
    <w:rsid w:val="6FBC225F"/>
    <w:rsid w:val="6FDA7502"/>
    <w:rsid w:val="70006884"/>
    <w:rsid w:val="70147B4D"/>
    <w:rsid w:val="703E1170"/>
    <w:rsid w:val="7044B767"/>
    <w:rsid w:val="70C0F149"/>
    <w:rsid w:val="70C57AD5"/>
    <w:rsid w:val="7116EE90"/>
    <w:rsid w:val="712CF6F5"/>
    <w:rsid w:val="7169127C"/>
    <w:rsid w:val="7180E3D9"/>
    <w:rsid w:val="721D1364"/>
    <w:rsid w:val="722254F9"/>
    <w:rsid w:val="7288AAC6"/>
    <w:rsid w:val="728D926E"/>
    <w:rsid w:val="733023D9"/>
    <w:rsid w:val="736B7A13"/>
    <w:rsid w:val="737B1AAF"/>
    <w:rsid w:val="73CC3A2A"/>
    <w:rsid w:val="73D2BC91"/>
    <w:rsid w:val="74536ACE"/>
    <w:rsid w:val="7464F930"/>
    <w:rsid w:val="746C634E"/>
    <w:rsid w:val="7471C129"/>
    <w:rsid w:val="74BCC37E"/>
    <w:rsid w:val="75266905"/>
    <w:rsid w:val="755649CF"/>
    <w:rsid w:val="75628834"/>
    <w:rsid w:val="758C2E4A"/>
    <w:rsid w:val="758E4395"/>
    <w:rsid w:val="75CBB0BA"/>
    <w:rsid w:val="766F28FF"/>
    <w:rsid w:val="76B7363D"/>
    <w:rsid w:val="76D9D2B9"/>
    <w:rsid w:val="76E3D434"/>
    <w:rsid w:val="77087D09"/>
    <w:rsid w:val="77BA2648"/>
    <w:rsid w:val="785178D4"/>
    <w:rsid w:val="7859E611"/>
    <w:rsid w:val="78655C6A"/>
    <w:rsid w:val="7909A686"/>
    <w:rsid w:val="7922C89B"/>
    <w:rsid w:val="794D1F78"/>
    <w:rsid w:val="79574684"/>
    <w:rsid w:val="7980F695"/>
    <w:rsid w:val="79862E61"/>
    <w:rsid w:val="798E6BA1"/>
    <w:rsid w:val="79C13C1E"/>
    <w:rsid w:val="79F8BF5B"/>
    <w:rsid w:val="7A06C1A4"/>
    <w:rsid w:val="7A0AEC58"/>
    <w:rsid w:val="7A25C068"/>
    <w:rsid w:val="7A3C0953"/>
    <w:rsid w:val="7A68132D"/>
    <w:rsid w:val="7A6D25C6"/>
    <w:rsid w:val="7A770EC0"/>
    <w:rsid w:val="7AB29415"/>
    <w:rsid w:val="7AE24A40"/>
    <w:rsid w:val="7AE2732E"/>
    <w:rsid w:val="7AF42CC8"/>
    <w:rsid w:val="7B90C5B4"/>
    <w:rsid w:val="7BB6D496"/>
    <w:rsid w:val="7BD612D5"/>
    <w:rsid w:val="7BF95A0E"/>
    <w:rsid w:val="7BFCC41A"/>
    <w:rsid w:val="7C61A26F"/>
    <w:rsid w:val="7D25D935"/>
    <w:rsid w:val="7DBD0E21"/>
    <w:rsid w:val="7DC25E53"/>
    <w:rsid w:val="7DC921B3"/>
    <w:rsid w:val="7E2AA963"/>
    <w:rsid w:val="7E33ED56"/>
    <w:rsid w:val="7EE1B739"/>
    <w:rsid w:val="7F0D6818"/>
    <w:rsid w:val="7F4D2ACE"/>
    <w:rsid w:val="7FA5FC1B"/>
    <w:rsid w:val="7FBA4774"/>
    <w:rsid w:val="7FC2698F"/>
    <w:rsid w:val="7FE8D135"/>
  </w:rsids>
  <m:mathPr>
    <m:mathFont m:val="Cambria Math"/>
    <m:brkBin m:val="before"/>
    <m:brkBinSub m:val="--"/>
    <m:smallFrac m:val="0"/>
    <m:dispDef/>
    <m:lMargin m:val="0"/>
    <m:rMargin m:val="0"/>
    <m:defJc m:val="centerGroup"/>
    <m:wrapIndent m:val="1440"/>
    <m:intLim m:val="subSup"/>
    <m:naryLim m:val="undOvr"/>
  </m:mathPr>
  <w:themeFontLang w:val="es-CO"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E8B1B2"/>
  <w15:chartTrackingRefBased/>
  <w15:docId w15:val="{8726494B-AF40-4818-81A9-2E70AF9306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A94DF0"/>
    <w:pPr>
      <w:keepNext/>
      <w:keepLines/>
      <w:numPr>
        <w:numId w:val="2"/>
      </w:numPr>
      <w:spacing w:before="360" w:after="80"/>
      <w:outlineLvl w:val="0"/>
    </w:pPr>
    <w:rPr>
      <w:rFonts w:asciiTheme="majorHAnsi" w:eastAsiaTheme="majorEastAsia" w:hAnsiTheme="majorHAnsi" w:cstheme="majorBidi"/>
      <w:color w:val="2E74B5" w:themeColor="accent1" w:themeShade="BF"/>
      <w:kern w:val="2"/>
      <w:sz w:val="40"/>
      <w:szCs w:val="40"/>
      <w14:ligatures w14:val="standardContextual"/>
    </w:rPr>
  </w:style>
  <w:style w:type="paragraph" w:styleId="Ttulo2">
    <w:name w:val="heading 2"/>
    <w:basedOn w:val="Normal"/>
    <w:next w:val="Normal"/>
    <w:link w:val="Ttulo2Car"/>
    <w:uiPriority w:val="9"/>
    <w:unhideWhenUsed/>
    <w:qFormat/>
    <w:rsid w:val="00A94DF0"/>
    <w:pPr>
      <w:numPr>
        <w:ilvl w:val="1"/>
        <w:numId w:val="2"/>
      </w:numPr>
      <w:spacing w:before="160"/>
      <w:outlineLvl w:val="1"/>
    </w:pPr>
    <w:rPr>
      <w:kern w:val="2"/>
      <w14:ligatures w14:val="standardContextual"/>
    </w:rPr>
  </w:style>
  <w:style w:type="paragraph" w:styleId="Ttulo3">
    <w:name w:val="heading 3"/>
    <w:basedOn w:val="Normal"/>
    <w:next w:val="Normal"/>
    <w:link w:val="Ttulo3Car"/>
    <w:uiPriority w:val="9"/>
    <w:unhideWhenUsed/>
    <w:qFormat/>
    <w:rsid w:val="00A94DF0"/>
    <w:pPr>
      <w:keepNext/>
      <w:keepLines/>
      <w:numPr>
        <w:ilvl w:val="2"/>
        <w:numId w:val="2"/>
      </w:numPr>
      <w:spacing w:before="160" w:after="80"/>
      <w:outlineLvl w:val="2"/>
    </w:pPr>
    <w:rPr>
      <w:rFonts w:eastAsiaTheme="majorEastAsia" w:cstheme="majorBidi"/>
      <w:color w:val="2E74B5" w:themeColor="accent1" w:themeShade="BF"/>
      <w:kern w:val="2"/>
      <w:sz w:val="28"/>
      <w:szCs w:val="28"/>
      <w14:ligatures w14:val="standardContextual"/>
    </w:rPr>
  </w:style>
  <w:style w:type="paragraph" w:styleId="Ttulo4">
    <w:name w:val="heading 4"/>
    <w:basedOn w:val="Normal"/>
    <w:next w:val="Normal"/>
    <w:link w:val="Ttulo4Car"/>
    <w:uiPriority w:val="9"/>
    <w:unhideWhenUsed/>
    <w:qFormat/>
    <w:rsid w:val="00A94DF0"/>
    <w:pPr>
      <w:keepNext/>
      <w:keepLines/>
      <w:numPr>
        <w:ilvl w:val="3"/>
        <w:numId w:val="2"/>
      </w:numPr>
      <w:spacing w:before="80" w:after="40"/>
      <w:outlineLvl w:val="3"/>
    </w:pPr>
    <w:rPr>
      <w:rFonts w:eastAsiaTheme="majorEastAsia" w:cstheme="majorBidi"/>
      <w:i/>
      <w:iCs/>
      <w:color w:val="2E74B5" w:themeColor="accent1" w:themeShade="BF"/>
      <w:kern w:val="2"/>
      <w14:ligatures w14:val="standardContextual"/>
    </w:rPr>
  </w:style>
  <w:style w:type="paragraph" w:styleId="Ttulo5">
    <w:name w:val="heading 5"/>
    <w:basedOn w:val="Normal"/>
    <w:next w:val="Normal"/>
    <w:link w:val="Ttulo5Car"/>
    <w:uiPriority w:val="9"/>
    <w:semiHidden/>
    <w:unhideWhenUsed/>
    <w:qFormat/>
    <w:rsid w:val="00A94DF0"/>
    <w:pPr>
      <w:keepNext/>
      <w:keepLines/>
      <w:numPr>
        <w:ilvl w:val="4"/>
        <w:numId w:val="2"/>
      </w:numPr>
      <w:spacing w:before="80" w:after="40"/>
      <w:outlineLvl w:val="4"/>
    </w:pPr>
    <w:rPr>
      <w:rFonts w:eastAsiaTheme="majorEastAsia" w:cstheme="majorBidi"/>
      <w:color w:val="2E74B5" w:themeColor="accent1" w:themeShade="BF"/>
      <w:kern w:val="2"/>
      <w14:ligatures w14:val="standardContextual"/>
    </w:rPr>
  </w:style>
  <w:style w:type="paragraph" w:styleId="Ttulo6">
    <w:name w:val="heading 6"/>
    <w:basedOn w:val="Normal"/>
    <w:next w:val="Normal"/>
    <w:link w:val="Ttulo6Car"/>
    <w:uiPriority w:val="9"/>
    <w:semiHidden/>
    <w:unhideWhenUsed/>
    <w:qFormat/>
    <w:rsid w:val="00A94DF0"/>
    <w:pPr>
      <w:keepNext/>
      <w:keepLines/>
      <w:numPr>
        <w:ilvl w:val="5"/>
        <w:numId w:val="2"/>
      </w:numPr>
      <w:spacing w:before="40" w:after="0"/>
      <w:outlineLvl w:val="5"/>
    </w:pPr>
    <w:rPr>
      <w:rFonts w:eastAsiaTheme="majorEastAsia" w:cstheme="majorBidi"/>
      <w:i/>
      <w:iCs/>
      <w:color w:val="595959" w:themeColor="text1" w:themeTint="A6"/>
      <w:kern w:val="2"/>
      <w14:ligatures w14:val="standardContextual"/>
    </w:rPr>
  </w:style>
  <w:style w:type="paragraph" w:styleId="Ttulo7">
    <w:name w:val="heading 7"/>
    <w:basedOn w:val="Normal"/>
    <w:next w:val="Normal"/>
    <w:link w:val="Ttulo7Car"/>
    <w:uiPriority w:val="9"/>
    <w:semiHidden/>
    <w:unhideWhenUsed/>
    <w:qFormat/>
    <w:rsid w:val="00A94DF0"/>
    <w:pPr>
      <w:keepNext/>
      <w:keepLines/>
      <w:numPr>
        <w:ilvl w:val="6"/>
        <w:numId w:val="2"/>
      </w:numPr>
      <w:spacing w:before="40" w:after="0"/>
      <w:outlineLvl w:val="6"/>
    </w:pPr>
    <w:rPr>
      <w:rFonts w:eastAsiaTheme="majorEastAsia" w:cstheme="majorBidi"/>
      <w:color w:val="595959" w:themeColor="text1" w:themeTint="A6"/>
      <w:kern w:val="2"/>
      <w14:ligatures w14:val="standardContextual"/>
    </w:rPr>
  </w:style>
  <w:style w:type="paragraph" w:styleId="Ttulo8">
    <w:name w:val="heading 8"/>
    <w:basedOn w:val="Normal"/>
    <w:next w:val="Normal"/>
    <w:link w:val="Ttulo8Car"/>
    <w:uiPriority w:val="9"/>
    <w:semiHidden/>
    <w:unhideWhenUsed/>
    <w:qFormat/>
    <w:rsid w:val="00A94DF0"/>
    <w:pPr>
      <w:keepNext/>
      <w:keepLines/>
      <w:numPr>
        <w:ilvl w:val="7"/>
        <w:numId w:val="2"/>
      </w:numPr>
      <w:spacing w:after="0"/>
      <w:outlineLvl w:val="7"/>
    </w:pPr>
    <w:rPr>
      <w:rFonts w:eastAsiaTheme="majorEastAsia" w:cstheme="majorBidi"/>
      <w:i/>
      <w:iCs/>
      <w:color w:val="272727" w:themeColor="text1" w:themeTint="D8"/>
      <w:kern w:val="2"/>
      <w14:ligatures w14:val="standardContextual"/>
    </w:rPr>
  </w:style>
  <w:style w:type="paragraph" w:styleId="Ttulo9">
    <w:name w:val="heading 9"/>
    <w:basedOn w:val="Normal"/>
    <w:next w:val="Normal"/>
    <w:link w:val="Ttulo9Car"/>
    <w:uiPriority w:val="9"/>
    <w:semiHidden/>
    <w:unhideWhenUsed/>
    <w:qFormat/>
    <w:rsid w:val="00A94DF0"/>
    <w:pPr>
      <w:keepNext/>
      <w:keepLines/>
      <w:numPr>
        <w:ilvl w:val="8"/>
        <w:numId w:val="2"/>
      </w:numPr>
      <w:spacing w:after="0"/>
      <w:outlineLvl w:val="8"/>
    </w:pPr>
    <w:rPr>
      <w:rFonts w:eastAsiaTheme="majorEastAsia" w:cstheme="majorBidi"/>
      <w:color w:val="272727" w:themeColor="text1" w:themeTint="D8"/>
      <w:kern w:val="2"/>
      <w14:ligatures w14:val="standardContextua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6931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69319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693195"/>
  </w:style>
  <w:style w:type="paragraph" w:styleId="Piedepgina">
    <w:name w:val="footer"/>
    <w:basedOn w:val="Normal"/>
    <w:link w:val="PiedepginaCar"/>
    <w:uiPriority w:val="99"/>
    <w:unhideWhenUsed/>
    <w:rsid w:val="0069319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693195"/>
  </w:style>
  <w:style w:type="paragraph" w:styleId="Prrafodelista">
    <w:name w:val="List Paragraph"/>
    <w:aliases w:val="List1,LISTA,Párrafo de lista1,Párrafo de lista2,Ha,Resume Title,Bullet List,FooterText,numbered,List Paragraph1,Paragraphe de liste1,lp1,HOJA,Colorful List Accent 1,Colorful List - Accent 11,titulo 3,Colorful List - Accent 111,Bullets"/>
    <w:basedOn w:val="Normal"/>
    <w:link w:val="PrrafodelistaCar"/>
    <w:uiPriority w:val="34"/>
    <w:qFormat/>
    <w:rsid w:val="00A641CD"/>
    <w:pPr>
      <w:ind w:left="720"/>
      <w:contextualSpacing/>
    </w:pPr>
  </w:style>
  <w:style w:type="paragraph" w:styleId="Revisin">
    <w:name w:val="Revision"/>
    <w:hidden/>
    <w:uiPriority w:val="99"/>
    <w:semiHidden/>
    <w:rsid w:val="0049485B"/>
    <w:pPr>
      <w:spacing w:after="0" w:line="240" w:lineRule="auto"/>
    </w:pPr>
  </w:style>
  <w:style w:type="character" w:styleId="Refdecomentario">
    <w:name w:val="annotation reference"/>
    <w:basedOn w:val="Fuentedeprrafopredeter"/>
    <w:uiPriority w:val="99"/>
    <w:semiHidden/>
    <w:unhideWhenUsed/>
    <w:rsid w:val="005303C9"/>
    <w:rPr>
      <w:sz w:val="16"/>
      <w:szCs w:val="16"/>
    </w:rPr>
  </w:style>
  <w:style w:type="paragraph" w:styleId="Textocomentario">
    <w:name w:val="annotation text"/>
    <w:basedOn w:val="Normal"/>
    <w:link w:val="TextocomentarioCar"/>
    <w:uiPriority w:val="99"/>
    <w:unhideWhenUsed/>
    <w:rsid w:val="005303C9"/>
    <w:pPr>
      <w:spacing w:line="240" w:lineRule="auto"/>
    </w:pPr>
    <w:rPr>
      <w:sz w:val="20"/>
      <w:szCs w:val="20"/>
    </w:rPr>
  </w:style>
  <w:style w:type="character" w:customStyle="1" w:styleId="TextocomentarioCar">
    <w:name w:val="Texto comentario Car"/>
    <w:basedOn w:val="Fuentedeprrafopredeter"/>
    <w:link w:val="Textocomentario"/>
    <w:uiPriority w:val="99"/>
    <w:rsid w:val="005303C9"/>
    <w:rPr>
      <w:sz w:val="20"/>
      <w:szCs w:val="20"/>
    </w:rPr>
  </w:style>
  <w:style w:type="paragraph" w:styleId="Asuntodelcomentario">
    <w:name w:val="annotation subject"/>
    <w:basedOn w:val="Textocomentario"/>
    <w:next w:val="Textocomentario"/>
    <w:link w:val="AsuntodelcomentarioCar"/>
    <w:uiPriority w:val="99"/>
    <w:semiHidden/>
    <w:unhideWhenUsed/>
    <w:rsid w:val="005303C9"/>
    <w:rPr>
      <w:b/>
      <w:bCs/>
    </w:rPr>
  </w:style>
  <w:style w:type="character" w:customStyle="1" w:styleId="AsuntodelcomentarioCar">
    <w:name w:val="Asunto del comentario Car"/>
    <w:basedOn w:val="TextocomentarioCar"/>
    <w:link w:val="Asuntodelcomentario"/>
    <w:uiPriority w:val="99"/>
    <w:semiHidden/>
    <w:rsid w:val="005303C9"/>
    <w:rPr>
      <w:b/>
      <w:bCs/>
      <w:sz w:val="20"/>
      <w:szCs w:val="20"/>
    </w:rPr>
  </w:style>
  <w:style w:type="paragraph" w:styleId="Textodeglobo">
    <w:name w:val="Balloon Text"/>
    <w:basedOn w:val="Normal"/>
    <w:link w:val="TextodegloboCar"/>
    <w:uiPriority w:val="99"/>
    <w:semiHidden/>
    <w:unhideWhenUsed/>
    <w:rsid w:val="005303C9"/>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5303C9"/>
    <w:rPr>
      <w:rFonts w:ascii="Segoe UI" w:hAnsi="Segoe UI" w:cs="Segoe UI"/>
      <w:sz w:val="18"/>
      <w:szCs w:val="18"/>
    </w:rPr>
  </w:style>
  <w:style w:type="paragraph" w:styleId="Textonotapie">
    <w:name w:val="footnote text"/>
    <w:aliases w:val="ft,Texto nota pie2,ft1,ft Car Car Car1,Texto nota pie Car2,ft Car Car2,ft Car,ft Car Car,ft Car Car Car,Texto nota pie_mujer,Footnote Text Char Char Char Char Char,Footnote Text Char Char Char Char,Footnote reference,FA Fu,FA Fuﬂnotentext"/>
    <w:basedOn w:val="Normal"/>
    <w:link w:val="TextonotapieCar"/>
    <w:uiPriority w:val="99"/>
    <w:unhideWhenUsed/>
    <w:qFormat/>
    <w:rsid w:val="00FA08DA"/>
    <w:pPr>
      <w:spacing w:after="0" w:line="240" w:lineRule="auto"/>
    </w:pPr>
    <w:rPr>
      <w:rFonts w:ascii="Arial" w:eastAsia="Calibri" w:hAnsi="Arial" w:cs="Times New Roman"/>
      <w:iCs/>
      <w:sz w:val="20"/>
      <w:szCs w:val="20"/>
      <w:lang w:eastAsia="es-ES"/>
    </w:rPr>
  </w:style>
  <w:style w:type="character" w:customStyle="1" w:styleId="TextonotapieCar">
    <w:name w:val="Texto nota pie Car"/>
    <w:aliases w:val="ft Car1,Texto nota pie2 Car,ft1 Car,ft Car Car Car1 Car,Texto nota pie Car2 Car,ft Car Car2 Car,ft Car Car1,ft Car Car Car2,ft Car Car Car Car,Texto nota pie_mujer Car,Footnote Text Char Char Char Char Char Car,Footnote reference Car"/>
    <w:basedOn w:val="Fuentedeprrafopredeter"/>
    <w:link w:val="Textonotapie"/>
    <w:uiPriority w:val="99"/>
    <w:rsid w:val="00FA08DA"/>
    <w:rPr>
      <w:rFonts w:ascii="Arial" w:eastAsia="Calibri" w:hAnsi="Arial" w:cs="Times New Roman"/>
      <w:iCs/>
      <w:sz w:val="20"/>
      <w:szCs w:val="20"/>
      <w:lang w:eastAsia="es-ES"/>
    </w:rPr>
  </w:style>
  <w:style w:type="character" w:styleId="Hipervnculo">
    <w:name w:val="Hyperlink"/>
    <w:basedOn w:val="Fuentedeprrafopredeter"/>
    <w:uiPriority w:val="99"/>
    <w:unhideWhenUsed/>
    <w:rsid w:val="00FA08DA"/>
    <w:rPr>
      <w:color w:val="0000FF"/>
      <w:u w:val="single"/>
    </w:rPr>
  </w:style>
  <w:style w:type="character" w:styleId="Refdenotaalpie">
    <w:name w:val="footnote reference"/>
    <w:aliases w:val="Ref,de nota al pie,referencia nota al pie,Texto de nota al pie,ftref,16 Point,Superscript 6 Point,Знак сноски-FN,BVI fnr,Footnotes refss,Appel note de bas de page,Footnote number,f,Ref. de nota al pie 2,FC,Appel note de bas de p,4_G"/>
    <w:link w:val="Piedepagina"/>
    <w:uiPriority w:val="99"/>
    <w:unhideWhenUsed/>
    <w:qFormat/>
    <w:rsid w:val="00FA08DA"/>
    <w:rPr>
      <w:vertAlign w:val="superscript"/>
    </w:rPr>
  </w:style>
  <w:style w:type="paragraph" w:customStyle="1" w:styleId="Piedepagina">
    <w:name w:val="Pie de pagina"/>
    <w:basedOn w:val="Normal"/>
    <w:link w:val="Refdenotaalpie"/>
    <w:uiPriority w:val="99"/>
    <w:rsid w:val="00FA08DA"/>
    <w:pPr>
      <w:spacing w:line="240" w:lineRule="exact"/>
    </w:pPr>
    <w:rPr>
      <w:vertAlign w:val="superscript"/>
    </w:rPr>
  </w:style>
  <w:style w:type="character" w:customStyle="1" w:styleId="normaltextrun">
    <w:name w:val="normaltextrun"/>
    <w:basedOn w:val="Fuentedeprrafopredeter"/>
    <w:rsid w:val="4BF3870E"/>
    <w:rPr>
      <w:rFonts w:asciiTheme="minorHAnsi" w:eastAsiaTheme="minorEastAsia" w:hAnsiTheme="minorHAnsi" w:cstheme="minorBidi"/>
      <w:sz w:val="24"/>
      <w:szCs w:val="24"/>
    </w:rPr>
  </w:style>
  <w:style w:type="character" w:customStyle="1" w:styleId="Ttulo1Car">
    <w:name w:val="Título 1 Car"/>
    <w:basedOn w:val="Fuentedeprrafopredeter"/>
    <w:link w:val="Ttulo1"/>
    <w:uiPriority w:val="9"/>
    <w:rsid w:val="00A94DF0"/>
    <w:rPr>
      <w:rFonts w:asciiTheme="majorHAnsi" w:eastAsiaTheme="majorEastAsia" w:hAnsiTheme="majorHAnsi" w:cstheme="majorBidi"/>
      <w:color w:val="2E74B5" w:themeColor="accent1" w:themeShade="BF"/>
      <w:kern w:val="2"/>
      <w:sz w:val="40"/>
      <w:szCs w:val="40"/>
      <w14:ligatures w14:val="standardContextual"/>
    </w:rPr>
  </w:style>
  <w:style w:type="character" w:customStyle="1" w:styleId="Ttulo2Car">
    <w:name w:val="Título 2 Car"/>
    <w:basedOn w:val="Fuentedeprrafopredeter"/>
    <w:link w:val="Ttulo2"/>
    <w:uiPriority w:val="9"/>
    <w:rsid w:val="00A94DF0"/>
    <w:rPr>
      <w:kern w:val="2"/>
      <w14:ligatures w14:val="standardContextual"/>
    </w:rPr>
  </w:style>
  <w:style w:type="character" w:customStyle="1" w:styleId="Ttulo3Car">
    <w:name w:val="Título 3 Car"/>
    <w:basedOn w:val="Fuentedeprrafopredeter"/>
    <w:link w:val="Ttulo3"/>
    <w:uiPriority w:val="9"/>
    <w:rsid w:val="00A94DF0"/>
    <w:rPr>
      <w:rFonts w:eastAsiaTheme="majorEastAsia" w:cstheme="majorBidi"/>
      <w:color w:val="2E74B5" w:themeColor="accent1" w:themeShade="BF"/>
      <w:kern w:val="2"/>
      <w:sz w:val="28"/>
      <w:szCs w:val="28"/>
      <w14:ligatures w14:val="standardContextual"/>
    </w:rPr>
  </w:style>
  <w:style w:type="character" w:customStyle="1" w:styleId="Ttulo4Car">
    <w:name w:val="Título 4 Car"/>
    <w:basedOn w:val="Fuentedeprrafopredeter"/>
    <w:link w:val="Ttulo4"/>
    <w:uiPriority w:val="9"/>
    <w:rsid w:val="00A94DF0"/>
    <w:rPr>
      <w:rFonts w:eastAsiaTheme="majorEastAsia" w:cstheme="majorBidi"/>
      <w:i/>
      <w:iCs/>
      <w:color w:val="2E74B5" w:themeColor="accent1" w:themeShade="BF"/>
      <w:kern w:val="2"/>
      <w14:ligatures w14:val="standardContextual"/>
    </w:rPr>
  </w:style>
  <w:style w:type="character" w:customStyle="1" w:styleId="Ttulo5Car">
    <w:name w:val="Título 5 Car"/>
    <w:basedOn w:val="Fuentedeprrafopredeter"/>
    <w:link w:val="Ttulo5"/>
    <w:uiPriority w:val="9"/>
    <w:semiHidden/>
    <w:rsid w:val="00A94DF0"/>
    <w:rPr>
      <w:rFonts w:eastAsiaTheme="majorEastAsia" w:cstheme="majorBidi"/>
      <w:color w:val="2E74B5" w:themeColor="accent1" w:themeShade="BF"/>
      <w:kern w:val="2"/>
      <w14:ligatures w14:val="standardContextual"/>
    </w:rPr>
  </w:style>
  <w:style w:type="character" w:customStyle="1" w:styleId="Ttulo6Car">
    <w:name w:val="Título 6 Car"/>
    <w:basedOn w:val="Fuentedeprrafopredeter"/>
    <w:link w:val="Ttulo6"/>
    <w:uiPriority w:val="9"/>
    <w:semiHidden/>
    <w:rsid w:val="00A94DF0"/>
    <w:rPr>
      <w:rFonts w:eastAsiaTheme="majorEastAsia" w:cstheme="majorBidi"/>
      <w:i/>
      <w:iCs/>
      <w:color w:val="595959" w:themeColor="text1" w:themeTint="A6"/>
      <w:kern w:val="2"/>
      <w14:ligatures w14:val="standardContextual"/>
    </w:rPr>
  </w:style>
  <w:style w:type="character" w:customStyle="1" w:styleId="Ttulo7Car">
    <w:name w:val="Título 7 Car"/>
    <w:basedOn w:val="Fuentedeprrafopredeter"/>
    <w:link w:val="Ttulo7"/>
    <w:uiPriority w:val="9"/>
    <w:semiHidden/>
    <w:rsid w:val="00A94DF0"/>
    <w:rPr>
      <w:rFonts w:eastAsiaTheme="majorEastAsia" w:cstheme="majorBidi"/>
      <w:color w:val="595959" w:themeColor="text1" w:themeTint="A6"/>
      <w:kern w:val="2"/>
      <w14:ligatures w14:val="standardContextual"/>
    </w:rPr>
  </w:style>
  <w:style w:type="character" w:customStyle="1" w:styleId="Ttulo8Car">
    <w:name w:val="Título 8 Car"/>
    <w:basedOn w:val="Fuentedeprrafopredeter"/>
    <w:link w:val="Ttulo8"/>
    <w:uiPriority w:val="9"/>
    <w:semiHidden/>
    <w:rsid w:val="00A94DF0"/>
    <w:rPr>
      <w:rFonts w:eastAsiaTheme="majorEastAsia" w:cstheme="majorBidi"/>
      <w:i/>
      <w:iCs/>
      <w:color w:val="272727" w:themeColor="text1" w:themeTint="D8"/>
      <w:kern w:val="2"/>
      <w14:ligatures w14:val="standardContextual"/>
    </w:rPr>
  </w:style>
  <w:style w:type="character" w:customStyle="1" w:styleId="Ttulo9Car">
    <w:name w:val="Título 9 Car"/>
    <w:basedOn w:val="Fuentedeprrafopredeter"/>
    <w:link w:val="Ttulo9"/>
    <w:uiPriority w:val="9"/>
    <w:semiHidden/>
    <w:rsid w:val="00A94DF0"/>
    <w:rPr>
      <w:rFonts w:eastAsiaTheme="majorEastAsia" w:cstheme="majorBidi"/>
      <w:color w:val="272727" w:themeColor="text1" w:themeTint="D8"/>
      <w:kern w:val="2"/>
      <w14:ligatures w14:val="standardContextual"/>
    </w:rPr>
  </w:style>
  <w:style w:type="paragraph" w:styleId="Ttulo">
    <w:name w:val="Title"/>
    <w:basedOn w:val="Normal"/>
    <w:next w:val="Normal"/>
    <w:link w:val="TtuloCar"/>
    <w:uiPriority w:val="10"/>
    <w:qFormat/>
    <w:rsid w:val="00A94DF0"/>
    <w:pPr>
      <w:spacing w:after="80" w:line="240" w:lineRule="auto"/>
      <w:contextualSpacing/>
    </w:pPr>
    <w:rPr>
      <w:rFonts w:asciiTheme="majorHAnsi" w:eastAsiaTheme="majorEastAsia" w:hAnsiTheme="majorHAnsi" w:cstheme="majorBidi"/>
      <w:spacing w:val="-10"/>
      <w:kern w:val="28"/>
      <w:sz w:val="56"/>
      <w:szCs w:val="56"/>
      <w14:ligatures w14:val="standardContextual"/>
    </w:rPr>
  </w:style>
  <w:style w:type="character" w:customStyle="1" w:styleId="TtuloCar">
    <w:name w:val="Título Car"/>
    <w:basedOn w:val="Fuentedeprrafopredeter"/>
    <w:link w:val="Ttulo"/>
    <w:uiPriority w:val="10"/>
    <w:rsid w:val="00A94DF0"/>
    <w:rPr>
      <w:rFonts w:asciiTheme="majorHAnsi" w:eastAsiaTheme="majorEastAsia" w:hAnsiTheme="majorHAnsi" w:cstheme="majorBidi"/>
      <w:spacing w:val="-10"/>
      <w:kern w:val="28"/>
      <w:sz w:val="56"/>
      <w:szCs w:val="56"/>
      <w14:ligatures w14:val="standardContextual"/>
    </w:rPr>
  </w:style>
  <w:style w:type="paragraph" w:styleId="Subttulo">
    <w:name w:val="Subtitle"/>
    <w:basedOn w:val="Normal"/>
    <w:next w:val="Normal"/>
    <w:link w:val="SubttuloCar"/>
    <w:uiPriority w:val="11"/>
    <w:qFormat/>
    <w:rsid w:val="00A94DF0"/>
    <w:pPr>
      <w:numPr>
        <w:ilvl w:val="1"/>
      </w:numPr>
    </w:pPr>
    <w:rPr>
      <w:rFonts w:eastAsiaTheme="majorEastAsia" w:cstheme="majorBidi"/>
      <w:color w:val="595959" w:themeColor="text1" w:themeTint="A6"/>
      <w:spacing w:val="15"/>
      <w:kern w:val="2"/>
      <w:sz w:val="28"/>
      <w:szCs w:val="28"/>
      <w14:ligatures w14:val="standardContextual"/>
    </w:rPr>
  </w:style>
  <w:style w:type="character" w:customStyle="1" w:styleId="SubttuloCar">
    <w:name w:val="Subtítulo Car"/>
    <w:basedOn w:val="Fuentedeprrafopredeter"/>
    <w:link w:val="Subttulo"/>
    <w:uiPriority w:val="11"/>
    <w:rsid w:val="00A94DF0"/>
    <w:rPr>
      <w:rFonts w:eastAsiaTheme="majorEastAsia" w:cstheme="majorBidi"/>
      <w:color w:val="595959" w:themeColor="text1" w:themeTint="A6"/>
      <w:spacing w:val="15"/>
      <w:kern w:val="2"/>
      <w:sz w:val="28"/>
      <w:szCs w:val="28"/>
      <w14:ligatures w14:val="standardContextual"/>
    </w:rPr>
  </w:style>
  <w:style w:type="paragraph" w:styleId="Cita">
    <w:name w:val="Quote"/>
    <w:basedOn w:val="Normal"/>
    <w:next w:val="Normal"/>
    <w:link w:val="CitaCar"/>
    <w:uiPriority w:val="29"/>
    <w:qFormat/>
    <w:rsid w:val="00A94DF0"/>
    <w:pPr>
      <w:spacing w:before="160"/>
      <w:jc w:val="center"/>
    </w:pPr>
    <w:rPr>
      <w:i/>
      <w:iCs/>
      <w:color w:val="404040" w:themeColor="text1" w:themeTint="BF"/>
      <w:kern w:val="2"/>
      <w14:ligatures w14:val="standardContextual"/>
    </w:rPr>
  </w:style>
  <w:style w:type="character" w:customStyle="1" w:styleId="CitaCar">
    <w:name w:val="Cita Car"/>
    <w:basedOn w:val="Fuentedeprrafopredeter"/>
    <w:link w:val="Cita"/>
    <w:uiPriority w:val="29"/>
    <w:rsid w:val="00A94DF0"/>
    <w:rPr>
      <w:i/>
      <w:iCs/>
      <w:color w:val="404040" w:themeColor="text1" w:themeTint="BF"/>
      <w:kern w:val="2"/>
      <w14:ligatures w14:val="standardContextual"/>
    </w:rPr>
  </w:style>
  <w:style w:type="character" w:styleId="nfasisintenso">
    <w:name w:val="Intense Emphasis"/>
    <w:basedOn w:val="Fuentedeprrafopredeter"/>
    <w:uiPriority w:val="21"/>
    <w:qFormat/>
    <w:rsid w:val="00A94DF0"/>
    <w:rPr>
      <w:i/>
      <w:iCs/>
      <w:color w:val="2E74B5" w:themeColor="accent1" w:themeShade="BF"/>
    </w:rPr>
  </w:style>
  <w:style w:type="paragraph" w:styleId="Citadestacada">
    <w:name w:val="Intense Quote"/>
    <w:basedOn w:val="Normal"/>
    <w:next w:val="Normal"/>
    <w:link w:val="CitadestacadaCar"/>
    <w:uiPriority w:val="30"/>
    <w:qFormat/>
    <w:rsid w:val="00A94DF0"/>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kern w:val="2"/>
      <w14:ligatures w14:val="standardContextual"/>
    </w:rPr>
  </w:style>
  <w:style w:type="character" w:customStyle="1" w:styleId="CitadestacadaCar">
    <w:name w:val="Cita destacada Car"/>
    <w:basedOn w:val="Fuentedeprrafopredeter"/>
    <w:link w:val="Citadestacada"/>
    <w:uiPriority w:val="30"/>
    <w:rsid w:val="00A94DF0"/>
    <w:rPr>
      <w:i/>
      <w:iCs/>
      <w:color w:val="2E74B5" w:themeColor="accent1" w:themeShade="BF"/>
      <w:kern w:val="2"/>
      <w14:ligatures w14:val="standardContextual"/>
    </w:rPr>
  </w:style>
  <w:style w:type="character" w:styleId="Referenciaintensa">
    <w:name w:val="Intense Reference"/>
    <w:basedOn w:val="Fuentedeprrafopredeter"/>
    <w:uiPriority w:val="32"/>
    <w:qFormat/>
    <w:rsid w:val="00A94DF0"/>
    <w:rPr>
      <w:b/>
      <w:bCs/>
      <w:smallCaps/>
      <w:color w:val="2E74B5" w:themeColor="accent1" w:themeShade="BF"/>
      <w:spacing w:val="5"/>
    </w:rPr>
  </w:style>
  <w:style w:type="paragraph" w:styleId="TtuloTDC">
    <w:name w:val="TOC Heading"/>
    <w:basedOn w:val="Ttulo1"/>
    <w:next w:val="Normal"/>
    <w:uiPriority w:val="39"/>
    <w:unhideWhenUsed/>
    <w:qFormat/>
    <w:rsid w:val="00A94DF0"/>
    <w:pPr>
      <w:numPr>
        <w:numId w:val="0"/>
      </w:numPr>
      <w:spacing w:before="240" w:after="0"/>
      <w:outlineLvl w:val="9"/>
    </w:pPr>
    <w:rPr>
      <w:kern w:val="0"/>
      <w:sz w:val="32"/>
      <w:szCs w:val="32"/>
      <w:lang w:eastAsia="es-CO"/>
      <w14:ligatures w14:val="none"/>
    </w:rPr>
  </w:style>
  <w:style w:type="paragraph" w:styleId="TDC1">
    <w:name w:val="toc 1"/>
    <w:basedOn w:val="Normal"/>
    <w:next w:val="Normal"/>
    <w:autoRedefine/>
    <w:uiPriority w:val="39"/>
    <w:unhideWhenUsed/>
    <w:rsid w:val="00A94DF0"/>
    <w:pPr>
      <w:spacing w:after="100"/>
    </w:pPr>
    <w:rPr>
      <w:kern w:val="2"/>
      <w14:ligatures w14:val="standardContextual"/>
    </w:rPr>
  </w:style>
  <w:style w:type="paragraph" w:styleId="TDC2">
    <w:name w:val="toc 2"/>
    <w:basedOn w:val="Normal"/>
    <w:next w:val="Normal"/>
    <w:autoRedefine/>
    <w:uiPriority w:val="39"/>
    <w:unhideWhenUsed/>
    <w:rsid w:val="00A94DF0"/>
    <w:pPr>
      <w:spacing w:after="100"/>
      <w:ind w:left="220"/>
    </w:pPr>
    <w:rPr>
      <w:kern w:val="2"/>
      <w14:ligatures w14:val="standardContextual"/>
    </w:rPr>
  </w:style>
  <w:style w:type="paragraph" w:styleId="TDC3">
    <w:name w:val="toc 3"/>
    <w:basedOn w:val="Normal"/>
    <w:next w:val="Normal"/>
    <w:autoRedefine/>
    <w:uiPriority w:val="39"/>
    <w:unhideWhenUsed/>
    <w:rsid w:val="00A94DF0"/>
    <w:pPr>
      <w:spacing w:after="100"/>
      <w:ind w:left="440"/>
    </w:pPr>
    <w:rPr>
      <w:kern w:val="2"/>
      <w14:ligatures w14:val="standardContextual"/>
    </w:rPr>
  </w:style>
  <w:style w:type="character" w:customStyle="1" w:styleId="Mention">
    <w:name w:val="Mention"/>
    <w:basedOn w:val="Fuentedeprrafopredeter"/>
    <w:uiPriority w:val="99"/>
    <w:unhideWhenUsed/>
    <w:rsid w:val="00A94DF0"/>
    <w:rPr>
      <w:color w:val="2B579A"/>
      <w:shd w:val="clear" w:color="auto" w:fill="E1DFDD"/>
    </w:rPr>
  </w:style>
  <w:style w:type="paragraph" w:customStyle="1" w:styleId="PRRAFOSDH">
    <w:name w:val="PÁRRAFO_SDH"/>
    <w:basedOn w:val="Textoindependiente"/>
    <w:qFormat/>
    <w:rsid w:val="00A94DF0"/>
    <w:pPr>
      <w:spacing w:after="0" w:line="283" w:lineRule="auto"/>
      <w:jc w:val="both"/>
    </w:pPr>
    <w:rPr>
      <w:rFonts w:ascii="Arial" w:eastAsia="Arial MT" w:hAnsi="Arial" w:cs="Arial"/>
      <w:kern w:val="0"/>
      <w:sz w:val="23"/>
      <w:szCs w:val="23"/>
      <w:lang w:val="es-ES"/>
      <w14:ligatures w14:val="none"/>
    </w:rPr>
  </w:style>
  <w:style w:type="paragraph" w:styleId="Textoindependiente">
    <w:name w:val="Body Text"/>
    <w:basedOn w:val="Normal"/>
    <w:link w:val="TextoindependienteCar"/>
    <w:uiPriority w:val="99"/>
    <w:semiHidden/>
    <w:unhideWhenUsed/>
    <w:rsid w:val="00A94DF0"/>
    <w:pPr>
      <w:spacing w:after="120"/>
    </w:pPr>
    <w:rPr>
      <w:kern w:val="2"/>
      <w14:ligatures w14:val="standardContextual"/>
    </w:rPr>
  </w:style>
  <w:style w:type="character" w:customStyle="1" w:styleId="TextoindependienteCar">
    <w:name w:val="Texto independiente Car"/>
    <w:basedOn w:val="Fuentedeprrafopredeter"/>
    <w:link w:val="Textoindependiente"/>
    <w:uiPriority w:val="99"/>
    <w:semiHidden/>
    <w:rsid w:val="00A94DF0"/>
    <w:rPr>
      <w:kern w:val="2"/>
      <w14:ligatures w14:val="standardContextual"/>
    </w:rPr>
  </w:style>
  <w:style w:type="paragraph" w:customStyle="1" w:styleId="NotaalpieSDH">
    <w:name w:val="Nota_al_pie_SDH"/>
    <w:basedOn w:val="Normal"/>
    <w:qFormat/>
    <w:rsid w:val="00A94DF0"/>
    <w:pPr>
      <w:spacing w:after="0" w:line="252" w:lineRule="exact"/>
      <w:ind w:right="1"/>
      <w:jc w:val="both"/>
    </w:pPr>
    <w:rPr>
      <w:rFonts w:ascii="Arial" w:eastAsia="Arial MT" w:hAnsi="Arial" w:cs="Arial"/>
      <w:sz w:val="18"/>
      <w:szCs w:val="18"/>
      <w:lang w:val="es-ES"/>
    </w:rPr>
  </w:style>
  <w:style w:type="character" w:customStyle="1" w:styleId="ui-provider">
    <w:name w:val="ui-provider"/>
    <w:basedOn w:val="Fuentedeprrafopredeter"/>
    <w:rsid w:val="00A94DF0"/>
  </w:style>
  <w:style w:type="character" w:customStyle="1" w:styleId="PrrafodelistaCar">
    <w:name w:val="Párrafo de lista Car"/>
    <w:aliases w:val="List1 Car,LISTA Car,Párrafo de lista1 Car,Párrafo de lista2 Car,Ha Car,Resume Title Car,Bullet List Car,FooterText Car,numbered Car,List Paragraph1 Car,Paragraphe de liste1 Car,lp1 Car,HOJA Car,Colorful List Accent 1 Car,Bullets Car"/>
    <w:link w:val="Prrafodelista"/>
    <w:uiPriority w:val="34"/>
    <w:qFormat/>
    <w:locked/>
    <w:rsid w:val="00A94DF0"/>
  </w:style>
  <w:style w:type="paragraph" w:styleId="Descripcin">
    <w:name w:val="caption"/>
    <w:basedOn w:val="Normal"/>
    <w:next w:val="Normal"/>
    <w:uiPriority w:val="35"/>
    <w:unhideWhenUsed/>
    <w:qFormat/>
    <w:rsid w:val="00A94DF0"/>
    <w:pPr>
      <w:spacing w:after="200" w:line="240" w:lineRule="auto"/>
    </w:pPr>
    <w:rPr>
      <w:i/>
      <w:iCs/>
      <w:color w:val="44546A" w:themeColor="text2"/>
      <w:sz w:val="18"/>
      <w:szCs w:val="18"/>
    </w:rPr>
  </w:style>
  <w:style w:type="table" w:styleId="Tablanormal1">
    <w:name w:val="Plain Table 1"/>
    <w:basedOn w:val="Tablanormal"/>
    <w:uiPriority w:val="41"/>
    <w:rsid w:val="00A94DF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Sinespaciado">
    <w:name w:val="No Spacing"/>
    <w:link w:val="SinespaciadoCar"/>
    <w:uiPriority w:val="1"/>
    <w:qFormat/>
    <w:rsid w:val="00A94DF0"/>
    <w:pPr>
      <w:spacing w:after="0" w:line="240" w:lineRule="auto"/>
    </w:pPr>
    <w:rPr>
      <w:kern w:val="2"/>
      <w14:ligatures w14:val="standardContextual"/>
    </w:rPr>
  </w:style>
  <w:style w:type="character" w:customStyle="1" w:styleId="SinespaciadoCar">
    <w:name w:val="Sin espaciado Car"/>
    <w:basedOn w:val="Fuentedeprrafopredeter"/>
    <w:link w:val="Sinespaciado"/>
    <w:uiPriority w:val="1"/>
    <w:rsid w:val="00A94DF0"/>
    <w:rPr>
      <w:kern w:val="2"/>
      <w14:ligatures w14:val="standardContextual"/>
    </w:rPr>
  </w:style>
  <w:style w:type="table" w:styleId="Tablanormal5">
    <w:name w:val="Plain Table 5"/>
    <w:basedOn w:val="Tablanormal"/>
    <w:uiPriority w:val="45"/>
    <w:rsid w:val="00A94DF0"/>
    <w:pPr>
      <w:spacing w:after="0" w:line="240" w:lineRule="auto"/>
    </w:pPr>
    <w:rPr>
      <w:kern w:val="2"/>
      <w:sz w:val="24"/>
      <w:szCs w:val="24"/>
      <w14:ligatures w14:val="standardContextual"/>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anormal3">
    <w:name w:val="Plain Table 3"/>
    <w:basedOn w:val="Tablanormal"/>
    <w:uiPriority w:val="43"/>
    <w:rsid w:val="00A94DF0"/>
    <w:pPr>
      <w:spacing w:after="0" w:line="240" w:lineRule="auto"/>
    </w:pPr>
    <w:rPr>
      <w:kern w:val="2"/>
      <w:sz w:val="24"/>
      <w:szCs w:val="24"/>
      <w14:ligatures w14:val="standardContextual"/>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styleId="Textoennegrita">
    <w:name w:val="Strong"/>
    <w:basedOn w:val="Fuentedeprrafopredeter"/>
    <w:uiPriority w:val="22"/>
    <w:qFormat/>
    <w:rsid w:val="00A94DF0"/>
    <w:rPr>
      <w:b/>
      <w:bCs/>
    </w:rPr>
  </w:style>
  <w:style w:type="character" w:customStyle="1" w:styleId="relative">
    <w:name w:val="relative"/>
    <w:basedOn w:val="Fuentedeprrafopredeter"/>
    <w:rsid w:val="00A94DF0"/>
  </w:style>
  <w:style w:type="character" w:styleId="nfasis">
    <w:name w:val="Emphasis"/>
    <w:basedOn w:val="Fuentedeprrafopredeter"/>
    <w:uiPriority w:val="20"/>
    <w:qFormat/>
    <w:rsid w:val="00A94DF0"/>
    <w:rPr>
      <w:i/>
      <w:iCs/>
    </w:rPr>
  </w:style>
  <w:style w:type="paragraph" w:styleId="Tabladeilustraciones">
    <w:name w:val="table of figures"/>
    <w:basedOn w:val="Normal"/>
    <w:next w:val="Normal"/>
    <w:uiPriority w:val="99"/>
    <w:unhideWhenUsed/>
    <w:rsid w:val="00A94DF0"/>
    <w:pPr>
      <w:spacing w:after="0" w:line="279" w:lineRule="auto"/>
    </w:pPr>
    <w:rPr>
      <w:sz w:val="24"/>
      <w:szCs w:val="24"/>
      <w:lang w:val="es-ES"/>
    </w:rPr>
  </w:style>
  <w:style w:type="table" w:styleId="Cuadrculadetablaclara">
    <w:name w:val="Grid Table Light"/>
    <w:basedOn w:val="Tablanormal"/>
    <w:uiPriority w:val="40"/>
    <w:rsid w:val="00A94DF0"/>
    <w:pPr>
      <w:spacing w:after="0" w:line="240" w:lineRule="auto"/>
      <w:jc w:val="both"/>
    </w:pPr>
    <w:rPr>
      <w:rFonts w:ascii="Arial" w:eastAsia="Arial" w:hAnsi="Arial" w:cs="Arial"/>
      <w:lang w:eastAsia="es-CO"/>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Bibliografa">
    <w:name w:val="Bibliography"/>
    <w:basedOn w:val="Normal"/>
    <w:next w:val="Normal"/>
    <w:uiPriority w:val="37"/>
    <w:unhideWhenUsed/>
    <w:rsid w:val="00A94DF0"/>
    <w:pPr>
      <w:spacing w:line="279" w:lineRule="auto"/>
    </w:pPr>
    <w:rPr>
      <w:sz w:val="24"/>
      <w:szCs w:val="24"/>
      <w:lang w:val="es-ES"/>
    </w:rPr>
  </w:style>
  <w:style w:type="paragraph" w:customStyle="1" w:styleId="msonormal0">
    <w:name w:val="msonormal"/>
    <w:basedOn w:val="Normal"/>
    <w:rsid w:val="00A94DF0"/>
    <w:pPr>
      <w:spacing w:before="100" w:beforeAutospacing="1" w:after="100" w:afterAutospacing="1" w:line="240" w:lineRule="auto"/>
    </w:pPr>
    <w:rPr>
      <w:rFonts w:ascii="Times New Roman" w:eastAsia="Times New Roman" w:hAnsi="Times New Roman" w:cs="Times New Roman"/>
      <w:sz w:val="24"/>
      <w:szCs w:val="24"/>
      <w:lang w:eastAsia="es-CO"/>
    </w:rPr>
  </w:style>
  <w:style w:type="paragraph" w:customStyle="1" w:styleId="paragraph">
    <w:name w:val="paragraph"/>
    <w:basedOn w:val="Normal"/>
    <w:rsid w:val="00A94DF0"/>
    <w:pPr>
      <w:spacing w:before="100" w:beforeAutospacing="1" w:after="100" w:afterAutospacing="1" w:line="240" w:lineRule="auto"/>
    </w:pPr>
    <w:rPr>
      <w:rFonts w:ascii="Times New Roman" w:eastAsia="Times New Roman" w:hAnsi="Times New Roman" w:cs="Times New Roman"/>
      <w:sz w:val="24"/>
      <w:szCs w:val="24"/>
      <w:lang w:eastAsia="es-CO"/>
    </w:rPr>
  </w:style>
  <w:style w:type="character" w:customStyle="1" w:styleId="textrun">
    <w:name w:val="textrun"/>
    <w:basedOn w:val="Fuentedeprrafopredeter"/>
    <w:rsid w:val="00A94DF0"/>
  </w:style>
  <w:style w:type="character" w:customStyle="1" w:styleId="eop">
    <w:name w:val="eop"/>
    <w:basedOn w:val="Fuentedeprrafopredeter"/>
    <w:rsid w:val="00A94DF0"/>
  </w:style>
  <w:style w:type="paragraph" w:customStyle="1" w:styleId="outlineelement">
    <w:name w:val="outlineelement"/>
    <w:basedOn w:val="Normal"/>
    <w:rsid w:val="00A94DF0"/>
    <w:pPr>
      <w:spacing w:before="100" w:beforeAutospacing="1" w:after="100" w:afterAutospacing="1" w:line="240" w:lineRule="auto"/>
    </w:pPr>
    <w:rPr>
      <w:rFonts w:ascii="Times New Roman" w:eastAsia="Times New Roman" w:hAnsi="Times New Roman" w:cs="Times New Roman"/>
      <w:sz w:val="24"/>
      <w:szCs w:val="24"/>
      <w:lang w:eastAsia="es-CO"/>
    </w:rPr>
  </w:style>
  <w:style w:type="character" w:customStyle="1" w:styleId="fieldrange">
    <w:name w:val="fieldrange"/>
    <w:basedOn w:val="Fuentedeprrafopredeter"/>
    <w:rsid w:val="00A94DF0"/>
  </w:style>
  <w:style w:type="character" w:customStyle="1" w:styleId="trackchangetextinsertion">
    <w:name w:val="trackchangetextinsertion"/>
    <w:basedOn w:val="Fuentedeprrafopredeter"/>
    <w:rsid w:val="00A94DF0"/>
  </w:style>
  <w:style w:type="character" w:customStyle="1" w:styleId="trackchangetextdeletionmarker">
    <w:name w:val="trackchangetextdeletionmarker"/>
    <w:basedOn w:val="Fuentedeprrafopredeter"/>
    <w:rsid w:val="00A94DF0"/>
  </w:style>
  <w:style w:type="paragraph" w:styleId="NormalWeb">
    <w:name w:val="Normal (Web)"/>
    <w:basedOn w:val="Normal"/>
    <w:uiPriority w:val="99"/>
    <w:unhideWhenUsed/>
    <w:rsid w:val="00A94DF0"/>
    <w:pPr>
      <w:spacing w:before="100" w:beforeAutospacing="1" w:after="100" w:afterAutospacing="1" w:line="240" w:lineRule="auto"/>
    </w:pPr>
    <w:rPr>
      <w:rFonts w:ascii="Times New Roman" w:eastAsia="Times New Roman" w:hAnsi="Times New Roman" w:cs="Times New Roman"/>
      <w:sz w:val="24"/>
      <w:szCs w:val="24"/>
      <w:lang w:val="es-ES"/>
    </w:rPr>
  </w:style>
  <w:style w:type="character" w:customStyle="1" w:styleId="wacimagecontainer">
    <w:name w:val="wacimagecontainer"/>
    <w:basedOn w:val="Fuentedeprrafopredeter"/>
    <w:rsid w:val="00A94DF0"/>
  </w:style>
  <w:style w:type="character" w:customStyle="1" w:styleId="superscript">
    <w:name w:val="superscript"/>
    <w:basedOn w:val="Fuentedeprrafopredeter"/>
    <w:rsid w:val="00A94DF0"/>
  </w:style>
  <w:style w:type="character" w:customStyle="1" w:styleId="UnresolvedMention">
    <w:name w:val="Unresolved Mention"/>
    <w:basedOn w:val="Fuentedeprrafopredeter"/>
    <w:uiPriority w:val="99"/>
    <w:semiHidden/>
    <w:unhideWhenUsed/>
    <w:rsid w:val="00A94DF0"/>
    <w:rPr>
      <w:color w:val="605E5C"/>
      <w:shd w:val="clear" w:color="auto" w:fill="E1DFDD"/>
    </w:rPr>
  </w:style>
  <w:style w:type="paragraph" w:styleId="Textosinformato">
    <w:name w:val="Plain Text"/>
    <w:basedOn w:val="Normal"/>
    <w:link w:val="TextosinformatoCar"/>
    <w:uiPriority w:val="99"/>
    <w:semiHidden/>
    <w:unhideWhenUsed/>
    <w:rsid w:val="00A94DF0"/>
    <w:pPr>
      <w:spacing w:after="0" w:line="240" w:lineRule="auto"/>
    </w:pPr>
    <w:rPr>
      <w:rFonts w:ascii="Consolas" w:hAnsi="Consolas"/>
      <w:kern w:val="2"/>
      <w:sz w:val="21"/>
      <w:szCs w:val="21"/>
      <w14:ligatures w14:val="standardContextual"/>
    </w:rPr>
  </w:style>
  <w:style w:type="character" w:customStyle="1" w:styleId="TextosinformatoCar">
    <w:name w:val="Texto sin formato Car"/>
    <w:basedOn w:val="Fuentedeprrafopredeter"/>
    <w:link w:val="Textosinformato"/>
    <w:uiPriority w:val="99"/>
    <w:semiHidden/>
    <w:rsid w:val="00A94DF0"/>
    <w:rPr>
      <w:rFonts w:ascii="Consolas" w:hAnsi="Consolas"/>
      <w:kern w:val="2"/>
      <w:sz w:val="21"/>
      <w:szCs w:val="21"/>
      <w14:ligatures w14:val="standardContextual"/>
    </w:rPr>
  </w:style>
  <w:style w:type="character" w:customStyle="1" w:styleId="scxw135064979">
    <w:name w:val="scxw135064979"/>
    <w:basedOn w:val="Fuentedeprrafopredeter"/>
    <w:rsid w:val="009D74A3"/>
  </w:style>
  <w:style w:type="character" w:customStyle="1" w:styleId="linebreakblob">
    <w:name w:val="linebreakblob"/>
    <w:basedOn w:val="Fuentedeprrafopredeter"/>
    <w:rsid w:val="009D74A3"/>
  </w:style>
  <w:style w:type="character" w:customStyle="1" w:styleId="trackedchange">
    <w:name w:val="trackedchange"/>
    <w:basedOn w:val="Fuentedeprrafopredeter"/>
    <w:rsid w:val="009D74A3"/>
  </w:style>
  <w:style w:type="paragraph" w:customStyle="1" w:styleId="TableParagraph">
    <w:name w:val="Table Paragraph"/>
    <w:basedOn w:val="Normal"/>
    <w:uiPriority w:val="1"/>
    <w:qFormat/>
    <w:rsid w:val="00F74D01"/>
    <w:pPr>
      <w:widowControl w:val="0"/>
      <w:autoSpaceDE w:val="0"/>
      <w:autoSpaceDN w:val="0"/>
      <w:spacing w:before="1" w:after="0" w:line="240" w:lineRule="auto"/>
    </w:pPr>
    <w:rPr>
      <w:rFonts w:ascii="Arial MT" w:eastAsia="Arial MT" w:hAnsi="Arial MT" w:cs="Arial MT"/>
      <w:lang w:val="es-ES"/>
    </w:rPr>
  </w:style>
  <w:style w:type="table" w:customStyle="1" w:styleId="TableNormal1">
    <w:name w:val="Table Normal1"/>
    <w:uiPriority w:val="2"/>
    <w:semiHidden/>
    <w:unhideWhenUsed/>
    <w:qFormat/>
    <w:rsid w:val="006C067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466811">
      <w:marLeft w:val="0"/>
      <w:marRight w:val="0"/>
      <w:marTop w:val="0"/>
      <w:marBottom w:val="0"/>
      <w:divBdr>
        <w:top w:val="none" w:sz="0" w:space="0" w:color="auto"/>
        <w:left w:val="none" w:sz="0" w:space="0" w:color="auto"/>
        <w:bottom w:val="none" w:sz="0" w:space="0" w:color="auto"/>
        <w:right w:val="none" w:sz="0" w:space="0" w:color="auto"/>
      </w:divBdr>
      <w:divsChild>
        <w:div w:id="1643923211">
          <w:marLeft w:val="0"/>
          <w:marRight w:val="0"/>
          <w:marTop w:val="0"/>
          <w:marBottom w:val="0"/>
          <w:divBdr>
            <w:top w:val="none" w:sz="0" w:space="0" w:color="auto"/>
            <w:left w:val="none" w:sz="0" w:space="0" w:color="auto"/>
            <w:bottom w:val="none" w:sz="0" w:space="0" w:color="auto"/>
            <w:right w:val="none" w:sz="0" w:space="0" w:color="auto"/>
          </w:divBdr>
        </w:div>
      </w:divsChild>
    </w:div>
    <w:div w:id="59334952">
      <w:marLeft w:val="0"/>
      <w:marRight w:val="0"/>
      <w:marTop w:val="0"/>
      <w:marBottom w:val="0"/>
      <w:divBdr>
        <w:top w:val="none" w:sz="0" w:space="0" w:color="auto"/>
        <w:left w:val="none" w:sz="0" w:space="0" w:color="auto"/>
        <w:bottom w:val="none" w:sz="0" w:space="0" w:color="auto"/>
        <w:right w:val="none" w:sz="0" w:space="0" w:color="auto"/>
      </w:divBdr>
      <w:divsChild>
        <w:div w:id="706222936">
          <w:marLeft w:val="0"/>
          <w:marRight w:val="0"/>
          <w:marTop w:val="0"/>
          <w:marBottom w:val="0"/>
          <w:divBdr>
            <w:top w:val="none" w:sz="0" w:space="0" w:color="auto"/>
            <w:left w:val="none" w:sz="0" w:space="0" w:color="auto"/>
            <w:bottom w:val="none" w:sz="0" w:space="0" w:color="auto"/>
            <w:right w:val="none" w:sz="0" w:space="0" w:color="auto"/>
          </w:divBdr>
        </w:div>
      </w:divsChild>
    </w:div>
    <w:div w:id="141317766">
      <w:marLeft w:val="0"/>
      <w:marRight w:val="0"/>
      <w:marTop w:val="0"/>
      <w:marBottom w:val="0"/>
      <w:divBdr>
        <w:top w:val="none" w:sz="0" w:space="0" w:color="auto"/>
        <w:left w:val="none" w:sz="0" w:space="0" w:color="auto"/>
        <w:bottom w:val="none" w:sz="0" w:space="0" w:color="auto"/>
        <w:right w:val="none" w:sz="0" w:space="0" w:color="auto"/>
      </w:divBdr>
    </w:div>
    <w:div w:id="155267072">
      <w:bodyDiv w:val="1"/>
      <w:marLeft w:val="0"/>
      <w:marRight w:val="0"/>
      <w:marTop w:val="0"/>
      <w:marBottom w:val="0"/>
      <w:divBdr>
        <w:top w:val="none" w:sz="0" w:space="0" w:color="auto"/>
        <w:left w:val="none" w:sz="0" w:space="0" w:color="auto"/>
        <w:bottom w:val="none" w:sz="0" w:space="0" w:color="auto"/>
        <w:right w:val="none" w:sz="0" w:space="0" w:color="auto"/>
      </w:divBdr>
    </w:div>
    <w:div w:id="167597596">
      <w:marLeft w:val="0"/>
      <w:marRight w:val="0"/>
      <w:marTop w:val="0"/>
      <w:marBottom w:val="0"/>
      <w:divBdr>
        <w:top w:val="none" w:sz="0" w:space="0" w:color="auto"/>
        <w:left w:val="none" w:sz="0" w:space="0" w:color="auto"/>
        <w:bottom w:val="none" w:sz="0" w:space="0" w:color="auto"/>
        <w:right w:val="none" w:sz="0" w:space="0" w:color="auto"/>
      </w:divBdr>
      <w:divsChild>
        <w:div w:id="429664432">
          <w:marLeft w:val="0"/>
          <w:marRight w:val="0"/>
          <w:marTop w:val="0"/>
          <w:marBottom w:val="0"/>
          <w:divBdr>
            <w:top w:val="none" w:sz="0" w:space="0" w:color="auto"/>
            <w:left w:val="none" w:sz="0" w:space="0" w:color="auto"/>
            <w:bottom w:val="none" w:sz="0" w:space="0" w:color="auto"/>
            <w:right w:val="none" w:sz="0" w:space="0" w:color="auto"/>
          </w:divBdr>
        </w:div>
      </w:divsChild>
    </w:div>
    <w:div w:id="170262979">
      <w:bodyDiv w:val="1"/>
      <w:marLeft w:val="0"/>
      <w:marRight w:val="0"/>
      <w:marTop w:val="0"/>
      <w:marBottom w:val="0"/>
      <w:divBdr>
        <w:top w:val="none" w:sz="0" w:space="0" w:color="auto"/>
        <w:left w:val="none" w:sz="0" w:space="0" w:color="auto"/>
        <w:bottom w:val="none" w:sz="0" w:space="0" w:color="auto"/>
        <w:right w:val="none" w:sz="0" w:space="0" w:color="auto"/>
      </w:divBdr>
    </w:div>
    <w:div w:id="186524836">
      <w:marLeft w:val="0"/>
      <w:marRight w:val="0"/>
      <w:marTop w:val="0"/>
      <w:marBottom w:val="0"/>
      <w:divBdr>
        <w:top w:val="none" w:sz="0" w:space="0" w:color="auto"/>
        <w:left w:val="none" w:sz="0" w:space="0" w:color="auto"/>
        <w:bottom w:val="none" w:sz="0" w:space="0" w:color="auto"/>
        <w:right w:val="none" w:sz="0" w:space="0" w:color="auto"/>
      </w:divBdr>
      <w:divsChild>
        <w:div w:id="1959292355">
          <w:marLeft w:val="0"/>
          <w:marRight w:val="0"/>
          <w:marTop w:val="0"/>
          <w:marBottom w:val="0"/>
          <w:divBdr>
            <w:top w:val="none" w:sz="0" w:space="0" w:color="auto"/>
            <w:left w:val="none" w:sz="0" w:space="0" w:color="auto"/>
            <w:bottom w:val="none" w:sz="0" w:space="0" w:color="auto"/>
            <w:right w:val="none" w:sz="0" w:space="0" w:color="auto"/>
          </w:divBdr>
        </w:div>
      </w:divsChild>
    </w:div>
    <w:div w:id="240533174">
      <w:bodyDiv w:val="1"/>
      <w:marLeft w:val="0"/>
      <w:marRight w:val="0"/>
      <w:marTop w:val="0"/>
      <w:marBottom w:val="0"/>
      <w:divBdr>
        <w:top w:val="none" w:sz="0" w:space="0" w:color="auto"/>
        <w:left w:val="none" w:sz="0" w:space="0" w:color="auto"/>
        <w:bottom w:val="none" w:sz="0" w:space="0" w:color="auto"/>
        <w:right w:val="none" w:sz="0" w:space="0" w:color="auto"/>
      </w:divBdr>
      <w:divsChild>
        <w:div w:id="90590782">
          <w:marLeft w:val="0"/>
          <w:marRight w:val="0"/>
          <w:marTop w:val="0"/>
          <w:marBottom w:val="0"/>
          <w:divBdr>
            <w:top w:val="none" w:sz="0" w:space="0" w:color="auto"/>
            <w:left w:val="none" w:sz="0" w:space="0" w:color="auto"/>
            <w:bottom w:val="none" w:sz="0" w:space="0" w:color="auto"/>
            <w:right w:val="none" w:sz="0" w:space="0" w:color="auto"/>
          </w:divBdr>
          <w:divsChild>
            <w:div w:id="16586920">
              <w:marLeft w:val="0"/>
              <w:marRight w:val="0"/>
              <w:marTop w:val="0"/>
              <w:marBottom w:val="0"/>
              <w:divBdr>
                <w:top w:val="none" w:sz="0" w:space="0" w:color="auto"/>
                <w:left w:val="none" w:sz="0" w:space="0" w:color="auto"/>
                <w:bottom w:val="none" w:sz="0" w:space="0" w:color="auto"/>
                <w:right w:val="none" w:sz="0" w:space="0" w:color="auto"/>
              </w:divBdr>
            </w:div>
          </w:divsChild>
        </w:div>
        <w:div w:id="226764023">
          <w:marLeft w:val="0"/>
          <w:marRight w:val="0"/>
          <w:marTop w:val="0"/>
          <w:marBottom w:val="0"/>
          <w:divBdr>
            <w:top w:val="none" w:sz="0" w:space="0" w:color="auto"/>
            <w:left w:val="none" w:sz="0" w:space="0" w:color="auto"/>
            <w:bottom w:val="none" w:sz="0" w:space="0" w:color="auto"/>
            <w:right w:val="none" w:sz="0" w:space="0" w:color="auto"/>
          </w:divBdr>
          <w:divsChild>
            <w:div w:id="480542205">
              <w:marLeft w:val="0"/>
              <w:marRight w:val="0"/>
              <w:marTop w:val="0"/>
              <w:marBottom w:val="0"/>
              <w:divBdr>
                <w:top w:val="none" w:sz="0" w:space="0" w:color="auto"/>
                <w:left w:val="none" w:sz="0" w:space="0" w:color="auto"/>
                <w:bottom w:val="none" w:sz="0" w:space="0" w:color="auto"/>
                <w:right w:val="none" w:sz="0" w:space="0" w:color="auto"/>
              </w:divBdr>
            </w:div>
          </w:divsChild>
        </w:div>
        <w:div w:id="461465236">
          <w:marLeft w:val="0"/>
          <w:marRight w:val="0"/>
          <w:marTop w:val="0"/>
          <w:marBottom w:val="0"/>
          <w:divBdr>
            <w:top w:val="none" w:sz="0" w:space="0" w:color="auto"/>
            <w:left w:val="none" w:sz="0" w:space="0" w:color="auto"/>
            <w:bottom w:val="none" w:sz="0" w:space="0" w:color="auto"/>
            <w:right w:val="none" w:sz="0" w:space="0" w:color="auto"/>
          </w:divBdr>
          <w:divsChild>
            <w:div w:id="1810660832">
              <w:marLeft w:val="0"/>
              <w:marRight w:val="0"/>
              <w:marTop w:val="0"/>
              <w:marBottom w:val="0"/>
              <w:divBdr>
                <w:top w:val="none" w:sz="0" w:space="0" w:color="auto"/>
                <w:left w:val="none" w:sz="0" w:space="0" w:color="auto"/>
                <w:bottom w:val="none" w:sz="0" w:space="0" w:color="auto"/>
                <w:right w:val="none" w:sz="0" w:space="0" w:color="auto"/>
              </w:divBdr>
            </w:div>
          </w:divsChild>
        </w:div>
        <w:div w:id="762579199">
          <w:marLeft w:val="0"/>
          <w:marRight w:val="0"/>
          <w:marTop w:val="0"/>
          <w:marBottom w:val="0"/>
          <w:divBdr>
            <w:top w:val="none" w:sz="0" w:space="0" w:color="auto"/>
            <w:left w:val="none" w:sz="0" w:space="0" w:color="auto"/>
            <w:bottom w:val="none" w:sz="0" w:space="0" w:color="auto"/>
            <w:right w:val="none" w:sz="0" w:space="0" w:color="auto"/>
          </w:divBdr>
          <w:divsChild>
            <w:div w:id="111435914">
              <w:marLeft w:val="0"/>
              <w:marRight w:val="0"/>
              <w:marTop w:val="0"/>
              <w:marBottom w:val="0"/>
              <w:divBdr>
                <w:top w:val="none" w:sz="0" w:space="0" w:color="auto"/>
                <w:left w:val="none" w:sz="0" w:space="0" w:color="auto"/>
                <w:bottom w:val="none" w:sz="0" w:space="0" w:color="auto"/>
                <w:right w:val="none" w:sz="0" w:space="0" w:color="auto"/>
              </w:divBdr>
            </w:div>
          </w:divsChild>
        </w:div>
        <w:div w:id="820585115">
          <w:marLeft w:val="0"/>
          <w:marRight w:val="0"/>
          <w:marTop w:val="0"/>
          <w:marBottom w:val="0"/>
          <w:divBdr>
            <w:top w:val="none" w:sz="0" w:space="0" w:color="auto"/>
            <w:left w:val="none" w:sz="0" w:space="0" w:color="auto"/>
            <w:bottom w:val="none" w:sz="0" w:space="0" w:color="auto"/>
            <w:right w:val="none" w:sz="0" w:space="0" w:color="auto"/>
          </w:divBdr>
          <w:divsChild>
            <w:div w:id="885067698">
              <w:marLeft w:val="0"/>
              <w:marRight w:val="0"/>
              <w:marTop w:val="0"/>
              <w:marBottom w:val="0"/>
              <w:divBdr>
                <w:top w:val="none" w:sz="0" w:space="0" w:color="auto"/>
                <w:left w:val="none" w:sz="0" w:space="0" w:color="auto"/>
                <w:bottom w:val="none" w:sz="0" w:space="0" w:color="auto"/>
                <w:right w:val="none" w:sz="0" w:space="0" w:color="auto"/>
              </w:divBdr>
            </w:div>
          </w:divsChild>
        </w:div>
        <w:div w:id="893392386">
          <w:marLeft w:val="0"/>
          <w:marRight w:val="0"/>
          <w:marTop w:val="0"/>
          <w:marBottom w:val="0"/>
          <w:divBdr>
            <w:top w:val="none" w:sz="0" w:space="0" w:color="auto"/>
            <w:left w:val="none" w:sz="0" w:space="0" w:color="auto"/>
            <w:bottom w:val="none" w:sz="0" w:space="0" w:color="auto"/>
            <w:right w:val="none" w:sz="0" w:space="0" w:color="auto"/>
          </w:divBdr>
          <w:divsChild>
            <w:div w:id="1951820392">
              <w:marLeft w:val="0"/>
              <w:marRight w:val="0"/>
              <w:marTop w:val="0"/>
              <w:marBottom w:val="0"/>
              <w:divBdr>
                <w:top w:val="none" w:sz="0" w:space="0" w:color="auto"/>
                <w:left w:val="none" w:sz="0" w:space="0" w:color="auto"/>
                <w:bottom w:val="none" w:sz="0" w:space="0" w:color="auto"/>
                <w:right w:val="none" w:sz="0" w:space="0" w:color="auto"/>
              </w:divBdr>
            </w:div>
          </w:divsChild>
        </w:div>
        <w:div w:id="918366871">
          <w:marLeft w:val="0"/>
          <w:marRight w:val="0"/>
          <w:marTop w:val="0"/>
          <w:marBottom w:val="0"/>
          <w:divBdr>
            <w:top w:val="none" w:sz="0" w:space="0" w:color="auto"/>
            <w:left w:val="none" w:sz="0" w:space="0" w:color="auto"/>
            <w:bottom w:val="none" w:sz="0" w:space="0" w:color="auto"/>
            <w:right w:val="none" w:sz="0" w:space="0" w:color="auto"/>
          </w:divBdr>
          <w:divsChild>
            <w:div w:id="531040321">
              <w:marLeft w:val="0"/>
              <w:marRight w:val="0"/>
              <w:marTop w:val="0"/>
              <w:marBottom w:val="0"/>
              <w:divBdr>
                <w:top w:val="none" w:sz="0" w:space="0" w:color="auto"/>
                <w:left w:val="none" w:sz="0" w:space="0" w:color="auto"/>
                <w:bottom w:val="none" w:sz="0" w:space="0" w:color="auto"/>
                <w:right w:val="none" w:sz="0" w:space="0" w:color="auto"/>
              </w:divBdr>
            </w:div>
          </w:divsChild>
        </w:div>
        <w:div w:id="1393769718">
          <w:marLeft w:val="0"/>
          <w:marRight w:val="0"/>
          <w:marTop w:val="0"/>
          <w:marBottom w:val="0"/>
          <w:divBdr>
            <w:top w:val="none" w:sz="0" w:space="0" w:color="auto"/>
            <w:left w:val="none" w:sz="0" w:space="0" w:color="auto"/>
            <w:bottom w:val="none" w:sz="0" w:space="0" w:color="auto"/>
            <w:right w:val="none" w:sz="0" w:space="0" w:color="auto"/>
          </w:divBdr>
          <w:divsChild>
            <w:div w:id="2064713067">
              <w:marLeft w:val="0"/>
              <w:marRight w:val="0"/>
              <w:marTop w:val="0"/>
              <w:marBottom w:val="0"/>
              <w:divBdr>
                <w:top w:val="none" w:sz="0" w:space="0" w:color="auto"/>
                <w:left w:val="none" w:sz="0" w:space="0" w:color="auto"/>
                <w:bottom w:val="none" w:sz="0" w:space="0" w:color="auto"/>
                <w:right w:val="none" w:sz="0" w:space="0" w:color="auto"/>
              </w:divBdr>
            </w:div>
          </w:divsChild>
        </w:div>
        <w:div w:id="1499298884">
          <w:marLeft w:val="0"/>
          <w:marRight w:val="0"/>
          <w:marTop w:val="0"/>
          <w:marBottom w:val="0"/>
          <w:divBdr>
            <w:top w:val="none" w:sz="0" w:space="0" w:color="auto"/>
            <w:left w:val="none" w:sz="0" w:space="0" w:color="auto"/>
            <w:bottom w:val="none" w:sz="0" w:space="0" w:color="auto"/>
            <w:right w:val="none" w:sz="0" w:space="0" w:color="auto"/>
          </w:divBdr>
          <w:divsChild>
            <w:div w:id="1572305063">
              <w:marLeft w:val="0"/>
              <w:marRight w:val="0"/>
              <w:marTop w:val="0"/>
              <w:marBottom w:val="0"/>
              <w:divBdr>
                <w:top w:val="none" w:sz="0" w:space="0" w:color="auto"/>
                <w:left w:val="none" w:sz="0" w:space="0" w:color="auto"/>
                <w:bottom w:val="none" w:sz="0" w:space="0" w:color="auto"/>
                <w:right w:val="none" w:sz="0" w:space="0" w:color="auto"/>
              </w:divBdr>
            </w:div>
          </w:divsChild>
        </w:div>
        <w:div w:id="1715081958">
          <w:marLeft w:val="0"/>
          <w:marRight w:val="0"/>
          <w:marTop w:val="0"/>
          <w:marBottom w:val="0"/>
          <w:divBdr>
            <w:top w:val="none" w:sz="0" w:space="0" w:color="auto"/>
            <w:left w:val="none" w:sz="0" w:space="0" w:color="auto"/>
            <w:bottom w:val="none" w:sz="0" w:space="0" w:color="auto"/>
            <w:right w:val="none" w:sz="0" w:space="0" w:color="auto"/>
          </w:divBdr>
          <w:divsChild>
            <w:div w:id="848445574">
              <w:marLeft w:val="0"/>
              <w:marRight w:val="0"/>
              <w:marTop w:val="0"/>
              <w:marBottom w:val="0"/>
              <w:divBdr>
                <w:top w:val="none" w:sz="0" w:space="0" w:color="auto"/>
                <w:left w:val="none" w:sz="0" w:space="0" w:color="auto"/>
                <w:bottom w:val="none" w:sz="0" w:space="0" w:color="auto"/>
                <w:right w:val="none" w:sz="0" w:space="0" w:color="auto"/>
              </w:divBdr>
            </w:div>
          </w:divsChild>
        </w:div>
        <w:div w:id="1743525929">
          <w:marLeft w:val="0"/>
          <w:marRight w:val="0"/>
          <w:marTop w:val="0"/>
          <w:marBottom w:val="0"/>
          <w:divBdr>
            <w:top w:val="none" w:sz="0" w:space="0" w:color="auto"/>
            <w:left w:val="none" w:sz="0" w:space="0" w:color="auto"/>
            <w:bottom w:val="none" w:sz="0" w:space="0" w:color="auto"/>
            <w:right w:val="none" w:sz="0" w:space="0" w:color="auto"/>
          </w:divBdr>
          <w:divsChild>
            <w:div w:id="134568805">
              <w:marLeft w:val="0"/>
              <w:marRight w:val="0"/>
              <w:marTop w:val="0"/>
              <w:marBottom w:val="0"/>
              <w:divBdr>
                <w:top w:val="none" w:sz="0" w:space="0" w:color="auto"/>
                <w:left w:val="none" w:sz="0" w:space="0" w:color="auto"/>
                <w:bottom w:val="none" w:sz="0" w:space="0" w:color="auto"/>
                <w:right w:val="none" w:sz="0" w:space="0" w:color="auto"/>
              </w:divBdr>
            </w:div>
          </w:divsChild>
        </w:div>
        <w:div w:id="1802730198">
          <w:marLeft w:val="0"/>
          <w:marRight w:val="0"/>
          <w:marTop w:val="0"/>
          <w:marBottom w:val="0"/>
          <w:divBdr>
            <w:top w:val="none" w:sz="0" w:space="0" w:color="auto"/>
            <w:left w:val="none" w:sz="0" w:space="0" w:color="auto"/>
            <w:bottom w:val="none" w:sz="0" w:space="0" w:color="auto"/>
            <w:right w:val="none" w:sz="0" w:space="0" w:color="auto"/>
          </w:divBdr>
          <w:divsChild>
            <w:div w:id="68740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0771601">
      <w:marLeft w:val="0"/>
      <w:marRight w:val="0"/>
      <w:marTop w:val="0"/>
      <w:marBottom w:val="0"/>
      <w:divBdr>
        <w:top w:val="none" w:sz="0" w:space="0" w:color="auto"/>
        <w:left w:val="none" w:sz="0" w:space="0" w:color="auto"/>
        <w:bottom w:val="none" w:sz="0" w:space="0" w:color="auto"/>
        <w:right w:val="none" w:sz="0" w:space="0" w:color="auto"/>
      </w:divBdr>
      <w:divsChild>
        <w:div w:id="223108677">
          <w:marLeft w:val="0"/>
          <w:marRight w:val="0"/>
          <w:marTop w:val="0"/>
          <w:marBottom w:val="0"/>
          <w:divBdr>
            <w:top w:val="none" w:sz="0" w:space="0" w:color="auto"/>
            <w:left w:val="none" w:sz="0" w:space="0" w:color="auto"/>
            <w:bottom w:val="none" w:sz="0" w:space="0" w:color="auto"/>
            <w:right w:val="none" w:sz="0" w:space="0" w:color="auto"/>
          </w:divBdr>
        </w:div>
      </w:divsChild>
    </w:div>
    <w:div w:id="288360291">
      <w:bodyDiv w:val="1"/>
      <w:marLeft w:val="0"/>
      <w:marRight w:val="0"/>
      <w:marTop w:val="0"/>
      <w:marBottom w:val="0"/>
      <w:divBdr>
        <w:top w:val="none" w:sz="0" w:space="0" w:color="auto"/>
        <w:left w:val="none" w:sz="0" w:space="0" w:color="auto"/>
        <w:bottom w:val="none" w:sz="0" w:space="0" w:color="auto"/>
        <w:right w:val="none" w:sz="0" w:space="0" w:color="auto"/>
      </w:divBdr>
    </w:div>
    <w:div w:id="317925355">
      <w:marLeft w:val="0"/>
      <w:marRight w:val="0"/>
      <w:marTop w:val="0"/>
      <w:marBottom w:val="0"/>
      <w:divBdr>
        <w:top w:val="none" w:sz="0" w:space="0" w:color="auto"/>
        <w:left w:val="none" w:sz="0" w:space="0" w:color="auto"/>
        <w:bottom w:val="none" w:sz="0" w:space="0" w:color="auto"/>
        <w:right w:val="none" w:sz="0" w:space="0" w:color="auto"/>
      </w:divBdr>
      <w:divsChild>
        <w:div w:id="1631010624">
          <w:marLeft w:val="0"/>
          <w:marRight w:val="0"/>
          <w:marTop w:val="0"/>
          <w:marBottom w:val="0"/>
          <w:divBdr>
            <w:top w:val="none" w:sz="0" w:space="0" w:color="auto"/>
            <w:left w:val="none" w:sz="0" w:space="0" w:color="auto"/>
            <w:bottom w:val="none" w:sz="0" w:space="0" w:color="auto"/>
            <w:right w:val="none" w:sz="0" w:space="0" w:color="auto"/>
          </w:divBdr>
        </w:div>
      </w:divsChild>
    </w:div>
    <w:div w:id="344595939">
      <w:bodyDiv w:val="1"/>
      <w:marLeft w:val="0"/>
      <w:marRight w:val="0"/>
      <w:marTop w:val="0"/>
      <w:marBottom w:val="0"/>
      <w:divBdr>
        <w:top w:val="none" w:sz="0" w:space="0" w:color="auto"/>
        <w:left w:val="none" w:sz="0" w:space="0" w:color="auto"/>
        <w:bottom w:val="none" w:sz="0" w:space="0" w:color="auto"/>
        <w:right w:val="none" w:sz="0" w:space="0" w:color="auto"/>
      </w:divBdr>
    </w:div>
    <w:div w:id="385878311">
      <w:marLeft w:val="0"/>
      <w:marRight w:val="0"/>
      <w:marTop w:val="0"/>
      <w:marBottom w:val="0"/>
      <w:divBdr>
        <w:top w:val="none" w:sz="0" w:space="0" w:color="auto"/>
        <w:left w:val="none" w:sz="0" w:space="0" w:color="auto"/>
        <w:bottom w:val="none" w:sz="0" w:space="0" w:color="auto"/>
        <w:right w:val="none" w:sz="0" w:space="0" w:color="auto"/>
      </w:divBdr>
      <w:divsChild>
        <w:div w:id="679242163">
          <w:marLeft w:val="0"/>
          <w:marRight w:val="0"/>
          <w:marTop w:val="0"/>
          <w:marBottom w:val="0"/>
          <w:divBdr>
            <w:top w:val="none" w:sz="0" w:space="0" w:color="auto"/>
            <w:left w:val="none" w:sz="0" w:space="0" w:color="auto"/>
            <w:bottom w:val="none" w:sz="0" w:space="0" w:color="auto"/>
            <w:right w:val="none" w:sz="0" w:space="0" w:color="auto"/>
          </w:divBdr>
        </w:div>
      </w:divsChild>
    </w:div>
    <w:div w:id="428351606">
      <w:marLeft w:val="0"/>
      <w:marRight w:val="0"/>
      <w:marTop w:val="0"/>
      <w:marBottom w:val="0"/>
      <w:divBdr>
        <w:top w:val="none" w:sz="0" w:space="0" w:color="auto"/>
        <w:left w:val="none" w:sz="0" w:space="0" w:color="auto"/>
        <w:bottom w:val="none" w:sz="0" w:space="0" w:color="auto"/>
        <w:right w:val="none" w:sz="0" w:space="0" w:color="auto"/>
      </w:divBdr>
      <w:divsChild>
        <w:div w:id="1011878453">
          <w:marLeft w:val="0"/>
          <w:marRight w:val="0"/>
          <w:marTop w:val="0"/>
          <w:marBottom w:val="0"/>
          <w:divBdr>
            <w:top w:val="none" w:sz="0" w:space="0" w:color="auto"/>
            <w:left w:val="none" w:sz="0" w:space="0" w:color="auto"/>
            <w:bottom w:val="none" w:sz="0" w:space="0" w:color="auto"/>
            <w:right w:val="none" w:sz="0" w:space="0" w:color="auto"/>
          </w:divBdr>
        </w:div>
      </w:divsChild>
    </w:div>
    <w:div w:id="433063530">
      <w:marLeft w:val="0"/>
      <w:marRight w:val="0"/>
      <w:marTop w:val="0"/>
      <w:marBottom w:val="0"/>
      <w:divBdr>
        <w:top w:val="none" w:sz="0" w:space="0" w:color="auto"/>
        <w:left w:val="none" w:sz="0" w:space="0" w:color="auto"/>
        <w:bottom w:val="none" w:sz="0" w:space="0" w:color="auto"/>
        <w:right w:val="none" w:sz="0" w:space="0" w:color="auto"/>
      </w:divBdr>
      <w:divsChild>
        <w:div w:id="440421809">
          <w:marLeft w:val="0"/>
          <w:marRight w:val="0"/>
          <w:marTop w:val="0"/>
          <w:marBottom w:val="0"/>
          <w:divBdr>
            <w:top w:val="none" w:sz="0" w:space="0" w:color="auto"/>
            <w:left w:val="none" w:sz="0" w:space="0" w:color="auto"/>
            <w:bottom w:val="none" w:sz="0" w:space="0" w:color="auto"/>
            <w:right w:val="none" w:sz="0" w:space="0" w:color="auto"/>
          </w:divBdr>
        </w:div>
      </w:divsChild>
    </w:div>
    <w:div w:id="487022136">
      <w:marLeft w:val="0"/>
      <w:marRight w:val="0"/>
      <w:marTop w:val="0"/>
      <w:marBottom w:val="0"/>
      <w:divBdr>
        <w:top w:val="none" w:sz="0" w:space="0" w:color="auto"/>
        <w:left w:val="none" w:sz="0" w:space="0" w:color="auto"/>
        <w:bottom w:val="none" w:sz="0" w:space="0" w:color="auto"/>
        <w:right w:val="none" w:sz="0" w:space="0" w:color="auto"/>
      </w:divBdr>
      <w:divsChild>
        <w:div w:id="1770730964">
          <w:marLeft w:val="0"/>
          <w:marRight w:val="0"/>
          <w:marTop w:val="0"/>
          <w:marBottom w:val="0"/>
          <w:divBdr>
            <w:top w:val="none" w:sz="0" w:space="0" w:color="auto"/>
            <w:left w:val="none" w:sz="0" w:space="0" w:color="auto"/>
            <w:bottom w:val="none" w:sz="0" w:space="0" w:color="auto"/>
            <w:right w:val="none" w:sz="0" w:space="0" w:color="auto"/>
          </w:divBdr>
        </w:div>
      </w:divsChild>
    </w:div>
    <w:div w:id="518859682">
      <w:bodyDiv w:val="1"/>
      <w:marLeft w:val="0"/>
      <w:marRight w:val="0"/>
      <w:marTop w:val="0"/>
      <w:marBottom w:val="0"/>
      <w:divBdr>
        <w:top w:val="none" w:sz="0" w:space="0" w:color="auto"/>
        <w:left w:val="none" w:sz="0" w:space="0" w:color="auto"/>
        <w:bottom w:val="none" w:sz="0" w:space="0" w:color="auto"/>
        <w:right w:val="none" w:sz="0" w:space="0" w:color="auto"/>
      </w:divBdr>
    </w:div>
    <w:div w:id="547497473">
      <w:marLeft w:val="0"/>
      <w:marRight w:val="0"/>
      <w:marTop w:val="0"/>
      <w:marBottom w:val="0"/>
      <w:divBdr>
        <w:top w:val="none" w:sz="0" w:space="0" w:color="auto"/>
        <w:left w:val="none" w:sz="0" w:space="0" w:color="auto"/>
        <w:bottom w:val="none" w:sz="0" w:space="0" w:color="auto"/>
        <w:right w:val="none" w:sz="0" w:space="0" w:color="auto"/>
      </w:divBdr>
      <w:divsChild>
        <w:div w:id="1540899755">
          <w:marLeft w:val="0"/>
          <w:marRight w:val="0"/>
          <w:marTop w:val="0"/>
          <w:marBottom w:val="0"/>
          <w:divBdr>
            <w:top w:val="none" w:sz="0" w:space="0" w:color="auto"/>
            <w:left w:val="none" w:sz="0" w:space="0" w:color="auto"/>
            <w:bottom w:val="none" w:sz="0" w:space="0" w:color="auto"/>
            <w:right w:val="none" w:sz="0" w:space="0" w:color="auto"/>
          </w:divBdr>
        </w:div>
      </w:divsChild>
    </w:div>
    <w:div w:id="551888374">
      <w:marLeft w:val="0"/>
      <w:marRight w:val="0"/>
      <w:marTop w:val="0"/>
      <w:marBottom w:val="0"/>
      <w:divBdr>
        <w:top w:val="none" w:sz="0" w:space="0" w:color="auto"/>
        <w:left w:val="none" w:sz="0" w:space="0" w:color="auto"/>
        <w:bottom w:val="none" w:sz="0" w:space="0" w:color="auto"/>
        <w:right w:val="none" w:sz="0" w:space="0" w:color="auto"/>
      </w:divBdr>
      <w:divsChild>
        <w:div w:id="726221129">
          <w:marLeft w:val="0"/>
          <w:marRight w:val="0"/>
          <w:marTop w:val="0"/>
          <w:marBottom w:val="0"/>
          <w:divBdr>
            <w:top w:val="none" w:sz="0" w:space="0" w:color="auto"/>
            <w:left w:val="none" w:sz="0" w:space="0" w:color="auto"/>
            <w:bottom w:val="none" w:sz="0" w:space="0" w:color="auto"/>
            <w:right w:val="none" w:sz="0" w:space="0" w:color="auto"/>
          </w:divBdr>
        </w:div>
      </w:divsChild>
    </w:div>
    <w:div w:id="611129412">
      <w:bodyDiv w:val="1"/>
      <w:marLeft w:val="0"/>
      <w:marRight w:val="0"/>
      <w:marTop w:val="0"/>
      <w:marBottom w:val="0"/>
      <w:divBdr>
        <w:top w:val="none" w:sz="0" w:space="0" w:color="auto"/>
        <w:left w:val="none" w:sz="0" w:space="0" w:color="auto"/>
        <w:bottom w:val="none" w:sz="0" w:space="0" w:color="auto"/>
        <w:right w:val="none" w:sz="0" w:space="0" w:color="auto"/>
      </w:divBdr>
    </w:div>
    <w:div w:id="631986361">
      <w:marLeft w:val="0"/>
      <w:marRight w:val="0"/>
      <w:marTop w:val="0"/>
      <w:marBottom w:val="0"/>
      <w:divBdr>
        <w:top w:val="none" w:sz="0" w:space="0" w:color="auto"/>
        <w:left w:val="none" w:sz="0" w:space="0" w:color="auto"/>
        <w:bottom w:val="none" w:sz="0" w:space="0" w:color="auto"/>
        <w:right w:val="none" w:sz="0" w:space="0" w:color="auto"/>
      </w:divBdr>
      <w:divsChild>
        <w:div w:id="1148860204">
          <w:marLeft w:val="0"/>
          <w:marRight w:val="0"/>
          <w:marTop w:val="0"/>
          <w:marBottom w:val="0"/>
          <w:divBdr>
            <w:top w:val="none" w:sz="0" w:space="0" w:color="auto"/>
            <w:left w:val="none" w:sz="0" w:space="0" w:color="auto"/>
            <w:bottom w:val="none" w:sz="0" w:space="0" w:color="auto"/>
            <w:right w:val="none" w:sz="0" w:space="0" w:color="auto"/>
          </w:divBdr>
        </w:div>
      </w:divsChild>
    </w:div>
    <w:div w:id="653729429">
      <w:bodyDiv w:val="1"/>
      <w:marLeft w:val="0"/>
      <w:marRight w:val="0"/>
      <w:marTop w:val="0"/>
      <w:marBottom w:val="0"/>
      <w:divBdr>
        <w:top w:val="none" w:sz="0" w:space="0" w:color="auto"/>
        <w:left w:val="none" w:sz="0" w:space="0" w:color="auto"/>
        <w:bottom w:val="none" w:sz="0" w:space="0" w:color="auto"/>
        <w:right w:val="none" w:sz="0" w:space="0" w:color="auto"/>
      </w:divBdr>
    </w:div>
    <w:div w:id="685594330">
      <w:marLeft w:val="0"/>
      <w:marRight w:val="0"/>
      <w:marTop w:val="0"/>
      <w:marBottom w:val="0"/>
      <w:divBdr>
        <w:top w:val="none" w:sz="0" w:space="0" w:color="auto"/>
        <w:left w:val="none" w:sz="0" w:space="0" w:color="auto"/>
        <w:bottom w:val="none" w:sz="0" w:space="0" w:color="auto"/>
        <w:right w:val="none" w:sz="0" w:space="0" w:color="auto"/>
      </w:divBdr>
      <w:divsChild>
        <w:div w:id="1175412700">
          <w:marLeft w:val="0"/>
          <w:marRight w:val="0"/>
          <w:marTop w:val="0"/>
          <w:marBottom w:val="0"/>
          <w:divBdr>
            <w:top w:val="none" w:sz="0" w:space="0" w:color="auto"/>
            <w:left w:val="none" w:sz="0" w:space="0" w:color="auto"/>
            <w:bottom w:val="none" w:sz="0" w:space="0" w:color="auto"/>
            <w:right w:val="none" w:sz="0" w:space="0" w:color="auto"/>
          </w:divBdr>
        </w:div>
      </w:divsChild>
    </w:div>
    <w:div w:id="713239321">
      <w:marLeft w:val="0"/>
      <w:marRight w:val="0"/>
      <w:marTop w:val="0"/>
      <w:marBottom w:val="0"/>
      <w:divBdr>
        <w:top w:val="none" w:sz="0" w:space="0" w:color="auto"/>
        <w:left w:val="none" w:sz="0" w:space="0" w:color="auto"/>
        <w:bottom w:val="none" w:sz="0" w:space="0" w:color="auto"/>
        <w:right w:val="none" w:sz="0" w:space="0" w:color="auto"/>
      </w:divBdr>
      <w:divsChild>
        <w:div w:id="781344796">
          <w:marLeft w:val="0"/>
          <w:marRight w:val="0"/>
          <w:marTop w:val="0"/>
          <w:marBottom w:val="0"/>
          <w:divBdr>
            <w:top w:val="none" w:sz="0" w:space="0" w:color="auto"/>
            <w:left w:val="none" w:sz="0" w:space="0" w:color="auto"/>
            <w:bottom w:val="none" w:sz="0" w:space="0" w:color="auto"/>
            <w:right w:val="none" w:sz="0" w:space="0" w:color="auto"/>
          </w:divBdr>
        </w:div>
      </w:divsChild>
    </w:div>
    <w:div w:id="721948542">
      <w:marLeft w:val="0"/>
      <w:marRight w:val="0"/>
      <w:marTop w:val="0"/>
      <w:marBottom w:val="0"/>
      <w:divBdr>
        <w:top w:val="none" w:sz="0" w:space="0" w:color="auto"/>
        <w:left w:val="none" w:sz="0" w:space="0" w:color="auto"/>
        <w:bottom w:val="none" w:sz="0" w:space="0" w:color="auto"/>
        <w:right w:val="none" w:sz="0" w:space="0" w:color="auto"/>
      </w:divBdr>
      <w:divsChild>
        <w:div w:id="153493023">
          <w:marLeft w:val="0"/>
          <w:marRight w:val="0"/>
          <w:marTop w:val="0"/>
          <w:marBottom w:val="0"/>
          <w:divBdr>
            <w:top w:val="none" w:sz="0" w:space="0" w:color="auto"/>
            <w:left w:val="none" w:sz="0" w:space="0" w:color="auto"/>
            <w:bottom w:val="none" w:sz="0" w:space="0" w:color="auto"/>
            <w:right w:val="none" w:sz="0" w:space="0" w:color="auto"/>
          </w:divBdr>
        </w:div>
      </w:divsChild>
    </w:div>
    <w:div w:id="767969509">
      <w:marLeft w:val="0"/>
      <w:marRight w:val="0"/>
      <w:marTop w:val="0"/>
      <w:marBottom w:val="0"/>
      <w:divBdr>
        <w:top w:val="none" w:sz="0" w:space="0" w:color="auto"/>
        <w:left w:val="none" w:sz="0" w:space="0" w:color="auto"/>
        <w:bottom w:val="none" w:sz="0" w:space="0" w:color="auto"/>
        <w:right w:val="none" w:sz="0" w:space="0" w:color="auto"/>
      </w:divBdr>
      <w:divsChild>
        <w:div w:id="1054811166">
          <w:marLeft w:val="0"/>
          <w:marRight w:val="0"/>
          <w:marTop w:val="0"/>
          <w:marBottom w:val="0"/>
          <w:divBdr>
            <w:top w:val="none" w:sz="0" w:space="0" w:color="auto"/>
            <w:left w:val="none" w:sz="0" w:space="0" w:color="auto"/>
            <w:bottom w:val="none" w:sz="0" w:space="0" w:color="auto"/>
            <w:right w:val="none" w:sz="0" w:space="0" w:color="auto"/>
          </w:divBdr>
        </w:div>
      </w:divsChild>
    </w:div>
    <w:div w:id="811601309">
      <w:bodyDiv w:val="1"/>
      <w:marLeft w:val="0"/>
      <w:marRight w:val="0"/>
      <w:marTop w:val="0"/>
      <w:marBottom w:val="0"/>
      <w:divBdr>
        <w:top w:val="none" w:sz="0" w:space="0" w:color="auto"/>
        <w:left w:val="none" w:sz="0" w:space="0" w:color="auto"/>
        <w:bottom w:val="none" w:sz="0" w:space="0" w:color="auto"/>
        <w:right w:val="none" w:sz="0" w:space="0" w:color="auto"/>
      </w:divBdr>
    </w:div>
    <w:div w:id="840391325">
      <w:bodyDiv w:val="1"/>
      <w:marLeft w:val="0"/>
      <w:marRight w:val="0"/>
      <w:marTop w:val="0"/>
      <w:marBottom w:val="0"/>
      <w:divBdr>
        <w:top w:val="none" w:sz="0" w:space="0" w:color="auto"/>
        <w:left w:val="none" w:sz="0" w:space="0" w:color="auto"/>
        <w:bottom w:val="none" w:sz="0" w:space="0" w:color="auto"/>
        <w:right w:val="none" w:sz="0" w:space="0" w:color="auto"/>
      </w:divBdr>
    </w:div>
    <w:div w:id="869799551">
      <w:marLeft w:val="0"/>
      <w:marRight w:val="0"/>
      <w:marTop w:val="0"/>
      <w:marBottom w:val="0"/>
      <w:divBdr>
        <w:top w:val="none" w:sz="0" w:space="0" w:color="auto"/>
        <w:left w:val="none" w:sz="0" w:space="0" w:color="auto"/>
        <w:bottom w:val="none" w:sz="0" w:space="0" w:color="auto"/>
        <w:right w:val="none" w:sz="0" w:space="0" w:color="auto"/>
      </w:divBdr>
      <w:divsChild>
        <w:div w:id="245041190">
          <w:marLeft w:val="0"/>
          <w:marRight w:val="0"/>
          <w:marTop w:val="0"/>
          <w:marBottom w:val="0"/>
          <w:divBdr>
            <w:top w:val="none" w:sz="0" w:space="0" w:color="auto"/>
            <w:left w:val="none" w:sz="0" w:space="0" w:color="auto"/>
            <w:bottom w:val="none" w:sz="0" w:space="0" w:color="auto"/>
            <w:right w:val="none" w:sz="0" w:space="0" w:color="auto"/>
          </w:divBdr>
        </w:div>
      </w:divsChild>
    </w:div>
    <w:div w:id="923303240">
      <w:marLeft w:val="0"/>
      <w:marRight w:val="0"/>
      <w:marTop w:val="0"/>
      <w:marBottom w:val="0"/>
      <w:divBdr>
        <w:top w:val="none" w:sz="0" w:space="0" w:color="auto"/>
        <w:left w:val="none" w:sz="0" w:space="0" w:color="auto"/>
        <w:bottom w:val="none" w:sz="0" w:space="0" w:color="auto"/>
        <w:right w:val="none" w:sz="0" w:space="0" w:color="auto"/>
      </w:divBdr>
      <w:divsChild>
        <w:div w:id="422726669">
          <w:marLeft w:val="0"/>
          <w:marRight w:val="0"/>
          <w:marTop w:val="0"/>
          <w:marBottom w:val="0"/>
          <w:divBdr>
            <w:top w:val="none" w:sz="0" w:space="0" w:color="auto"/>
            <w:left w:val="none" w:sz="0" w:space="0" w:color="auto"/>
            <w:bottom w:val="none" w:sz="0" w:space="0" w:color="auto"/>
            <w:right w:val="none" w:sz="0" w:space="0" w:color="auto"/>
          </w:divBdr>
        </w:div>
      </w:divsChild>
    </w:div>
    <w:div w:id="943876595">
      <w:marLeft w:val="0"/>
      <w:marRight w:val="0"/>
      <w:marTop w:val="0"/>
      <w:marBottom w:val="0"/>
      <w:divBdr>
        <w:top w:val="none" w:sz="0" w:space="0" w:color="auto"/>
        <w:left w:val="none" w:sz="0" w:space="0" w:color="auto"/>
        <w:bottom w:val="none" w:sz="0" w:space="0" w:color="auto"/>
        <w:right w:val="none" w:sz="0" w:space="0" w:color="auto"/>
      </w:divBdr>
      <w:divsChild>
        <w:div w:id="1810130666">
          <w:marLeft w:val="0"/>
          <w:marRight w:val="0"/>
          <w:marTop w:val="0"/>
          <w:marBottom w:val="0"/>
          <w:divBdr>
            <w:top w:val="none" w:sz="0" w:space="0" w:color="auto"/>
            <w:left w:val="none" w:sz="0" w:space="0" w:color="auto"/>
            <w:bottom w:val="none" w:sz="0" w:space="0" w:color="auto"/>
            <w:right w:val="none" w:sz="0" w:space="0" w:color="auto"/>
          </w:divBdr>
        </w:div>
      </w:divsChild>
    </w:div>
    <w:div w:id="983388281">
      <w:bodyDiv w:val="1"/>
      <w:marLeft w:val="0"/>
      <w:marRight w:val="0"/>
      <w:marTop w:val="0"/>
      <w:marBottom w:val="0"/>
      <w:divBdr>
        <w:top w:val="none" w:sz="0" w:space="0" w:color="auto"/>
        <w:left w:val="none" w:sz="0" w:space="0" w:color="auto"/>
        <w:bottom w:val="none" w:sz="0" w:space="0" w:color="auto"/>
        <w:right w:val="none" w:sz="0" w:space="0" w:color="auto"/>
      </w:divBdr>
    </w:div>
    <w:div w:id="997728671">
      <w:bodyDiv w:val="1"/>
      <w:marLeft w:val="0"/>
      <w:marRight w:val="0"/>
      <w:marTop w:val="0"/>
      <w:marBottom w:val="0"/>
      <w:divBdr>
        <w:top w:val="none" w:sz="0" w:space="0" w:color="auto"/>
        <w:left w:val="none" w:sz="0" w:space="0" w:color="auto"/>
        <w:bottom w:val="none" w:sz="0" w:space="0" w:color="auto"/>
        <w:right w:val="none" w:sz="0" w:space="0" w:color="auto"/>
      </w:divBdr>
    </w:div>
    <w:div w:id="1019813448">
      <w:marLeft w:val="0"/>
      <w:marRight w:val="0"/>
      <w:marTop w:val="0"/>
      <w:marBottom w:val="0"/>
      <w:divBdr>
        <w:top w:val="none" w:sz="0" w:space="0" w:color="auto"/>
        <w:left w:val="none" w:sz="0" w:space="0" w:color="auto"/>
        <w:bottom w:val="none" w:sz="0" w:space="0" w:color="auto"/>
        <w:right w:val="none" w:sz="0" w:space="0" w:color="auto"/>
      </w:divBdr>
      <w:divsChild>
        <w:div w:id="1338850637">
          <w:marLeft w:val="0"/>
          <w:marRight w:val="0"/>
          <w:marTop w:val="0"/>
          <w:marBottom w:val="0"/>
          <w:divBdr>
            <w:top w:val="none" w:sz="0" w:space="0" w:color="auto"/>
            <w:left w:val="none" w:sz="0" w:space="0" w:color="auto"/>
            <w:bottom w:val="none" w:sz="0" w:space="0" w:color="auto"/>
            <w:right w:val="none" w:sz="0" w:space="0" w:color="auto"/>
          </w:divBdr>
        </w:div>
      </w:divsChild>
    </w:div>
    <w:div w:id="1027216228">
      <w:marLeft w:val="0"/>
      <w:marRight w:val="0"/>
      <w:marTop w:val="0"/>
      <w:marBottom w:val="0"/>
      <w:divBdr>
        <w:top w:val="none" w:sz="0" w:space="0" w:color="auto"/>
        <w:left w:val="none" w:sz="0" w:space="0" w:color="auto"/>
        <w:bottom w:val="none" w:sz="0" w:space="0" w:color="auto"/>
        <w:right w:val="none" w:sz="0" w:space="0" w:color="auto"/>
      </w:divBdr>
      <w:divsChild>
        <w:div w:id="200443">
          <w:marLeft w:val="0"/>
          <w:marRight w:val="0"/>
          <w:marTop w:val="0"/>
          <w:marBottom w:val="0"/>
          <w:divBdr>
            <w:top w:val="none" w:sz="0" w:space="0" w:color="auto"/>
            <w:left w:val="none" w:sz="0" w:space="0" w:color="auto"/>
            <w:bottom w:val="none" w:sz="0" w:space="0" w:color="auto"/>
            <w:right w:val="none" w:sz="0" w:space="0" w:color="auto"/>
          </w:divBdr>
        </w:div>
      </w:divsChild>
    </w:div>
    <w:div w:id="1073619979">
      <w:marLeft w:val="0"/>
      <w:marRight w:val="0"/>
      <w:marTop w:val="0"/>
      <w:marBottom w:val="0"/>
      <w:divBdr>
        <w:top w:val="none" w:sz="0" w:space="0" w:color="auto"/>
        <w:left w:val="none" w:sz="0" w:space="0" w:color="auto"/>
        <w:bottom w:val="none" w:sz="0" w:space="0" w:color="auto"/>
        <w:right w:val="none" w:sz="0" w:space="0" w:color="auto"/>
      </w:divBdr>
      <w:divsChild>
        <w:div w:id="1482889549">
          <w:marLeft w:val="0"/>
          <w:marRight w:val="0"/>
          <w:marTop w:val="0"/>
          <w:marBottom w:val="0"/>
          <w:divBdr>
            <w:top w:val="none" w:sz="0" w:space="0" w:color="auto"/>
            <w:left w:val="none" w:sz="0" w:space="0" w:color="auto"/>
            <w:bottom w:val="none" w:sz="0" w:space="0" w:color="auto"/>
            <w:right w:val="none" w:sz="0" w:space="0" w:color="auto"/>
          </w:divBdr>
        </w:div>
      </w:divsChild>
    </w:div>
    <w:div w:id="1077173930">
      <w:marLeft w:val="0"/>
      <w:marRight w:val="0"/>
      <w:marTop w:val="0"/>
      <w:marBottom w:val="0"/>
      <w:divBdr>
        <w:top w:val="none" w:sz="0" w:space="0" w:color="auto"/>
        <w:left w:val="none" w:sz="0" w:space="0" w:color="auto"/>
        <w:bottom w:val="none" w:sz="0" w:space="0" w:color="auto"/>
        <w:right w:val="none" w:sz="0" w:space="0" w:color="auto"/>
      </w:divBdr>
      <w:divsChild>
        <w:div w:id="167446403">
          <w:marLeft w:val="0"/>
          <w:marRight w:val="0"/>
          <w:marTop w:val="0"/>
          <w:marBottom w:val="0"/>
          <w:divBdr>
            <w:top w:val="none" w:sz="0" w:space="0" w:color="auto"/>
            <w:left w:val="none" w:sz="0" w:space="0" w:color="auto"/>
            <w:bottom w:val="none" w:sz="0" w:space="0" w:color="auto"/>
            <w:right w:val="none" w:sz="0" w:space="0" w:color="auto"/>
          </w:divBdr>
        </w:div>
      </w:divsChild>
    </w:div>
    <w:div w:id="1085493964">
      <w:bodyDiv w:val="1"/>
      <w:marLeft w:val="0"/>
      <w:marRight w:val="0"/>
      <w:marTop w:val="0"/>
      <w:marBottom w:val="0"/>
      <w:divBdr>
        <w:top w:val="none" w:sz="0" w:space="0" w:color="auto"/>
        <w:left w:val="none" w:sz="0" w:space="0" w:color="auto"/>
        <w:bottom w:val="none" w:sz="0" w:space="0" w:color="auto"/>
        <w:right w:val="none" w:sz="0" w:space="0" w:color="auto"/>
      </w:divBdr>
    </w:div>
    <w:div w:id="1156915441">
      <w:marLeft w:val="0"/>
      <w:marRight w:val="0"/>
      <w:marTop w:val="0"/>
      <w:marBottom w:val="0"/>
      <w:divBdr>
        <w:top w:val="none" w:sz="0" w:space="0" w:color="auto"/>
        <w:left w:val="none" w:sz="0" w:space="0" w:color="auto"/>
        <w:bottom w:val="none" w:sz="0" w:space="0" w:color="auto"/>
        <w:right w:val="none" w:sz="0" w:space="0" w:color="auto"/>
      </w:divBdr>
      <w:divsChild>
        <w:div w:id="1203640600">
          <w:marLeft w:val="0"/>
          <w:marRight w:val="0"/>
          <w:marTop w:val="0"/>
          <w:marBottom w:val="0"/>
          <w:divBdr>
            <w:top w:val="none" w:sz="0" w:space="0" w:color="auto"/>
            <w:left w:val="none" w:sz="0" w:space="0" w:color="auto"/>
            <w:bottom w:val="none" w:sz="0" w:space="0" w:color="auto"/>
            <w:right w:val="none" w:sz="0" w:space="0" w:color="auto"/>
          </w:divBdr>
        </w:div>
      </w:divsChild>
    </w:div>
    <w:div w:id="1158233078">
      <w:bodyDiv w:val="1"/>
      <w:marLeft w:val="0"/>
      <w:marRight w:val="0"/>
      <w:marTop w:val="0"/>
      <w:marBottom w:val="0"/>
      <w:divBdr>
        <w:top w:val="none" w:sz="0" w:space="0" w:color="auto"/>
        <w:left w:val="none" w:sz="0" w:space="0" w:color="auto"/>
        <w:bottom w:val="none" w:sz="0" w:space="0" w:color="auto"/>
        <w:right w:val="none" w:sz="0" w:space="0" w:color="auto"/>
      </w:divBdr>
    </w:div>
    <w:div w:id="1159227402">
      <w:marLeft w:val="0"/>
      <w:marRight w:val="0"/>
      <w:marTop w:val="0"/>
      <w:marBottom w:val="0"/>
      <w:divBdr>
        <w:top w:val="none" w:sz="0" w:space="0" w:color="auto"/>
        <w:left w:val="none" w:sz="0" w:space="0" w:color="auto"/>
        <w:bottom w:val="none" w:sz="0" w:space="0" w:color="auto"/>
        <w:right w:val="none" w:sz="0" w:space="0" w:color="auto"/>
      </w:divBdr>
      <w:divsChild>
        <w:div w:id="461505371">
          <w:marLeft w:val="0"/>
          <w:marRight w:val="0"/>
          <w:marTop w:val="0"/>
          <w:marBottom w:val="0"/>
          <w:divBdr>
            <w:top w:val="none" w:sz="0" w:space="0" w:color="auto"/>
            <w:left w:val="none" w:sz="0" w:space="0" w:color="auto"/>
            <w:bottom w:val="none" w:sz="0" w:space="0" w:color="auto"/>
            <w:right w:val="none" w:sz="0" w:space="0" w:color="auto"/>
          </w:divBdr>
        </w:div>
      </w:divsChild>
    </w:div>
    <w:div w:id="1164122332">
      <w:marLeft w:val="0"/>
      <w:marRight w:val="0"/>
      <w:marTop w:val="0"/>
      <w:marBottom w:val="0"/>
      <w:divBdr>
        <w:top w:val="none" w:sz="0" w:space="0" w:color="auto"/>
        <w:left w:val="none" w:sz="0" w:space="0" w:color="auto"/>
        <w:bottom w:val="none" w:sz="0" w:space="0" w:color="auto"/>
        <w:right w:val="none" w:sz="0" w:space="0" w:color="auto"/>
      </w:divBdr>
      <w:divsChild>
        <w:div w:id="1157644745">
          <w:marLeft w:val="0"/>
          <w:marRight w:val="0"/>
          <w:marTop w:val="0"/>
          <w:marBottom w:val="0"/>
          <w:divBdr>
            <w:top w:val="none" w:sz="0" w:space="0" w:color="auto"/>
            <w:left w:val="none" w:sz="0" w:space="0" w:color="auto"/>
            <w:bottom w:val="none" w:sz="0" w:space="0" w:color="auto"/>
            <w:right w:val="none" w:sz="0" w:space="0" w:color="auto"/>
          </w:divBdr>
        </w:div>
      </w:divsChild>
    </w:div>
    <w:div w:id="1179655244">
      <w:marLeft w:val="0"/>
      <w:marRight w:val="0"/>
      <w:marTop w:val="0"/>
      <w:marBottom w:val="0"/>
      <w:divBdr>
        <w:top w:val="none" w:sz="0" w:space="0" w:color="auto"/>
        <w:left w:val="none" w:sz="0" w:space="0" w:color="auto"/>
        <w:bottom w:val="none" w:sz="0" w:space="0" w:color="auto"/>
        <w:right w:val="none" w:sz="0" w:space="0" w:color="auto"/>
      </w:divBdr>
      <w:divsChild>
        <w:div w:id="8869726">
          <w:marLeft w:val="0"/>
          <w:marRight w:val="0"/>
          <w:marTop w:val="0"/>
          <w:marBottom w:val="0"/>
          <w:divBdr>
            <w:top w:val="none" w:sz="0" w:space="0" w:color="auto"/>
            <w:left w:val="none" w:sz="0" w:space="0" w:color="auto"/>
            <w:bottom w:val="none" w:sz="0" w:space="0" w:color="auto"/>
            <w:right w:val="none" w:sz="0" w:space="0" w:color="auto"/>
          </w:divBdr>
        </w:div>
      </w:divsChild>
    </w:div>
    <w:div w:id="1250430003">
      <w:bodyDiv w:val="1"/>
      <w:marLeft w:val="0"/>
      <w:marRight w:val="0"/>
      <w:marTop w:val="0"/>
      <w:marBottom w:val="0"/>
      <w:divBdr>
        <w:top w:val="none" w:sz="0" w:space="0" w:color="auto"/>
        <w:left w:val="none" w:sz="0" w:space="0" w:color="auto"/>
        <w:bottom w:val="none" w:sz="0" w:space="0" w:color="auto"/>
        <w:right w:val="none" w:sz="0" w:space="0" w:color="auto"/>
      </w:divBdr>
    </w:div>
    <w:div w:id="1267540004">
      <w:marLeft w:val="0"/>
      <w:marRight w:val="0"/>
      <w:marTop w:val="0"/>
      <w:marBottom w:val="0"/>
      <w:divBdr>
        <w:top w:val="none" w:sz="0" w:space="0" w:color="auto"/>
        <w:left w:val="none" w:sz="0" w:space="0" w:color="auto"/>
        <w:bottom w:val="none" w:sz="0" w:space="0" w:color="auto"/>
        <w:right w:val="none" w:sz="0" w:space="0" w:color="auto"/>
      </w:divBdr>
      <w:divsChild>
        <w:div w:id="1958902080">
          <w:marLeft w:val="0"/>
          <w:marRight w:val="0"/>
          <w:marTop w:val="0"/>
          <w:marBottom w:val="0"/>
          <w:divBdr>
            <w:top w:val="none" w:sz="0" w:space="0" w:color="auto"/>
            <w:left w:val="none" w:sz="0" w:space="0" w:color="auto"/>
            <w:bottom w:val="none" w:sz="0" w:space="0" w:color="auto"/>
            <w:right w:val="none" w:sz="0" w:space="0" w:color="auto"/>
          </w:divBdr>
        </w:div>
      </w:divsChild>
    </w:div>
    <w:div w:id="1318458701">
      <w:marLeft w:val="0"/>
      <w:marRight w:val="0"/>
      <w:marTop w:val="0"/>
      <w:marBottom w:val="0"/>
      <w:divBdr>
        <w:top w:val="none" w:sz="0" w:space="0" w:color="auto"/>
        <w:left w:val="none" w:sz="0" w:space="0" w:color="auto"/>
        <w:bottom w:val="none" w:sz="0" w:space="0" w:color="auto"/>
        <w:right w:val="none" w:sz="0" w:space="0" w:color="auto"/>
      </w:divBdr>
      <w:divsChild>
        <w:div w:id="86200127">
          <w:marLeft w:val="0"/>
          <w:marRight w:val="0"/>
          <w:marTop w:val="0"/>
          <w:marBottom w:val="0"/>
          <w:divBdr>
            <w:top w:val="none" w:sz="0" w:space="0" w:color="auto"/>
            <w:left w:val="none" w:sz="0" w:space="0" w:color="auto"/>
            <w:bottom w:val="none" w:sz="0" w:space="0" w:color="auto"/>
            <w:right w:val="none" w:sz="0" w:space="0" w:color="auto"/>
          </w:divBdr>
        </w:div>
      </w:divsChild>
    </w:div>
    <w:div w:id="1320773031">
      <w:marLeft w:val="0"/>
      <w:marRight w:val="0"/>
      <w:marTop w:val="0"/>
      <w:marBottom w:val="0"/>
      <w:divBdr>
        <w:top w:val="none" w:sz="0" w:space="0" w:color="auto"/>
        <w:left w:val="none" w:sz="0" w:space="0" w:color="auto"/>
        <w:bottom w:val="none" w:sz="0" w:space="0" w:color="auto"/>
        <w:right w:val="none" w:sz="0" w:space="0" w:color="auto"/>
      </w:divBdr>
      <w:divsChild>
        <w:div w:id="447160377">
          <w:marLeft w:val="0"/>
          <w:marRight w:val="0"/>
          <w:marTop w:val="0"/>
          <w:marBottom w:val="0"/>
          <w:divBdr>
            <w:top w:val="none" w:sz="0" w:space="0" w:color="auto"/>
            <w:left w:val="none" w:sz="0" w:space="0" w:color="auto"/>
            <w:bottom w:val="none" w:sz="0" w:space="0" w:color="auto"/>
            <w:right w:val="none" w:sz="0" w:space="0" w:color="auto"/>
          </w:divBdr>
        </w:div>
      </w:divsChild>
    </w:div>
    <w:div w:id="1351223085">
      <w:marLeft w:val="0"/>
      <w:marRight w:val="0"/>
      <w:marTop w:val="0"/>
      <w:marBottom w:val="0"/>
      <w:divBdr>
        <w:top w:val="none" w:sz="0" w:space="0" w:color="auto"/>
        <w:left w:val="none" w:sz="0" w:space="0" w:color="auto"/>
        <w:bottom w:val="none" w:sz="0" w:space="0" w:color="auto"/>
        <w:right w:val="none" w:sz="0" w:space="0" w:color="auto"/>
      </w:divBdr>
      <w:divsChild>
        <w:div w:id="1641307174">
          <w:marLeft w:val="0"/>
          <w:marRight w:val="0"/>
          <w:marTop w:val="0"/>
          <w:marBottom w:val="0"/>
          <w:divBdr>
            <w:top w:val="none" w:sz="0" w:space="0" w:color="auto"/>
            <w:left w:val="none" w:sz="0" w:space="0" w:color="auto"/>
            <w:bottom w:val="none" w:sz="0" w:space="0" w:color="auto"/>
            <w:right w:val="none" w:sz="0" w:space="0" w:color="auto"/>
          </w:divBdr>
        </w:div>
      </w:divsChild>
    </w:div>
    <w:div w:id="1363556336">
      <w:marLeft w:val="0"/>
      <w:marRight w:val="0"/>
      <w:marTop w:val="0"/>
      <w:marBottom w:val="0"/>
      <w:divBdr>
        <w:top w:val="none" w:sz="0" w:space="0" w:color="auto"/>
        <w:left w:val="none" w:sz="0" w:space="0" w:color="auto"/>
        <w:bottom w:val="none" w:sz="0" w:space="0" w:color="auto"/>
        <w:right w:val="none" w:sz="0" w:space="0" w:color="auto"/>
      </w:divBdr>
      <w:divsChild>
        <w:div w:id="1877307635">
          <w:marLeft w:val="0"/>
          <w:marRight w:val="0"/>
          <w:marTop w:val="0"/>
          <w:marBottom w:val="0"/>
          <w:divBdr>
            <w:top w:val="none" w:sz="0" w:space="0" w:color="auto"/>
            <w:left w:val="none" w:sz="0" w:space="0" w:color="auto"/>
            <w:bottom w:val="none" w:sz="0" w:space="0" w:color="auto"/>
            <w:right w:val="none" w:sz="0" w:space="0" w:color="auto"/>
          </w:divBdr>
        </w:div>
      </w:divsChild>
    </w:div>
    <w:div w:id="1390036088">
      <w:bodyDiv w:val="1"/>
      <w:marLeft w:val="0"/>
      <w:marRight w:val="0"/>
      <w:marTop w:val="0"/>
      <w:marBottom w:val="0"/>
      <w:divBdr>
        <w:top w:val="none" w:sz="0" w:space="0" w:color="auto"/>
        <w:left w:val="none" w:sz="0" w:space="0" w:color="auto"/>
        <w:bottom w:val="none" w:sz="0" w:space="0" w:color="auto"/>
        <w:right w:val="none" w:sz="0" w:space="0" w:color="auto"/>
      </w:divBdr>
    </w:div>
    <w:div w:id="1421439589">
      <w:bodyDiv w:val="1"/>
      <w:marLeft w:val="0"/>
      <w:marRight w:val="0"/>
      <w:marTop w:val="0"/>
      <w:marBottom w:val="0"/>
      <w:divBdr>
        <w:top w:val="none" w:sz="0" w:space="0" w:color="auto"/>
        <w:left w:val="none" w:sz="0" w:space="0" w:color="auto"/>
        <w:bottom w:val="none" w:sz="0" w:space="0" w:color="auto"/>
        <w:right w:val="none" w:sz="0" w:space="0" w:color="auto"/>
      </w:divBdr>
      <w:divsChild>
        <w:div w:id="684095532">
          <w:marLeft w:val="0"/>
          <w:marRight w:val="0"/>
          <w:marTop w:val="0"/>
          <w:marBottom w:val="0"/>
          <w:divBdr>
            <w:top w:val="none" w:sz="0" w:space="0" w:color="auto"/>
            <w:left w:val="none" w:sz="0" w:space="0" w:color="auto"/>
            <w:bottom w:val="none" w:sz="0" w:space="0" w:color="auto"/>
            <w:right w:val="none" w:sz="0" w:space="0" w:color="auto"/>
          </w:divBdr>
          <w:divsChild>
            <w:div w:id="403258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3956271">
      <w:marLeft w:val="0"/>
      <w:marRight w:val="0"/>
      <w:marTop w:val="0"/>
      <w:marBottom w:val="0"/>
      <w:divBdr>
        <w:top w:val="none" w:sz="0" w:space="0" w:color="auto"/>
        <w:left w:val="none" w:sz="0" w:space="0" w:color="auto"/>
        <w:bottom w:val="none" w:sz="0" w:space="0" w:color="auto"/>
        <w:right w:val="none" w:sz="0" w:space="0" w:color="auto"/>
      </w:divBdr>
      <w:divsChild>
        <w:div w:id="807556918">
          <w:marLeft w:val="0"/>
          <w:marRight w:val="0"/>
          <w:marTop w:val="0"/>
          <w:marBottom w:val="0"/>
          <w:divBdr>
            <w:top w:val="none" w:sz="0" w:space="0" w:color="auto"/>
            <w:left w:val="none" w:sz="0" w:space="0" w:color="auto"/>
            <w:bottom w:val="none" w:sz="0" w:space="0" w:color="auto"/>
            <w:right w:val="none" w:sz="0" w:space="0" w:color="auto"/>
          </w:divBdr>
        </w:div>
      </w:divsChild>
    </w:div>
    <w:div w:id="1459254718">
      <w:marLeft w:val="0"/>
      <w:marRight w:val="0"/>
      <w:marTop w:val="0"/>
      <w:marBottom w:val="0"/>
      <w:divBdr>
        <w:top w:val="none" w:sz="0" w:space="0" w:color="auto"/>
        <w:left w:val="none" w:sz="0" w:space="0" w:color="auto"/>
        <w:bottom w:val="none" w:sz="0" w:space="0" w:color="auto"/>
        <w:right w:val="none" w:sz="0" w:space="0" w:color="auto"/>
      </w:divBdr>
      <w:divsChild>
        <w:div w:id="1330602447">
          <w:marLeft w:val="0"/>
          <w:marRight w:val="0"/>
          <w:marTop w:val="0"/>
          <w:marBottom w:val="0"/>
          <w:divBdr>
            <w:top w:val="none" w:sz="0" w:space="0" w:color="auto"/>
            <w:left w:val="none" w:sz="0" w:space="0" w:color="auto"/>
            <w:bottom w:val="none" w:sz="0" w:space="0" w:color="auto"/>
            <w:right w:val="none" w:sz="0" w:space="0" w:color="auto"/>
          </w:divBdr>
        </w:div>
      </w:divsChild>
    </w:div>
    <w:div w:id="1464423276">
      <w:marLeft w:val="0"/>
      <w:marRight w:val="0"/>
      <w:marTop w:val="0"/>
      <w:marBottom w:val="0"/>
      <w:divBdr>
        <w:top w:val="none" w:sz="0" w:space="0" w:color="auto"/>
        <w:left w:val="none" w:sz="0" w:space="0" w:color="auto"/>
        <w:bottom w:val="none" w:sz="0" w:space="0" w:color="auto"/>
        <w:right w:val="none" w:sz="0" w:space="0" w:color="auto"/>
      </w:divBdr>
      <w:divsChild>
        <w:div w:id="837616979">
          <w:marLeft w:val="0"/>
          <w:marRight w:val="0"/>
          <w:marTop w:val="0"/>
          <w:marBottom w:val="0"/>
          <w:divBdr>
            <w:top w:val="none" w:sz="0" w:space="0" w:color="auto"/>
            <w:left w:val="none" w:sz="0" w:space="0" w:color="auto"/>
            <w:bottom w:val="none" w:sz="0" w:space="0" w:color="auto"/>
            <w:right w:val="none" w:sz="0" w:space="0" w:color="auto"/>
          </w:divBdr>
        </w:div>
      </w:divsChild>
    </w:div>
    <w:div w:id="1469318202">
      <w:marLeft w:val="0"/>
      <w:marRight w:val="0"/>
      <w:marTop w:val="0"/>
      <w:marBottom w:val="0"/>
      <w:divBdr>
        <w:top w:val="none" w:sz="0" w:space="0" w:color="auto"/>
        <w:left w:val="none" w:sz="0" w:space="0" w:color="auto"/>
        <w:bottom w:val="none" w:sz="0" w:space="0" w:color="auto"/>
        <w:right w:val="none" w:sz="0" w:space="0" w:color="auto"/>
      </w:divBdr>
      <w:divsChild>
        <w:div w:id="57632204">
          <w:marLeft w:val="0"/>
          <w:marRight w:val="0"/>
          <w:marTop w:val="0"/>
          <w:marBottom w:val="0"/>
          <w:divBdr>
            <w:top w:val="none" w:sz="0" w:space="0" w:color="auto"/>
            <w:left w:val="none" w:sz="0" w:space="0" w:color="auto"/>
            <w:bottom w:val="none" w:sz="0" w:space="0" w:color="auto"/>
            <w:right w:val="none" w:sz="0" w:space="0" w:color="auto"/>
          </w:divBdr>
        </w:div>
      </w:divsChild>
    </w:div>
    <w:div w:id="1511480646">
      <w:marLeft w:val="0"/>
      <w:marRight w:val="0"/>
      <w:marTop w:val="0"/>
      <w:marBottom w:val="0"/>
      <w:divBdr>
        <w:top w:val="none" w:sz="0" w:space="0" w:color="auto"/>
        <w:left w:val="none" w:sz="0" w:space="0" w:color="auto"/>
        <w:bottom w:val="none" w:sz="0" w:space="0" w:color="auto"/>
        <w:right w:val="none" w:sz="0" w:space="0" w:color="auto"/>
      </w:divBdr>
      <w:divsChild>
        <w:div w:id="1979725887">
          <w:marLeft w:val="0"/>
          <w:marRight w:val="0"/>
          <w:marTop w:val="0"/>
          <w:marBottom w:val="0"/>
          <w:divBdr>
            <w:top w:val="none" w:sz="0" w:space="0" w:color="auto"/>
            <w:left w:val="none" w:sz="0" w:space="0" w:color="auto"/>
            <w:bottom w:val="none" w:sz="0" w:space="0" w:color="auto"/>
            <w:right w:val="none" w:sz="0" w:space="0" w:color="auto"/>
          </w:divBdr>
        </w:div>
      </w:divsChild>
    </w:div>
    <w:div w:id="1565723858">
      <w:marLeft w:val="0"/>
      <w:marRight w:val="0"/>
      <w:marTop w:val="0"/>
      <w:marBottom w:val="0"/>
      <w:divBdr>
        <w:top w:val="none" w:sz="0" w:space="0" w:color="auto"/>
        <w:left w:val="none" w:sz="0" w:space="0" w:color="auto"/>
        <w:bottom w:val="none" w:sz="0" w:space="0" w:color="auto"/>
        <w:right w:val="none" w:sz="0" w:space="0" w:color="auto"/>
      </w:divBdr>
      <w:divsChild>
        <w:div w:id="1742872717">
          <w:marLeft w:val="0"/>
          <w:marRight w:val="0"/>
          <w:marTop w:val="0"/>
          <w:marBottom w:val="0"/>
          <w:divBdr>
            <w:top w:val="none" w:sz="0" w:space="0" w:color="auto"/>
            <w:left w:val="none" w:sz="0" w:space="0" w:color="auto"/>
            <w:bottom w:val="none" w:sz="0" w:space="0" w:color="auto"/>
            <w:right w:val="none" w:sz="0" w:space="0" w:color="auto"/>
          </w:divBdr>
        </w:div>
      </w:divsChild>
    </w:div>
    <w:div w:id="1572425976">
      <w:bodyDiv w:val="1"/>
      <w:marLeft w:val="0"/>
      <w:marRight w:val="0"/>
      <w:marTop w:val="0"/>
      <w:marBottom w:val="0"/>
      <w:divBdr>
        <w:top w:val="none" w:sz="0" w:space="0" w:color="auto"/>
        <w:left w:val="none" w:sz="0" w:space="0" w:color="auto"/>
        <w:bottom w:val="none" w:sz="0" w:space="0" w:color="auto"/>
        <w:right w:val="none" w:sz="0" w:space="0" w:color="auto"/>
      </w:divBdr>
    </w:div>
    <w:div w:id="1586182651">
      <w:marLeft w:val="0"/>
      <w:marRight w:val="0"/>
      <w:marTop w:val="0"/>
      <w:marBottom w:val="0"/>
      <w:divBdr>
        <w:top w:val="none" w:sz="0" w:space="0" w:color="auto"/>
        <w:left w:val="none" w:sz="0" w:space="0" w:color="auto"/>
        <w:bottom w:val="none" w:sz="0" w:space="0" w:color="auto"/>
        <w:right w:val="none" w:sz="0" w:space="0" w:color="auto"/>
      </w:divBdr>
      <w:divsChild>
        <w:div w:id="872423962">
          <w:marLeft w:val="0"/>
          <w:marRight w:val="0"/>
          <w:marTop w:val="0"/>
          <w:marBottom w:val="0"/>
          <w:divBdr>
            <w:top w:val="none" w:sz="0" w:space="0" w:color="auto"/>
            <w:left w:val="none" w:sz="0" w:space="0" w:color="auto"/>
            <w:bottom w:val="none" w:sz="0" w:space="0" w:color="auto"/>
            <w:right w:val="none" w:sz="0" w:space="0" w:color="auto"/>
          </w:divBdr>
        </w:div>
      </w:divsChild>
    </w:div>
    <w:div w:id="1586840727">
      <w:marLeft w:val="0"/>
      <w:marRight w:val="0"/>
      <w:marTop w:val="0"/>
      <w:marBottom w:val="0"/>
      <w:divBdr>
        <w:top w:val="none" w:sz="0" w:space="0" w:color="auto"/>
        <w:left w:val="none" w:sz="0" w:space="0" w:color="auto"/>
        <w:bottom w:val="none" w:sz="0" w:space="0" w:color="auto"/>
        <w:right w:val="none" w:sz="0" w:space="0" w:color="auto"/>
      </w:divBdr>
      <w:divsChild>
        <w:div w:id="1740712375">
          <w:marLeft w:val="0"/>
          <w:marRight w:val="0"/>
          <w:marTop w:val="0"/>
          <w:marBottom w:val="0"/>
          <w:divBdr>
            <w:top w:val="none" w:sz="0" w:space="0" w:color="auto"/>
            <w:left w:val="none" w:sz="0" w:space="0" w:color="auto"/>
            <w:bottom w:val="none" w:sz="0" w:space="0" w:color="auto"/>
            <w:right w:val="none" w:sz="0" w:space="0" w:color="auto"/>
          </w:divBdr>
        </w:div>
      </w:divsChild>
    </w:div>
    <w:div w:id="1606693272">
      <w:marLeft w:val="0"/>
      <w:marRight w:val="0"/>
      <w:marTop w:val="0"/>
      <w:marBottom w:val="0"/>
      <w:divBdr>
        <w:top w:val="none" w:sz="0" w:space="0" w:color="auto"/>
        <w:left w:val="none" w:sz="0" w:space="0" w:color="auto"/>
        <w:bottom w:val="none" w:sz="0" w:space="0" w:color="auto"/>
        <w:right w:val="none" w:sz="0" w:space="0" w:color="auto"/>
      </w:divBdr>
      <w:divsChild>
        <w:div w:id="269700094">
          <w:marLeft w:val="0"/>
          <w:marRight w:val="0"/>
          <w:marTop w:val="0"/>
          <w:marBottom w:val="0"/>
          <w:divBdr>
            <w:top w:val="none" w:sz="0" w:space="0" w:color="auto"/>
            <w:left w:val="none" w:sz="0" w:space="0" w:color="auto"/>
            <w:bottom w:val="none" w:sz="0" w:space="0" w:color="auto"/>
            <w:right w:val="none" w:sz="0" w:space="0" w:color="auto"/>
          </w:divBdr>
        </w:div>
      </w:divsChild>
    </w:div>
    <w:div w:id="1690446625">
      <w:bodyDiv w:val="1"/>
      <w:marLeft w:val="0"/>
      <w:marRight w:val="0"/>
      <w:marTop w:val="0"/>
      <w:marBottom w:val="0"/>
      <w:divBdr>
        <w:top w:val="none" w:sz="0" w:space="0" w:color="auto"/>
        <w:left w:val="none" w:sz="0" w:space="0" w:color="auto"/>
        <w:bottom w:val="none" w:sz="0" w:space="0" w:color="auto"/>
        <w:right w:val="none" w:sz="0" w:space="0" w:color="auto"/>
      </w:divBdr>
    </w:div>
    <w:div w:id="1701780222">
      <w:bodyDiv w:val="1"/>
      <w:marLeft w:val="0"/>
      <w:marRight w:val="0"/>
      <w:marTop w:val="0"/>
      <w:marBottom w:val="0"/>
      <w:divBdr>
        <w:top w:val="none" w:sz="0" w:space="0" w:color="auto"/>
        <w:left w:val="none" w:sz="0" w:space="0" w:color="auto"/>
        <w:bottom w:val="none" w:sz="0" w:space="0" w:color="auto"/>
        <w:right w:val="none" w:sz="0" w:space="0" w:color="auto"/>
      </w:divBdr>
    </w:div>
    <w:div w:id="1750735360">
      <w:marLeft w:val="0"/>
      <w:marRight w:val="0"/>
      <w:marTop w:val="0"/>
      <w:marBottom w:val="0"/>
      <w:divBdr>
        <w:top w:val="none" w:sz="0" w:space="0" w:color="auto"/>
        <w:left w:val="none" w:sz="0" w:space="0" w:color="auto"/>
        <w:bottom w:val="none" w:sz="0" w:space="0" w:color="auto"/>
        <w:right w:val="none" w:sz="0" w:space="0" w:color="auto"/>
      </w:divBdr>
      <w:divsChild>
        <w:div w:id="1470324749">
          <w:marLeft w:val="0"/>
          <w:marRight w:val="0"/>
          <w:marTop w:val="0"/>
          <w:marBottom w:val="0"/>
          <w:divBdr>
            <w:top w:val="none" w:sz="0" w:space="0" w:color="auto"/>
            <w:left w:val="none" w:sz="0" w:space="0" w:color="auto"/>
            <w:bottom w:val="none" w:sz="0" w:space="0" w:color="auto"/>
            <w:right w:val="none" w:sz="0" w:space="0" w:color="auto"/>
          </w:divBdr>
        </w:div>
      </w:divsChild>
    </w:div>
    <w:div w:id="1752921034">
      <w:marLeft w:val="0"/>
      <w:marRight w:val="0"/>
      <w:marTop w:val="0"/>
      <w:marBottom w:val="0"/>
      <w:divBdr>
        <w:top w:val="none" w:sz="0" w:space="0" w:color="auto"/>
        <w:left w:val="none" w:sz="0" w:space="0" w:color="auto"/>
        <w:bottom w:val="none" w:sz="0" w:space="0" w:color="auto"/>
        <w:right w:val="none" w:sz="0" w:space="0" w:color="auto"/>
      </w:divBdr>
      <w:divsChild>
        <w:div w:id="416442785">
          <w:marLeft w:val="0"/>
          <w:marRight w:val="0"/>
          <w:marTop w:val="0"/>
          <w:marBottom w:val="0"/>
          <w:divBdr>
            <w:top w:val="none" w:sz="0" w:space="0" w:color="auto"/>
            <w:left w:val="none" w:sz="0" w:space="0" w:color="auto"/>
            <w:bottom w:val="none" w:sz="0" w:space="0" w:color="auto"/>
            <w:right w:val="none" w:sz="0" w:space="0" w:color="auto"/>
          </w:divBdr>
        </w:div>
      </w:divsChild>
    </w:div>
    <w:div w:id="1766994346">
      <w:marLeft w:val="0"/>
      <w:marRight w:val="0"/>
      <w:marTop w:val="0"/>
      <w:marBottom w:val="0"/>
      <w:divBdr>
        <w:top w:val="none" w:sz="0" w:space="0" w:color="auto"/>
        <w:left w:val="none" w:sz="0" w:space="0" w:color="auto"/>
        <w:bottom w:val="none" w:sz="0" w:space="0" w:color="auto"/>
        <w:right w:val="none" w:sz="0" w:space="0" w:color="auto"/>
      </w:divBdr>
      <w:divsChild>
        <w:div w:id="1731267077">
          <w:marLeft w:val="0"/>
          <w:marRight w:val="0"/>
          <w:marTop w:val="0"/>
          <w:marBottom w:val="0"/>
          <w:divBdr>
            <w:top w:val="none" w:sz="0" w:space="0" w:color="auto"/>
            <w:left w:val="none" w:sz="0" w:space="0" w:color="auto"/>
            <w:bottom w:val="none" w:sz="0" w:space="0" w:color="auto"/>
            <w:right w:val="none" w:sz="0" w:space="0" w:color="auto"/>
          </w:divBdr>
        </w:div>
      </w:divsChild>
    </w:div>
    <w:div w:id="1789205331">
      <w:bodyDiv w:val="1"/>
      <w:marLeft w:val="0"/>
      <w:marRight w:val="0"/>
      <w:marTop w:val="0"/>
      <w:marBottom w:val="0"/>
      <w:divBdr>
        <w:top w:val="none" w:sz="0" w:space="0" w:color="auto"/>
        <w:left w:val="none" w:sz="0" w:space="0" w:color="auto"/>
        <w:bottom w:val="none" w:sz="0" w:space="0" w:color="auto"/>
        <w:right w:val="none" w:sz="0" w:space="0" w:color="auto"/>
      </w:divBdr>
    </w:div>
    <w:div w:id="1828666501">
      <w:bodyDiv w:val="1"/>
      <w:marLeft w:val="0"/>
      <w:marRight w:val="0"/>
      <w:marTop w:val="0"/>
      <w:marBottom w:val="0"/>
      <w:divBdr>
        <w:top w:val="none" w:sz="0" w:space="0" w:color="auto"/>
        <w:left w:val="none" w:sz="0" w:space="0" w:color="auto"/>
        <w:bottom w:val="none" w:sz="0" w:space="0" w:color="auto"/>
        <w:right w:val="none" w:sz="0" w:space="0" w:color="auto"/>
      </w:divBdr>
    </w:div>
    <w:div w:id="1862890345">
      <w:bodyDiv w:val="1"/>
      <w:marLeft w:val="0"/>
      <w:marRight w:val="0"/>
      <w:marTop w:val="0"/>
      <w:marBottom w:val="0"/>
      <w:divBdr>
        <w:top w:val="none" w:sz="0" w:space="0" w:color="auto"/>
        <w:left w:val="none" w:sz="0" w:space="0" w:color="auto"/>
        <w:bottom w:val="none" w:sz="0" w:space="0" w:color="auto"/>
        <w:right w:val="none" w:sz="0" w:space="0" w:color="auto"/>
      </w:divBdr>
    </w:div>
    <w:div w:id="1873112606">
      <w:bodyDiv w:val="1"/>
      <w:marLeft w:val="0"/>
      <w:marRight w:val="0"/>
      <w:marTop w:val="0"/>
      <w:marBottom w:val="0"/>
      <w:divBdr>
        <w:top w:val="none" w:sz="0" w:space="0" w:color="auto"/>
        <w:left w:val="none" w:sz="0" w:space="0" w:color="auto"/>
        <w:bottom w:val="none" w:sz="0" w:space="0" w:color="auto"/>
        <w:right w:val="none" w:sz="0" w:space="0" w:color="auto"/>
      </w:divBdr>
    </w:div>
    <w:div w:id="1906530951">
      <w:bodyDiv w:val="1"/>
      <w:marLeft w:val="0"/>
      <w:marRight w:val="0"/>
      <w:marTop w:val="0"/>
      <w:marBottom w:val="0"/>
      <w:divBdr>
        <w:top w:val="none" w:sz="0" w:space="0" w:color="auto"/>
        <w:left w:val="none" w:sz="0" w:space="0" w:color="auto"/>
        <w:bottom w:val="none" w:sz="0" w:space="0" w:color="auto"/>
        <w:right w:val="none" w:sz="0" w:space="0" w:color="auto"/>
      </w:divBdr>
      <w:divsChild>
        <w:div w:id="37822817">
          <w:marLeft w:val="0"/>
          <w:marRight w:val="0"/>
          <w:marTop w:val="0"/>
          <w:marBottom w:val="0"/>
          <w:divBdr>
            <w:top w:val="none" w:sz="0" w:space="0" w:color="auto"/>
            <w:left w:val="none" w:sz="0" w:space="0" w:color="auto"/>
            <w:bottom w:val="none" w:sz="0" w:space="0" w:color="auto"/>
            <w:right w:val="none" w:sz="0" w:space="0" w:color="auto"/>
          </w:divBdr>
        </w:div>
        <w:div w:id="69348009">
          <w:marLeft w:val="0"/>
          <w:marRight w:val="0"/>
          <w:marTop w:val="0"/>
          <w:marBottom w:val="0"/>
          <w:divBdr>
            <w:top w:val="none" w:sz="0" w:space="0" w:color="auto"/>
            <w:left w:val="none" w:sz="0" w:space="0" w:color="auto"/>
            <w:bottom w:val="none" w:sz="0" w:space="0" w:color="auto"/>
            <w:right w:val="none" w:sz="0" w:space="0" w:color="auto"/>
          </w:divBdr>
        </w:div>
        <w:div w:id="175073998">
          <w:marLeft w:val="0"/>
          <w:marRight w:val="0"/>
          <w:marTop w:val="0"/>
          <w:marBottom w:val="0"/>
          <w:divBdr>
            <w:top w:val="none" w:sz="0" w:space="0" w:color="auto"/>
            <w:left w:val="none" w:sz="0" w:space="0" w:color="auto"/>
            <w:bottom w:val="none" w:sz="0" w:space="0" w:color="auto"/>
            <w:right w:val="none" w:sz="0" w:space="0" w:color="auto"/>
          </w:divBdr>
        </w:div>
        <w:div w:id="255015799">
          <w:marLeft w:val="0"/>
          <w:marRight w:val="0"/>
          <w:marTop w:val="0"/>
          <w:marBottom w:val="0"/>
          <w:divBdr>
            <w:top w:val="none" w:sz="0" w:space="0" w:color="auto"/>
            <w:left w:val="none" w:sz="0" w:space="0" w:color="auto"/>
            <w:bottom w:val="none" w:sz="0" w:space="0" w:color="auto"/>
            <w:right w:val="none" w:sz="0" w:space="0" w:color="auto"/>
          </w:divBdr>
        </w:div>
        <w:div w:id="322124561">
          <w:marLeft w:val="0"/>
          <w:marRight w:val="0"/>
          <w:marTop w:val="0"/>
          <w:marBottom w:val="0"/>
          <w:divBdr>
            <w:top w:val="none" w:sz="0" w:space="0" w:color="auto"/>
            <w:left w:val="none" w:sz="0" w:space="0" w:color="auto"/>
            <w:bottom w:val="none" w:sz="0" w:space="0" w:color="auto"/>
            <w:right w:val="none" w:sz="0" w:space="0" w:color="auto"/>
          </w:divBdr>
        </w:div>
        <w:div w:id="433670991">
          <w:marLeft w:val="0"/>
          <w:marRight w:val="0"/>
          <w:marTop w:val="0"/>
          <w:marBottom w:val="0"/>
          <w:divBdr>
            <w:top w:val="none" w:sz="0" w:space="0" w:color="auto"/>
            <w:left w:val="none" w:sz="0" w:space="0" w:color="auto"/>
            <w:bottom w:val="none" w:sz="0" w:space="0" w:color="auto"/>
            <w:right w:val="none" w:sz="0" w:space="0" w:color="auto"/>
          </w:divBdr>
        </w:div>
        <w:div w:id="513225379">
          <w:marLeft w:val="0"/>
          <w:marRight w:val="0"/>
          <w:marTop w:val="0"/>
          <w:marBottom w:val="0"/>
          <w:divBdr>
            <w:top w:val="none" w:sz="0" w:space="0" w:color="auto"/>
            <w:left w:val="none" w:sz="0" w:space="0" w:color="auto"/>
            <w:bottom w:val="none" w:sz="0" w:space="0" w:color="auto"/>
            <w:right w:val="none" w:sz="0" w:space="0" w:color="auto"/>
          </w:divBdr>
        </w:div>
        <w:div w:id="527832912">
          <w:marLeft w:val="0"/>
          <w:marRight w:val="0"/>
          <w:marTop w:val="0"/>
          <w:marBottom w:val="0"/>
          <w:divBdr>
            <w:top w:val="none" w:sz="0" w:space="0" w:color="auto"/>
            <w:left w:val="none" w:sz="0" w:space="0" w:color="auto"/>
            <w:bottom w:val="none" w:sz="0" w:space="0" w:color="auto"/>
            <w:right w:val="none" w:sz="0" w:space="0" w:color="auto"/>
          </w:divBdr>
        </w:div>
        <w:div w:id="553197317">
          <w:marLeft w:val="0"/>
          <w:marRight w:val="0"/>
          <w:marTop w:val="0"/>
          <w:marBottom w:val="0"/>
          <w:divBdr>
            <w:top w:val="none" w:sz="0" w:space="0" w:color="auto"/>
            <w:left w:val="none" w:sz="0" w:space="0" w:color="auto"/>
            <w:bottom w:val="none" w:sz="0" w:space="0" w:color="auto"/>
            <w:right w:val="none" w:sz="0" w:space="0" w:color="auto"/>
          </w:divBdr>
        </w:div>
        <w:div w:id="566065612">
          <w:marLeft w:val="0"/>
          <w:marRight w:val="0"/>
          <w:marTop w:val="0"/>
          <w:marBottom w:val="0"/>
          <w:divBdr>
            <w:top w:val="none" w:sz="0" w:space="0" w:color="auto"/>
            <w:left w:val="none" w:sz="0" w:space="0" w:color="auto"/>
            <w:bottom w:val="none" w:sz="0" w:space="0" w:color="auto"/>
            <w:right w:val="none" w:sz="0" w:space="0" w:color="auto"/>
          </w:divBdr>
        </w:div>
        <w:div w:id="756177288">
          <w:marLeft w:val="0"/>
          <w:marRight w:val="0"/>
          <w:marTop w:val="0"/>
          <w:marBottom w:val="0"/>
          <w:divBdr>
            <w:top w:val="none" w:sz="0" w:space="0" w:color="auto"/>
            <w:left w:val="none" w:sz="0" w:space="0" w:color="auto"/>
            <w:bottom w:val="none" w:sz="0" w:space="0" w:color="auto"/>
            <w:right w:val="none" w:sz="0" w:space="0" w:color="auto"/>
          </w:divBdr>
        </w:div>
        <w:div w:id="1522084934">
          <w:marLeft w:val="0"/>
          <w:marRight w:val="0"/>
          <w:marTop w:val="0"/>
          <w:marBottom w:val="0"/>
          <w:divBdr>
            <w:top w:val="none" w:sz="0" w:space="0" w:color="auto"/>
            <w:left w:val="none" w:sz="0" w:space="0" w:color="auto"/>
            <w:bottom w:val="none" w:sz="0" w:space="0" w:color="auto"/>
            <w:right w:val="none" w:sz="0" w:space="0" w:color="auto"/>
          </w:divBdr>
        </w:div>
        <w:div w:id="1569488291">
          <w:marLeft w:val="0"/>
          <w:marRight w:val="0"/>
          <w:marTop w:val="0"/>
          <w:marBottom w:val="0"/>
          <w:divBdr>
            <w:top w:val="none" w:sz="0" w:space="0" w:color="auto"/>
            <w:left w:val="none" w:sz="0" w:space="0" w:color="auto"/>
            <w:bottom w:val="none" w:sz="0" w:space="0" w:color="auto"/>
            <w:right w:val="none" w:sz="0" w:space="0" w:color="auto"/>
          </w:divBdr>
        </w:div>
        <w:div w:id="1640912456">
          <w:marLeft w:val="0"/>
          <w:marRight w:val="0"/>
          <w:marTop w:val="0"/>
          <w:marBottom w:val="0"/>
          <w:divBdr>
            <w:top w:val="none" w:sz="0" w:space="0" w:color="auto"/>
            <w:left w:val="none" w:sz="0" w:space="0" w:color="auto"/>
            <w:bottom w:val="none" w:sz="0" w:space="0" w:color="auto"/>
            <w:right w:val="none" w:sz="0" w:space="0" w:color="auto"/>
          </w:divBdr>
        </w:div>
        <w:div w:id="1770463727">
          <w:marLeft w:val="0"/>
          <w:marRight w:val="0"/>
          <w:marTop w:val="0"/>
          <w:marBottom w:val="0"/>
          <w:divBdr>
            <w:top w:val="none" w:sz="0" w:space="0" w:color="auto"/>
            <w:left w:val="none" w:sz="0" w:space="0" w:color="auto"/>
            <w:bottom w:val="none" w:sz="0" w:space="0" w:color="auto"/>
            <w:right w:val="none" w:sz="0" w:space="0" w:color="auto"/>
          </w:divBdr>
        </w:div>
      </w:divsChild>
    </w:div>
    <w:div w:id="1921983329">
      <w:marLeft w:val="0"/>
      <w:marRight w:val="0"/>
      <w:marTop w:val="0"/>
      <w:marBottom w:val="0"/>
      <w:divBdr>
        <w:top w:val="none" w:sz="0" w:space="0" w:color="auto"/>
        <w:left w:val="none" w:sz="0" w:space="0" w:color="auto"/>
        <w:bottom w:val="none" w:sz="0" w:space="0" w:color="auto"/>
        <w:right w:val="none" w:sz="0" w:space="0" w:color="auto"/>
      </w:divBdr>
      <w:divsChild>
        <w:div w:id="1160583326">
          <w:marLeft w:val="0"/>
          <w:marRight w:val="0"/>
          <w:marTop w:val="0"/>
          <w:marBottom w:val="0"/>
          <w:divBdr>
            <w:top w:val="none" w:sz="0" w:space="0" w:color="auto"/>
            <w:left w:val="none" w:sz="0" w:space="0" w:color="auto"/>
            <w:bottom w:val="none" w:sz="0" w:space="0" w:color="auto"/>
            <w:right w:val="none" w:sz="0" w:space="0" w:color="auto"/>
          </w:divBdr>
        </w:div>
      </w:divsChild>
    </w:div>
    <w:div w:id="1995912899">
      <w:marLeft w:val="0"/>
      <w:marRight w:val="0"/>
      <w:marTop w:val="0"/>
      <w:marBottom w:val="0"/>
      <w:divBdr>
        <w:top w:val="none" w:sz="0" w:space="0" w:color="auto"/>
        <w:left w:val="none" w:sz="0" w:space="0" w:color="auto"/>
        <w:bottom w:val="none" w:sz="0" w:space="0" w:color="auto"/>
        <w:right w:val="none" w:sz="0" w:space="0" w:color="auto"/>
      </w:divBdr>
      <w:divsChild>
        <w:div w:id="1549023843">
          <w:marLeft w:val="0"/>
          <w:marRight w:val="0"/>
          <w:marTop w:val="0"/>
          <w:marBottom w:val="0"/>
          <w:divBdr>
            <w:top w:val="none" w:sz="0" w:space="0" w:color="auto"/>
            <w:left w:val="none" w:sz="0" w:space="0" w:color="auto"/>
            <w:bottom w:val="none" w:sz="0" w:space="0" w:color="auto"/>
            <w:right w:val="none" w:sz="0" w:space="0" w:color="auto"/>
          </w:divBdr>
        </w:div>
      </w:divsChild>
    </w:div>
    <w:div w:id="2007706045">
      <w:bodyDiv w:val="1"/>
      <w:marLeft w:val="0"/>
      <w:marRight w:val="0"/>
      <w:marTop w:val="0"/>
      <w:marBottom w:val="0"/>
      <w:divBdr>
        <w:top w:val="none" w:sz="0" w:space="0" w:color="auto"/>
        <w:left w:val="none" w:sz="0" w:space="0" w:color="auto"/>
        <w:bottom w:val="none" w:sz="0" w:space="0" w:color="auto"/>
        <w:right w:val="none" w:sz="0" w:space="0" w:color="auto"/>
      </w:divBdr>
    </w:div>
    <w:div w:id="2044554327">
      <w:bodyDiv w:val="1"/>
      <w:marLeft w:val="0"/>
      <w:marRight w:val="0"/>
      <w:marTop w:val="0"/>
      <w:marBottom w:val="0"/>
      <w:divBdr>
        <w:top w:val="none" w:sz="0" w:space="0" w:color="auto"/>
        <w:left w:val="none" w:sz="0" w:space="0" w:color="auto"/>
        <w:bottom w:val="none" w:sz="0" w:space="0" w:color="auto"/>
        <w:right w:val="none" w:sz="0" w:space="0" w:color="auto"/>
      </w:divBdr>
      <w:divsChild>
        <w:div w:id="131681398">
          <w:marLeft w:val="0"/>
          <w:marRight w:val="0"/>
          <w:marTop w:val="30"/>
          <w:marBottom w:val="30"/>
          <w:divBdr>
            <w:top w:val="none" w:sz="0" w:space="0" w:color="auto"/>
            <w:left w:val="none" w:sz="0" w:space="0" w:color="auto"/>
            <w:bottom w:val="none" w:sz="0" w:space="0" w:color="auto"/>
            <w:right w:val="none" w:sz="0" w:space="0" w:color="auto"/>
          </w:divBdr>
          <w:divsChild>
            <w:div w:id="25722354">
              <w:marLeft w:val="0"/>
              <w:marRight w:val="0"/>
              <w:marTop w:val="0"/>
              <w:marBottom w:val="0"/>
              <w:divBdr>
                <w:top w:val="none" w:sz="0" w:space="0" w:color="auto"/>
                <w:left w:val="none" w:sz="0" w:space="0" w:color="auto"/>
                <w:bottom w:val="none" w:sz="0" w:space="0" w:color="auto"/>
                <w:right w:val="none" w:sz="0" w:space="0" w:color="auto"/>
              </w:divBdr>
              <w:divsChild>
                <w:div w:id="469128024">
                  <w:marLeft w:val="0"/>
                  <w:marRight w:val="0"/>
                  <w:marTop w:val="0"/>
                  <w:marBottom w:val="0"/>
                  <w:divBdr>
                    <w:top w:val="none" w:sz="0" w:space="0" w:color="auto"/>
                    <w:left w:val="none" w:sz="0" w:space="0" w:color="auto"/>
                    <w:bottom w:val="none" w:sz="0" w:space="0" w:color="auto"/>
                    <w:right w:val="none" w:sz="0" w:space="0" w:color="auto"/>
                  </w:divBdr>
                </w:div>
              </w:divsChild>
            </w:div>
            <w:div w:id="31738090">
              <w:marLeft w:val="0"/>
              <w:marRight w:val="0"/>
              <w:marTop w:val="0"/>
              <w:marBottom w:val="0"/>
              <w:divBdr>
                <w:top w:val="none" w:sz="0" w:space="0" w:color="auto"/>
                <w:left w:val="none" w:sz="0" w:space="0" w:color="auto"/>
                <w:bottom w:val="none" w:sz="0" w:space="0" w:color="auto"/>
                <w:right w:val="none" w:sz="0" w:space="0" w:color="auto"/>
              </w:divBdr>
              <w:divsChild>
                <w:div w:id="313724352">
                  <w:marLeft w:val="0"/>
                  <w:marRight w:val="0"/>
                  <w:marTop w:val="0"/>
                  <w:marBottom w:val="0"/>
                  <w:divBdr>
                    <w:top w:val="none" w:sz="0" w:space="0" w:color="auto"/>
                    <w:left w:val="none" w:sz="0" w:space="0" w:color="auto"/>
                    <w:bottom w:val="none" w:sz="0" w:space="0" w:color="auto"/>
                    <w:right w:val="none" w:sz="0" w:space="0" w:color="auto"/>
                  </w:divBdr>
                </w:div>
              </w:divsChild>
            </w:div>
            <w:div w:id="80413721">
              <w:marLeft w:val="0"/>
              <w:marRight w:val="0"/>
              <w:marTop w:val="0"/>
              <w:marBottom w:val="0"/>
              <w:divBdr>
                <w:top w:val="none" w:sz="0" w:space="0" w:color="auto"/>
                <w:left w:val="none" w:sz="0" w:space="0" w:color="auto"/>
                <w:bottom w:val="none" w:sz="0" w:space="0" w:color="auto"/>
                <w:right w:val="none" w:sz="0" w:space="0" w:color="auto"/>
              </w:divBdr>
              <w:divsChild>
                <w:div w:id="1390230999">
                  <w:marLeft w:val="0"/>
                  <w:marRight w:val="0"/>
                  <w:marTop w:val="0"/>
                  <w:marBottom w:val="0"/>
                  <w:divBdr>
                    <w:top w:val="none" w:sz="0" w:space="0" w:color="auto"/>
                    <w:left w:val="none" w:sz="0" w:space="0" w:color="auto"/>
                    <w:bottom w:val="none" w:sz="0" w:space="0" w:color="auto"/>
                    <w:right w:val="none" w:sz="0" w:space="0" w:color="auto"/>
                  </w:divBdr>
                </w:div>
              </w:divsChild>
            </w:div>
            <w:div w:id="116920701">
              <w:marLeft w:val="0"/>
              <w:marRight w:val="0"/>
              <w:marTop w:val="0"/>
              <w:marBottom w:val="0"/>
              <w:divBdr>
                <w:top w:val="none" w:sz="0" w:space="0" w:color="auto"/>
                <w:left w:val="none" w:sz="0" w:space="0" w:color="auto"/>
                <w:bottom w:val="none" w:sz="0" w:space="0" w:color="auto"/>
                <w:right w:val="none" w:sz="0" w:space="0" w:color="auto"/>
              </w:divBdr>
              <w:divsChild>
                <w:div w:id="1519008512">
                  <w:marLeft w:val="0"/>
                  <w:marRight w:val="0"/>
                  <w:marTop w:val="0"/>
                  <w:marBottom w:val="0"/>
                  <w:divBdr>
                    <w:top w:val="none" w:sz="0" w:space="0" w:color="auto"/>
                    <w:left w:val="none" w:sz="0" w:space="0" w:color="auto"/>
                    <w:bottom w:val="none" w:sz="0" w:space="0" w:color="auto"/>
                    <w:right w:val="none" w:sz="0" w:space="0" w:color="auto"/>
                  </w:divBdr>
                </w:div>
              </w:divsChild>
            </w:div>
            <w:div w:id="125003950">
              <w:marLeft w:val="0"/>
              <w:marRight w:val="0"/>
              <w:marTop w:val="0"/>
              <w:marBottom w:val="0"/>
              <w:divBdr>
                <w:top w:val="none" w:sz="0" w:space="0" w:color="auto"/>
                <w:left w:val="none" w:sz="0" w:space="0" w:color="auto"/>
                <w:bottom w:val="none" w:sz="0" w:space="0" w:color="auto"/>
                <w:right w:val="none" w:sz="0" w:space="0" w:color="auto"/>
              </w:divBdr>
              <w:divsChild>
                <w:div w:id="1092358072">
                  <w:marLeft w:val="0"/>
                  <w:marRight w:val="0"/>
                  <w:marTop w:val="0"/>
                  <w:marBottom w:val="0"/>
                  <w:divBdr>
                    <w:top w:val="none" w:sz="0" w:space="0" w:color="auto"/>
                    <w:left w:val="none" w:sz="0" w:space="0" w:color="auto"/>
                    <w:bottom w:val="none" w:sz="0" w:space="0" w:color="auto"/>
                    <w:right w:val="none" w:sz="0" w:space="0" w:color="auto"/>
                  </w:divBdr>
                </w:div>
              </w:divsChild>
            </w:div>
            <w:div w:id="258487303">
              <w:marLeft w:val="0"/>
              <w:marRight w:val="0"/>
              <w:marTop w:val="0"/>
              <w:marBottom w:val="0"/>
              <w:divBdr>
                <w:top w:val="none" w:sz="0" w:space="0" w:color="auto"/>
                <w:left w:val="none" w:sz="0" w:space="0" w:color="auto"/>
                <w:bottom w:val="none" w:sz="0" w:space="0" w:color="auto"/>
                <w:right w:val="none" w:sz="0" w:space="0" w:color="auto"/>
              </w:divBdr>
              <w:divsChild>
                <w:div w:id="1181046010">
                  <w:marLeft w:val="0"/>
                  <w:marRight w:val="0"/>
                  <w:marTop w:val="0"/>
                  <w:marBottom w:val="0"/>
                  <w:divBdr>
                    <w:top w:val="none" w:sz="0" w:space="0" w:color="auto"/>
                    <w:left w:val="none" w:sz="0" w:space="0" w:color="auto"/>
                    <w:bottom w:val="none" w:sz="0" w:space="0" w:color="auto"/>
                    <w:right w:val="none" w:sz="0" w:space="0" w:color="auto"/>
                  </w:divBdr>
                </w:div>
              </w:divsChild>
            </w:div>
            <w:div w:id="275255413">
              <w:marLeft w:val="0"/>
              <w:marRight w:val="0"/>
              <w:marTop w:val="0"/>
              <w:marBottom w:val="0"/>
              <w:divBdr>
                <w:top w:val="none" w:sz="0" w:space="0" w:color="auto"/>
                <w:left w:val="none" w:sz="0" w:space="0" w:color="auto"/>
                <w:bottom w:val="none" w:sz="0" w:space="0" w:color="auto"/>
                <w:right w:val="none" w:sz="0" w:space="0" w:color="auto"/>
              </w:divBdr>
              <w:divsChild>
                <w:div w:id="1907916129">
                  <w:marLeft w:val="0"/>
                  <w:marRight w:val="0"/>
                  <w:marTop w:val="0"/>
                  <w:marBottom w:val="0"/>
                  <w:divBdr>
                    <w:top w:val="none" w:sz="0" w:space="0" w:color="auto"/>
                    <w:left w:val="none" w:sz="0" w:space="0" w:color="auto"/>
                    <w:bottom w:val="none" w:sz="0" w:space="0" w:color="auto"/>
                    <w:right w:val="none" w:sz="0" w:space="0" w:color="auto"/>
                  </w:divBdr>
                </w:div>
              </w:divsChild>
            </w:div>
            <w:div w:id="293944511">
              <w:marLeft w:val="0"/>
              <w:marRight w:val="0"/>
              <w:marTop w:val="0"/>
              <w:marBottom w:val="0"/>
              <w:divBdr>
                <w:top w:val="none" w:sz="0" w:space="0" w:color="auto"/>
                <w:left w:val="none" w:sz="0" w:space="0" w:color="auto"/>
                <w:bottom w:val="none" w:sz="0" w:space="0" w:color="auto"/>
                <w:right w:val="none" w:sz="0" w:space="0" w:color="auto"/>
              </w:divBdr>
              <w:divsChild>
                <w:div w:id="399525676">
                  <w:marLeft w:val="0"/>
                  <w:marRight w:val="0"/>
                  <w:marTop w:val="0"/>
                  <w:marBottom w:val="0"/>
                  <w:divBdr>
                    <w:top w:val="none" w:sz="0" w:space="0" w:color="auto"/>
                    <w:left w:val="none" w:sz="0" w:space="0" w:color="auto"/>
                    <w:bottom w:val="none" w:sz="0" w:space="0" w:color="auto"/>
                    <w:right w:val="none" w:sz="0" w:space="0" w:color="auto"/>
                  </w:divBdr>
                </w:div>
              </w:divsChild>
            </w:div>
            <w:div w:id="304697220">
              <w:marLeft w:val="0"/>
              <w:marRight w:val="0"/>
              <w:marTop w:val="0"/>
              <w:marBottom w:val="0"/>
              <w:divBdr>
                <w:top w:val="none" w:sz="0" w:space="0" w:color="auto"/>
                <w:left w:val="none" w:sz="0" w:space="0" w:color="auto"/>
                <w:bottom w:val="none" w:sz="0" w:space="0" w:color="auto"/>
                <w:right w:val="none" w:sz="0" w:space="0" w:color="auto"/>
              </w:divBdr>
              <w:divsChild>
                <w:div w:id="823280281">
                  <w:marLeft w:val="0"/>
                  <w:marRight w:val="0"/>
                  <w:marTop w:val="0"/>
                  <w:marBottom w:val="0"/>
                  <w:divBdr>
                    <w:top w:val="none" w:sz="0" w:space="0" w:color="auto"/>
                    <w:left w:val="none" w:sz="0" w:space="0" w:color="auto"/>
                    <w:bottom w:val="none" w:sz="0" w:space="0" w:color="auto"/>
                    <w:right w:val="none" w:sz="0" w:space="0" w:color="auto"/>
                  </w:divBdr>
                </w:div>
              </w:divsChild>
            </w:div>
            <w:div w:id="371347247">
              <w:marLeft w:val="0"/>
              <w:marRight w:val="0"/>
              <w:marTop w:val="0"/>
              <w:marBottom w:val="0"/>
              <w:divBdr>
                <w:top w:val="none" w:sz="0" w:space="0" w:color="auto"/>
                <w:left w:val="none" w:sz="0" w:space="0" w:color="auto"/>
                <w:bottom w:val="none" w:sz="0" w:space="0" w:color="auto"/>
                <w:right w:val="none" w:sz="0" w:space="0" w:color="auto"/>
              </w:divBdr>
              <w:divsChild>
                <w:div w:id="38094356">
                  <w:marLeft w:val="0"/>
                  <w:marRight w:val="0"/>
                  <w:marTop w:val="0"/>
                  <w:marBottom w:val="0"/>
                  <w:divBdr>
                    <w:top w:val="none" w:sz="0" w:space="0" w:color="auto"/>
                    <w:left w:val="none" w:sz="0" w:space="0" w:color="auto"/>
                    <w:bottom w:val="none" w:sz="0" w:space="0" w:color="auto"/>
                    <w:right w:val="none" w:sz="0" w:space="0" w:color="auto"/>
                  </w:divBdr>
                </w:div>
              </w:divsChild>
            </w:div>
            <w:div w:id="402219475">
              <w:marLeft w:val="0"/>
              <w:marRight w:val="0"/>
              <w:marTop w:val="0"/>
              <w:marBottom w:val="0"/>
              <w:divBdr>
                <w:top w:val="none" w:sz="0" w:space="0" w:color="auto"/>
                <w:left w:val="none" w:sz="0" w:space="0" w:color="auto"/>
                <w:bottom w:val="none" w:sz="0" w:space="0" w:color="auto"/>
                <w:right w:val="none" w:sz="0" w:space="0" w:color="auto"/>
              </w:divBdr>
              <w:divsChild>
                <w:div w:id="2031954994">
                  <w:marLeft w:val="0"/>
                  <w:marRight w:val="0"/>
                  <w:marTop w:val="0"/>
                  <w:marBottom w:val="0"/>
                  <w:divBdr>
                    <w:top w:val="none" w:sz="0" w:space="0" w:color="auto"/>
                    <w:left w:val="none" w:sz="0" w:space="0" w:color="auto"/>
                    <w:bottom w:val="none" w:sz="0" w:space="0" w:color="auto"/>
                    <w:right w:val="none" w:sz="0" w:space="0" w:color="auto"/>
                  </w:divBdr>
                </w:div>
              </w:divsChild>
            </w:div>
            <w:div w:id="466970901">
              <w:marLeft w:val="0"/>
              <w:marRight w:val="0"/>
              <w:marTop w:val="0"/>
              <w:marBottom w:val="0"/>
              <w:divBdr>
                <w:top w:val="none" w:sz="0" w:space="0" w:color="auto"/>
                <w:left w:val="none" w:sz="0" w:space="0" w:color="auto"/>
                <w:bottom w:val="none" w:sz="0" w:space="0" w:color="auto"/>
                <w:right w:val="none" w:sz="0" w:space="0" w:color="auto"/>
              </w:divBdr>
              <w:divsChild>
                <w:div w:id="302319053">
                  <w:marLeft w:val="0"/>
                  <w:marRight w:val="0"/>
                  <w:marTop w:val="0"/>
                  <w:marBottom w:val="0"/>
                  <w:divBdr>
                    <w:top w:val="none" w:sz="0" w:space="0" w:color="auto"/>
                    <w:left w:val="none" w:sz="0" w:space="0" w:color="auto"/>
                    <w:bottom w:val="none" w:sz="0" w:space="0" w:color="auto"/>
                    <w:right w:val="none" w:sz="0" w:space="0" w:color="auto"/>
                  </w:divBdr>
                </w:div>
              </w:divsChild>
            </w:div>
            <w:div w:id="477069293">
              <w:marLeft w:val="0"/>
              <w:marRight w:val="0"/>
              <w:marTop w:val="0"/>
              <w:marBottom w:val="0"/>
              <w:divBdr>
                <w:top w:val="none" w:sz="0" w:space="0" w:color="auto"/>
                <w:left w:val="none" w:sz="0" w:space="0" w:color="auto"/>
                <w:bottom w:val="none" w:sz="0" w:space="0" w:color="auto"/>
                <w:right w:val="none" w:sz="0" w:space="0" w:color="auto"/>
              </w:divBdr>
              <w:divsChild>
                <w:div w:id="2020346811">
                  <w:marLeft w:val="0"/>
                  <w:marRight w:val="0"/>
                  <w:marTop w:val="0"/>
                  <w:marBottom w:val="0"/>
                  <w:divBdr>
                    <w:top w:val="none" w:sz="0" w:space="0" w:color="auto"/>
                    <w:left w:val="none" w:sz="0" w:space="0" w:color="auto"/>
                    <w:bottom w:val="none" w:sz="0" w:space="0" w:color="auto"/>
                    <w:right w:val="none" w:sz="0" w:space="0" w:color="auto"/>
                  </w:divBdr>
                </w:div>
              </w:divsChild>
            </w:div>
            <w:div w:id="495463211">
              <w:marLeft w:val="0"/>
              <w:marRight w:val="0"/>
              <w:marTop w:val="0"/>
              <w:marBottom w:val="0"/>
              <w:divBdr>
                <w:top w:val="none" w:sz="0" w:space="0" w:color="auto"/>
                <w:left w:val="none" w:sz="0" w:space="0" w:color="auto"/>
                <w:bottom w:val="none" w:sz="0" w:space="0" w:color="auto"/>
                <w:right w:val="none" w:sz="0" w:space="0" w:color="auto"/>
              </w:divBdr>
              <w:divsChild>
                <w:div w:id="1458990689">
                  <w:marLeft w:val="0"/>
                  <w:marRight w:val="0"/>
                  <w:marTop w:val="0"/>
                  <w:marBottom w:val="0"/>
                  <w:divBdr>
                    <w:top w:val="none" w:sz="0" w:space="0" w:color="auto"/>
                    <w:left w:val="none" w:sz="0" w:space="0" w:color="auto"/>
                    <w:bottom w:val="none" w:sz="0" w:space="0" w:color="auto"/>
                    <w:right w:val="none" w:sz="0" w:space="0" w:color="auto"/>
                  </w:divBdr>
                </w:div>
              </w:divsChild>
            </w:div>
            <w:div w:id="533078247">
              <w:marLeft w:val="0"/>
              <w:marRight w:val="0"/>
              <w:marTop w:val="0"/>
              <w:marBottom w:val="0"/>
              <w:divBdr>
                <w:top w:val="none" w:sz="0" w:space="0" w:color="auto"/>
                <w:left w:val="none" w:sz="0" w:space="0" w:color="auto"/>
                <w:bottom w:val="none" w:sz="0" w:space="0" w:color="auto"/>
                <w:right w:val="none" w:sz="0" w:space="0" w:color="auto"/>
              </w:divBdr>
              <w:divsChild>
                <w:div w:id="1060061523">
                  <w:marLeft w:val="0"/>
                  <w:marRight w:val="0"/>
                  <w:marTop w:val="0"/>
                  <w:marBottom w:val="0"/>
                  <w:divBdr>
                    <w:top w:val="none" w:sz="0" w:space="0" w:color="auto"/>
                    <w:left w:val="none" w:sz="0" w:space="0" w:color="auto"/>
                    <w:bottom w:val="none" w:sz="0" w:space="0" w:color="auto"/>
                    <w:right w:val="none" w:sz="0" w:space="0" w:color="auto"/>
                  </w:divBdr>
                </w:div>
              </w:divsChild>
            </w:div>
            <w:div w:id="553540936">
              <w:marLeft w:val="0"/>
              <w:marRight w:val="0"/>
              <w:marTop w:val="0"/>
              <w:marBottom w:val="0"/>
              <w:divBdr>
                <w:top w:val="none" w:sz="0" w:space="0" w:color="auto"/>
                <w:left w:val="none" w:sz="0" w:space="0" w:color="auto"/>
                <w:bottom w:val="none" w:sz="0" w:space="0" w:color="auto"/>
                <w:right w:val="none" w:sz="0" w:space="0" w:color="auto"/>
              </w:divBdr>
              <w:divsChild>
                <w:div w:id="1310549664">
                  <w:marLeft w:val="0"/>
                  <w:marRight w:val="0"/>
                  <w:marTop w:val="0"/>
                  <w:marBottom w:val="0"/>
                  <w:divBdr>
                    <w:top w:val="none" w:sz="0" w:space="0" w:color="auto"/>
                    <w:left w:val="none" w:sz="0" w:space="0" w:color="auto"/>
                    <w:bottom w:val="none" w:sz="0" w:space="0" w:color="auto"/>
                    <w:right w:val="none" w:sz="0" w:space="0" w:color="auto"/>
                  </w:divBdr>
                </w:div>
              </w:divsChild>
            </w:div>
            <w:div w:id="647246145">
              <w:marLeft w:val="0"/>
              <w:marRight w:val="0"/>
              <w:marTop w:val="0"/>
              <w:marBottom w:val="0"/>
              <w:divBdr>
                <w:top w:val="none" w:sz="0" w:space="0" w:color="auto"/>
                <w:left w:val="none" w:sz="0" w:space="0" w:color="auto"/>
                <w:bottom w:val="none" w:sz="0" w:space="0" w:color="auto"/>
                <w:right w:val="none" w:sz="0" w:space="0" w:color="auto"/>
              </w:divBdr>
              <w:divsChild>
                <w:div w:id="710767925">
                  <w:marLeft w:val="0"/>
                  <w:marRight w:val="0"/>
                  <w:marTop w:val="0"/>
                  <w:marBottom w:val="0"/>
                  <w:divBdr>
                    <w:top w:val="none" w:sz="0" w:space="0" w:color="auto"/>
                    <w:left w:val="none" w:sz="0" w:space="0" w:color="auto"/>
                    <w:bottom w:val="none" w:sz="0" w:space="0" w:color="auto"/>
                    <w:right w:val="none" w:sz="0" w:space="0" w:color="auto"/>
                  </w:divBdr>
                </w:div>
              </w:divsChild>
            </w:div>
            <w:div w:id="651838005">
              <w:marLeft w:val="0"/>
              <w:marRight w:val="0"/>
              <w:marTop w:val="0"/>
              <w:marBottom w:val="0"/>
              <w:divBdr>
                <w:top w:val="none" w:sz="0" w:space="0" w:color="auto"/>
                <w:left w:val="none" w:sz="0" w:space="0" w:color="auto"/>
                <w:bottom w:val="none" w:sz="0" w:space="0" w:color="auto"/>
                <w:right w:val="none" w:sz="0" w:space="0" w:color="auto"/>
              </w:divBdr>
              <w:divsChild>
                <w:div w:id="2081906172">
                  <w:marLeft w:val="0"/>
                  <w:marRight w:val="0"/>
                  <w:marTop w:val="0"/>
                  <w:marBottom w:val="0"/>
                  <w:divBdr>
                    <w:top w:val="none" w:sz="0" w:space="0" w:color="auto"/>
                    <w:left w:val="none" w:sz="0" w:space="0" w:color="auto"/>
                    <w:bottom w:val="none" w:sz="0" w:space="0" w:color="auto"/>
                    <w:right w:val="none" w:sz="0" w:space="0" w:color="auto"/>
                  </w:divBdr>
                </w:div>
              </w:divsChild>
            </w:div>
            <w:div w:id="715274582">
              <w:marLeft w:val="0"/>
              <w:marRight w:val="0"/>
              <w:marTop w:val="0"/>
              <w:marBottom w:val="0"/>
              <w:divBdr>
                <w:top w:val="none" w:sz="0" w:space="0" w:color="auto"/>
                <w:left w:val="none" w:sz="0" w:space="0" w:color="auto"/>
                <w:bottom w:val="none" w:sz="0" w:space="0" w:color="auto"/>
                <w:right w:val="none" w:sz="0" w:space="0" w:color="auto"/>
              </w:divBdr>
              <w:divsChild>
                <w:div w:id="498424980">
                  <w:marLeft w:val="0"/>
                  <w:marRight w:val="0"/>
                  <w:marTop w:val="0"/>
                  <w:marBottom w:val="0"/>
                  <w:divBdr>
                    <w:top w:val="none" w:sz="0" w:space="0" w:color="auto"/>
                    <w:left w:val="none" w:sz="0" w:space="0" w:color="auto"/>
                    <w:bottom w:val="none" w:sz="0" w:space="0" w:color="auto"/>
                    <w:right w:val="none" w:sz="0" w:space="0" w:color="auto"/>
                  </w:divBdr>
                </w:div>
              </w:divsChild>
            </w:div>
            <w:div w:id="728892059">
              <w:marLeft w:val="0"/>
              <w:marRight w:val="0"/>
              <w:marTop w:val="0"/>
              <w:marBottom w:val="0"/>
              <w:divBdr>
                <w:top w:val="none" w:sz="0" w:space="0" w:color="auto"/>
                <w:left w:val="none" w:sz="0" w:space="0" w:color="auto"/>
                <w:bottom w:val="none" w:sz="0" w:space="0" w:color="auto"/>
                <w:right w:val="none" w:sz="0" w:space="0" w:color="auto"/>
              </w:divBdr>
              <w:divsChild>
                <w:div w:id="1860659482">
                  <w:marLeft w:val="0"/>
                  <w:marRight w:val="0"/>
                  <w:marTop w:val="0"/>
                  <w:marBottom w:val="0"/>
                  <w:divBdr>
                    <w:top w:val="none" w:sz="0" w:space="0" w:color="auto"/>
                    <w:left w:val="none" w:sz="0" w:space="0" w:color="auto"/>
                    <w:bottom w:val="none" w:sz="0" w:space="0" w:color="auto"/>
                    <w:right w:val="none" w:sz="0" w:space="0" w:color="auto"/>
                  </w:divBdr>
                </w:div>
              </w:divsChild>
            </w:div>
            <w:div w:id="748766534">
              <w:marLeft w:val="0"/>
              <w:marRight w:val="0"/>
              <w:marTop w:val="0"/>
              <w:marBottom w:val="0"/>
              <w:divBdr>
                <w:top w:val="none" w:sz="0" w:space="0" w:color="auto"/>
                <w:left w:val="none" w:sz="0" w:space="0" w:color="auto"/>
                <w:bottom w:val="none" w:sz="0" w:space="0" w:color="auto"/>
                <w:right w:val="none" w:sz="0" w:space="0" w:color="auto"/>
              </w:divBdr>
              <w:divsChild>
                <w:div w:id="721490009">
                  <w:marLeft w:val="0"/>
                  <w:marRight w:val="0"/>
                  <w:marTop w:val="0"/>
                  <w:marBottom w:val="0"/>
                  <w:divBdr>
                    <w:top w:val="none" w:sz="0" w:space="0" w:color="auto"/>
                    <w:left w:val="none" w:sz="0" w:space="0" w:color="auto"/>
                    <w:bottom w:val="none" w:sz="0" w:space="0" w:color="auto"/>
                    <w:right w:val="none" w:sz="0" w:space="0" w:color="auto"/>
                  </w:divBdr>
                </w:div>
              </w:divsChild>
            </w:div>
            <w:div w:id="765661650">
              <w:marLeft w:val="0"/>
              <w:marRight w:val="0"/>
              <w:marTop w:val="0"/>
              <w:marBottom w:val="0"/>
              <w:divBdr>
                <w:top w:val="none" w:sz="0" w:space="0" w:color="auto"/>
                <w:left w:val="none" w:sz="0" w:space="0" w:color="auto"/>
                <w:bottom w:val="none" w:sz="0" w:space="0" w:color="auto"/>
                <w:right w:val="none" w:sz="0" w:space="0" w:color="auto"/>
              </w:divBdr>
              <w:divsChild>
                <w:div w:id="782532404">
                  <w:marLeft w:val="0"/>
                  <w:marRight w:val="0"/>
                  <w:marTop w:val="0"/>
                  <w:marBottom w:val="0"/>
                  <w:divBdr>
                    <w:top w:val="none" w:sz="0" w:space="0" w:color="auto"/>
                    <w:left w:val="none" w:sz="0" w:space="0" w:color="auto"/>
                    <w:bottom w:val="none" w:sz="0" w:space="0" w:color="auto"/>
                    <w:right w:val="none" w:sz="0" w:space="0" w:color="auto"/>
                  </w:divBdr>
                </w:div>
              </w:divsChild>
            </w:div>
            <w:div w:id="830945801">
              <w:marLeft w:val="0"/>
              <w:marRight w:val="0"/>
              <w:marTop w:val="0"/>
              <w:marBottom w:val="0"/>
              <w:divBdr>
                <w:top w:val="none" w:sz="0" w:space="0" w:color="auto"/>
                <w:left w:val="none" w:sz="0" w:space="0" w:color="auto"/>
                <w:bottom w:val="none" w:sz="0" w:space="0" w:color="auto"/>
                <w:right w:val="none" w:sz="0" w:space="0" w:color="auto"/>
              </w:divBdr>
              <w:divsChild>
                <w:div w:id="1981035148">
                  <w:marLeft w:val="0"/>
                  <w:marRight w:val="0"/>
                  <w:marTop w:val="0"/>
                  <w:marBottom w:val="0"/>
                  <w:divBdr>
                    <w:top w:val="none" w:sz="0" w:space="0" w:color="auto"/>
                    <w:left w:val="none" w:sz="0" w:space="0" w:color="auto"/>
                    <w:bottom w:val="none" w:sz="0" w:space="0" w:color="auto"/>
                    <w:right w:val="none" w:sz="0" w:space="0" w:color="auto"/>
                  </w:divBdr>
                </w:div>
              </w:divsChild>
            </w:div>
            <w:div w:id="873421420">
              <w:marLeft w:val="0"/>
              <w:marRight w:val="0"/>
              <w:marTop w:val="0"/>
              <w:marBottom w:val="0"/>
              <w:divBdr>
                <w:top w:val="none" w:sz="0" w:space="0" w:color="auto"/>
                <w:left w:val="none" w:sz="0" w:space="0" w:color="auto"/>
                <w:bottom w:val="none" w:sz="0" w:space="0" w:color="auto"/>
                <w:right w:val="none" w:sz="0" w:space="0" w:color="auto"/>
              </w:divBdr>
              <w:divsChild>
                <w:div w:id="1511137844">
                  <w:marLeft w:val="0"/>
                  <w:marRight w:val="0"/>
                  <w:marTop w:val="0"/>
                  <w:marBottom w:val="0"/>
                  <w:divBdr>
                    <w:top w:val="none" w:sz="0" w:space="0" w:color="auto"/>
                    <w:left w:val="none" w:sz="0" w:space="0" w:color="auto"/>
                    <w:bottom w:val="none" w:sz="0" w:space="0" w:color="auto"/>
                    <w:right w:val="none" w:sz="0" w:space="0" w:color="auto"/>
                  </w:divBdr>
                </w:div>
              </w:divsChild>
            </w:div>
            <w:div w:id="951059210">
              <w:marLeft w:val="0"/>
              <w:marRight w:val="0"/>
              <w:marTop w:val="0"/>
              <w:marBottom w:val="0"/>
              <w:divBdr>
                <w:top w:val="none" w:sz="0" w:space="0" w:color="auto"/>
                <w:left w:val="none" w:sz="0" w:space="0" w:color="auto"/>
                <w:bottom w:val="none" w:sz="0" w:space="0" w:color="auto"/>
                <w:right w:val="none" w:sz="0" w:space="0" w:color="auto"/>
              </w:divBdr>
              <w:divsChild>
                <w:div w:id="1109425522">
                  <w:marLeft w:val="0"/>
                  <w:marRight w:val="0"/>
                  <w:marTop w:val="0"/>
                  <w:marBottom w:val="0"/>
                  <w:divBdr>
                    <w:top w:val="none" w:sz="0" w:space="0" w:color="auto"/>
                    <w:left w:val="none" w:sz="0" w:space="0" w:color="auto"/>
                    <w:bottom w:val="none" w:sz="0" w:space="0" w:color="auto"/>
                    <w:right w:val="none" w:sz="0" w:space="0" w:color="auto"/>
                  </w:divBdr>
                </w:div>
              </w:divsChild>
            </w:div>
            <w:div w:id="972447084">
              <w:marLeft w:val="0"/>
              <w:marRight w:val="0"/>
              <w:marTop w:val="0"/>
              <w:marBottom w:val="0"/>
              <w:divBdr>
                <w:top w:val="none" w:sz="0" w:space="0" w:color="auto"/>
                <w:left w:val="none" w:sz="0" w:space="0" w:color="auto"/>
                <w:bottom w:val="none" w:sz="0" w:space="0" w:color="auto"/>
                <w:right w:val="none" w:sz="0" w:space="0" w:color="auto"/>
              </w:divBdr>
              <w:divsChild>
                <w:div w:id="316156699">
                  <w:marLeft w:val="0"/>
                  <w:marRight w:val="0"/>
                  <w:marTop w:val="0"/>
                  <w:marBottom w:val="0"/>
                  <w:divBdr>
                    <w:top w:val="none" w:sz="0" w:space="0" w:color="auto"/>
                    <w:left w:val="none" w:sz="0" w:space="0" w:color="auto"/>
                    <w:bottom w:val="none" w:sz="0" w:space="0" w:color="auto"/>
                    <w:right w:val="none" w:sz="0" w:space="0" w:color="auto"/>
                  </w:divBdr>
                </w:div>
              </w:divsChild>
            </w:div>
            <w:div w:id="980504008">
              <w:marLeft w:val="0"/>
              <w:marRight w:val="0"/>
              <w:marTop w:val="0"/>
              <w:marBottom w:val="0"/>
              <w:divBdr>
                <w:top w:val="none" w:sz="0" w:space="0" w:color="auto"/>
                <w:left w:val="none" w:sz="0" w:space="0" w:color="auto"/>
                <w:bottom w:val="none" w:sz="0" w:space="0" w:color="auto"/>
                <w:right w:val="none" w:sz="0" w:space="0" w:color="auto"/>
              </w:divBdr>
              <w:divsChild>
                <w:div w:id="460729719">
                  <w:marLeft w:val="0"/>
                  <w:marRight w:val="0"/>
                  <w:marTop w:val="0"/>
                  <w:marBottom w:val="0"/>
                  <w:divBdr>
                    <w:top w:val="none" w:sz="0" w:space="0" w:color="auto"/>
                    <w:left w:val="none" w:sz="0" w:space="0" w:color="auto"/>
                    <w:bottom w:val="none" w:sz="0" w:space="0" w:color="auto"/>
                    <w:right w:val="none" w:sz="0" w:space="0" w:color="auto"/>
                  </w:divBdr>
                </w:div>
              </w:divsChild>
            </w:div>
            <w:div w:id="1012801140">
              <w:marLeft w:val="0"/>
              <w:marRight w:val="0"/>
              <w:marTop w:val="0"/>
              <w:marBottom w:val="0"/>
              <w:divBdr>
                <w:top w:val="none" w:sz="0" w:space="0" w:color="auto"/>
                <w:left w:val="none" w:sz="0" w:space="0" w:color="auto"/>
                <w:bottom w:val="none" w:sz="0" w:space="0" w:color="auto"/>
                <w:right w:val="none" w:sz="0" w:space="0" w:color="auto"/>
              </w:divBdr>
              <w:divsChild>
                <w:div w:id="1426028944">
                  <w:marLeft w:val="0"/>
                  <w:marRight w:val="0"/>
                  <w:marTop w:val="0"/>
                  <w:marBottom w:val="0"/>
                  <w:divBdr>
                    <w:top w:val="none" w:sz="0" w:space="0" w:color="auto"/>
                    <w:left w:val="none" w:sz="0" w:space="0" w:color="auto"/>
                    <w:bottom w:val="none" w:sz="0" w:space="0" w:color="auto"/>
                    <w:right w:val="none" w:sz="0" w:space="0" w:color="auto"/>
                  </w:divBdr>
                </w:div>
              </w:divsChild>
            </w:div>
            <w:div w:id="1019041973">
              <w:marLeft w:val="0"/>
              <w:marRight w:val="0"/>
              <w:marTop w:val="0"/>
              <w:marBottom w:val="0"/>
              <w:divBdr>
                <w:top w:val="none" w:sz="0" w:space="0" w:color="auto"/>
                <w:left w:val="none" w:sz="0" w:space="0" w:color="auto"/>
                <w:bottom w:val="none" w:sz="0" w:space="0" w:color="auto"/>
                <w:right w:val="none" w:sz="0" w:space="0" w:color="auto"/>
              </w:divBdr>
              <w:divsChild>
                <w:div w:id="240992275">
                  <w:marLeft w:val="0"/>
                  <w:marRight w:val="0"/>
                  <w:marTop w:val="0"/>
                  <w:marBottom w:val="0"/>
                  <w:divBdr>
                    <w:top w:val="none" w:sz="0" w:space="0" w:color="auto"/>
                    <w:left w:val="none" w:sz="0" w:space="0" w:color="auto"/>
                    <w:bottom w:val="none" w:sz="0" w:space="0" w:color="auto"/>
                    <w:right w:val="none" w:sz="0" w:space="0" w:color="auto"/>
                  </w:divBdr>
                </w:div>
              </w:divsChild>
            </w:div>
            <w:div w:id="1041587618">
              <w:marLeft w:val="0"/>
              <w:marRight w:val="0"/>
              <w:marTop w:val="0"/>
              <w:marBottom w:val="0"/>
              <w:divBdr>
                <w:top w:val="none" w:sz="0" w:space="0" w:color="auto"/>
                <w:left w:val="none" w:sz="0" w:space="0" w:color="auto"/>
                <w:bottom w:val="none" w:sz="0" w:space="0" w:color="auto"/>
                <w:right w:val="none" w:sz="0" w:space="0" w:color="auto"/>
              </w:divBdr>
              <w:divsChild>
                <w:div w:id="741879286">
                  <w:marLeft w:val="0"/>
                  <w:marRight w:val="0"/>
                  <w:marTop w:val="0"/>
                  <w:marBottom w:val="0"/>
                  <w:divBdr>
                    <w:top w:val="none" w:sz="0" w:space="0" w:color="auto"/>
                    <w:left w:val="none" w:sz="0" w:space="0" w:color="auto"/>
                    <w:bottom w:val="none" w:sz="0" w:space="0" w:color="auto"/>
                    <w:right w:val="none" w:sz="0" w:space="0" w:color="auto"/>
                  </w:divBdr>
                </w:div>
              </w:divsChild>
            </w:div>
            <w:div w:id="1042290820">
              <w:marLeft w:val="0"/>
              <w:marRight w:val="0"/>
              <w:marTop w:val="0"/>
              <w:marBottom w:val="0"/>
              <w:divBdr>
                <w:top w:val="none" w:sz="0" w:space="0" w:color="auto"/>
                <w:left w:val="none" w:sz="0" w:space="0" w:color="auto"/>
                <w:bottom w:val="none" w:sz="0" w:space="0" w:color="auto"/>
                <w:right w:val="none" w:sz="0" w:space="0" w:color="auto"/>
              </w:divBdr>
              <w:divsChild>
                <w:div w:id="1584216650">
                  <w:marLeft w:val="0"/>
                  <w:marRight w:val="0"/>
                  <w:marTop w:val="0"/>
                  <w:marBottom w:val="0"/>
                  <w:divBdr>
                    <w:top w:val="none" w:sz="0" w:space="0" w:color="auto"/>
                    <w:left w:val="none" w:sz="0" w:space="0" w:color="auto"/>
                    <w:bottom w:val="none" w:sz="0" w:space="0" w:color="auto"/>
                    <w:right w:val="none" w:sz="0" w:space="0" w:color="auto"/>
                  </w:divBdr>
                </w:div>
              </w:divsChild>
            </w:div>
            <w:div w:id="1049187810">
              <w:marLeft w:val="0"/>
              <w:marRight w:val="0"/>
              <w:marTop w:val="0"/>
              <w:marBottom w:val="0"/>
              <w:divBdr>
                <w:top w:val="none" w:sz="0" w:space="0" w:color="auto"/>
                <w:left w:val="none" w:sz="0" w:space="0" w:color="auto"/>
                <w:bottom w:val="none" w:sz="0" w:space="0" w:color="auto"/>
                <w:right w:val="none" w:sz="0" w:space="0" w:color="auto"/>
              </w:divBdr>
              <w:divsChild>
                <w:div w:id="2071534826">
                  <w:marLeft w:val="0"/>
                  <w:marRight w:val="0"/>
                  <w:marTop w:val="0"/>
                  <w:marBottom w:val="0"/>
                  <w:divBdr>
                    <w:top w:val="none" w:sz="0" w:space="0" w:color="auto"/>
                    <w:left w:val="none" w:sz="0" w:space="0" w:color="auto"/>
                    <w:bottom w:val="none" w:sz="0" w:space="0" w:color="auto"/>
                    <w:right w:val="none" w:sz="0" w:space="0" w:color="auto"/>
                  </w:divBdr>
                </w:div>
              </w:divsChild>
            </w:div>
            <w:div w:id="1099912585">
              <w:marLeft w:val="0"/>
              <w:marRight w:val="0"/>
              <w:marTop w:val="0"/>
              <w:marBottom w:val="0"/>
              <w:divBdr>
                <w:top w:val="none" w:sz="0" w:space="0" w:color="auto"/>
                <w:left w:val="none" w:sz="0" w:space="0" w:color="auto"/>
                <w:bottom w:val="none" w:sz="0" w:space="0" w:color="auto"/>
                <w:right w:val="none" w:sz="0" w:space="0" w:color="auto"/>
              </w:divBdr>
              <w:divsChild>
                <w:div w:id="321617410">
                  <w:marLeft w:val="0"/>
                  <w:marRight w:val="0"/>
                  <w:marTop w:val="0"/>
                  <w:marBottom w:val="0"/>
                  <w:divBdr>
                    <w:top w:val="none" w:sz="0" w:space="0" w:color="auto"/>
                    <w:left w:val="none" w:sz="0" w:space="0" w:color="auto"/>
                    <w:bottom w:val="none" w:sz="0" w:space="0" w:color="auto"/>
                    <w:right w:val="none" w:sz="0" w:space="0" w:color="auto"/>
                  </w:divBdr>
                </w:div>
              </w:divsChild>
            </w:div>
            <w:div w:id="1106538270">
              <w:marLeft w:val="0"/>
              <w:marRight w:val="0"/>
              <w:marTop w:val="0"/>
              <w:marBottom w:val="0"/>
              <w:divBdr>
                <w:top w:val="none" w:sz="0" w:space="0" w:color="auto"/>
                <w:left w:val="none" w:sz="0" w:space="0" w:color="auto"/>
                <w:bottom w:val="none" w:sz="0" w:space="0" w:color="auto"/>
                <w:right w:val="none" w:sz="0" w:space="0" w:color="auto"/>
              </w:divBdr>
              <w:divsChild>
                <w:div w:id="1813525276">
                  <w:marLeft w:val="0"/>
                  <w:marRight w:val="0"/>
                  <w:marTop w:val="0"/>
                  <w:marBottom w:val="0"/>
                  <w:divBdr>
                    <w:top w:val="none" w:sz="0" w:space="0" w:color="auto"/>
                    <w:left w:val="none" w:sz="0" w:space="0" w:color="auto"/>
                    <w:bottom w:val="none" w:sz="0" w:space="0" w:color="auto"/>
                    <w:right w:val="none" w:sz="0" w:space="0" w:color="auto"/>
                  </w:divBdr>
                </w:div>
              </w:divsChild>
            </w:div>
            <w:div w:id="1116755660">
              <w:marLeft w:val="0"/>
              <w:marRight w:val="0"/>
              <w:marTop w:val="0"/>
              <w:marBottom w:val="0"/>
              <w:divBdr>
                <w:top w:val="none" w:sz="0" w:space="0" w:color="auto"/>
                <w:left w:val="none" w:sz="0" w:space="0" w:color="auto"/>
                <w:bottom w:val="none" w:sz="0" w:space="0" w:color="auto"/>
                <w:right w:val="none" w:sz="0" w:space="0" w:color="auto"/>
              </w:divBdr>
              <w:divsChild>
                <w:div w:id="70934336">
                  <w:marLeft w:val="0"/>
                  <w:marRight w:val="0"/>
                  <w:marTop w:val="0"/>
                  <w:marBottom w:val="0"/>
                  <w:divBdr>
                    <w:top w:val="none" w:sz="0" w:space="0" w:color="auto"/>
                    <w:left w:val="none" w:sz="0" w:space="0" w:color="auto"/>
                    <w:bottom w:val="none" w:sz="0" w:space="0" w:color="auto"/>
                    <w:right w:val="none" w:sz="0" w:space="0" w:color="auto"/>
                  </w:divBdr>
                </w:div>
              </w:divsChild>
            </w:div>
            <w:div w:id="1135179406">
              <w:marLeft w:val="0"/>
              <w:marRight w:val="0"/>
              <w:marTop w:val="0"/>
              <w:marBottom w:val="0"/>
              <w:divBdr>
                <w:top w:val="none" w:sz="0" w:space="0" w:color="auto"/>
                <w:left w:val="none" w:sz="0" w:space="0" w:color="auto"/>
                <w:bottom w:val="none" w:sz="0" w:space="0" w:color="auto"/>
                <w:right w:val="none" w:sz="0" w:space="0" w:color="auto"/>
              </w:divBdr>
              <w:divsChild>
                <w:div w:id="90275397">
                  <w:marLeft w:val="0"/>
                  <w:marRight w:val="0"/>
                  <w:marTop w:val="0"/>
                  <w:marBottom w:val="0"/>
                  <w:divBdr>
                    <w:top w:val="none" w:sz="0" w:space="0" w:color="auto"/>
                    <w:left w:val="none" w:sz="0" w:space="0" w:color="auto"/>
                    <w:bottom w:val="none" w:sz="0" w:space="0" w:color="auto"/>
                    <w:right w:val="none" w:sz="0" w:space="0" w:color="auto"/>
                  </w:divBdr>
                </w:div>
              </w:divsChild>
            </w:div>
            <w:div w:id="1203520708">
              <w:marLeft w:val="0"/>
              <w:marRight w:val="0"/>
              <w:marTop w:val="0"/>
              <w:marBottom w:val="0"/>
              <w:divBdr>
                <w:top w:val="none" w:sz="0" w:space="0" w:color="auto"/>
                <w:left w:val="none" w:sz="0" w:space="0" w:color="auto"/>
                <w:bottom w:val="none" w:sz="0" w:space="0" w:color="auto"/>
                <w:right w:val="none" w:sz="0" w:space="0" w:color="auto"/>
              </w:divBdr>
              <w:divsChild>
                <w:div w:id="1790051537">
                  <w:marLeft w:val="0"/>
                  <w:marRight w:val="0"/>
                  <w:marTop w:val="0"/>
                  <w:marBottom w:val="0"/>
                  <w:divBdr>
                    <w:top w:val="none" w:sz="0" w:space="0" w:color="auto"/>
                    <w:left w:val="none" w:sz="0" w:space="0" w:color="auto"/>
                    <w:bottom w:val="none" w:sz="0" w:space="0" w:color="auto"/>
                    <w:right w:val="none" w:sz="0" w:space="0" w:color="auto"/>
                  </w:divBdr>
                </w:div>
              </w:divsChild>
            </w:div>
            <w:div w:id="1210143950">
              <w:marLeft w:val="0"/>
              <w:marRight w:val="0"/>
              <w:marTop w:val="0"/>
              <w:marBottom w:val="0"/>
              <w:divBdr>
                <w:top w:val="none" w:sz="0" w:space="0" w:color="auto"/>
                <w:left w:val="none" w:sz="0" w:space="0" w:color="auto"/>
                <w:bottom w:val="none" w:sz="0" w:space="0" w:color="auto"/>
                <w:right w:val="none" w:sz="0" w:space="0" w:color="auto"/>
              </w:divBdr>
              <w:divsChild>
                <w:div w:id="495271485">
                  <w:marLeft w:val="0"/>
                  <w:marRight w:val="0"/>
                  <w:marTop w:val="0"/>
                  <w:marBottom w:val="0"/>
                  <w:divBdr>
                    <w:top w:val="none" w:sz="0" w:space="0" w:color="auto"/>
                    <w:left w:val="none" w:sz="0" w:space="0" w:color="auto"/>
                    <w:bottom w:val="none" w:sz="0" w:space="0" w:color="auto"/>
                    <w:right w:val="none" w:sz="0" w:space="0" w:color="auto"/>
                  </w:divBdr>
                </w:div>
              </w:divsChild>
            </w:div>
            <w:div w:id="1238130738">
              <w:marLeft w:val="0"/>
              <w:marRight w:val="0"/>
              <w:marTop w:val="0"/>
              <w:marBottom w:val="0"/>
              <w:divBdr>
                <w:top w:val="none" w:sz="0" w:space="0" w:color="auto"/>
                <w:left w:val="none" w:sz="0" w:space="0" w:color="auto"/>
                <w:bottom w:val="none" w:sz="0" w:space="0" w:color="auto"/>
                <w:right w:val="none" w:sz="0" w:space="0" w:color="auto"/>
              </w:divBdr>
              <w:divsChild>
                <w:div w:id="410199254">
                  <w:marLeft w:val="0"/>
                  <w:marRight w:val="0"/>
                  <w:marTop w:val="0"/>
                  <w:marBottom w:val="0"/>
                  <w:divBdr>
                    <w:top w:val="none" w:sz="0" w:space="0" w:color="auto"/>
                    <w:left w:val="none" w:sz="0" w:space="0" w:color="auto"/>
                    <w:bottom w:val="none" w:sz="0" w:space="0" w:color="auto"/>
                    <w:right w:val="none" w:sz="0" w:space="0" w:color="auto"/>
                  </w:divBdr>
                </w:div>
              </w:divsChild>
            </w:div>
            <w:div w:id="1269047708">
              <w:marLeft w:val="0"/>
              <w:marRight w:val="0"/>
              <w:marTop w:val="0"/>
              <w:marBottom w:val="0"/>
              <w:divBdr>
                <w:top w:val="none" w:sz="0" w:space="0" w:color="auto"/>
                <w:left w:val="none" w:sz="0" w:space="0" w:color="auto"/>
                <w:bottom w:val="none" w:sz="0" w:space="0" w:color="auto"/>
                <w:right w:val="none" w:sz="0" w:space="0" w:color="auto"/>
              </w:divBdr>
              <w:divsChild>
                <w:div w:id="1542476070">
                  <w:marLeft w:val="0"/>
                  <w:marRight w:val="0"/>
                  <w:marTop w:val="0"/>
                  <w:marBottom w:val="0"/>
                  <w:divBdr>
                    <w:top w:val="none" w:sz="0" w:space="0" w:color="auto"/>
                    <w:left w:val="none" w:sz="0" w:space="0" w:color="auto"/>
                    <w:bottom w:val="none" w:sz="0" w:space="0" w:color="auto"/>
                    <w:right w:val="none" w:sz="0" w:space="0" w:color="auto"/>
                  </w:divBdr>
                </w:div>
              </w:divsChild>
            </w:div>
            <w:div w:id="1275940317">
              <w:marLeft w:val="0"/>
              <w:marRight w:val="0"/>
              <w:marTop w:val="0"/>
              <w:marBottom w:val="0"/>
              <w:divBdr>
                <w:top w:val="none" w:sz="0" w:space="0" w:color="auto"/>
                <w:left w:val="none" w:sz="0" w:space="0" w:color="auto"/>
                <w:bottom w:val="none" w:sz="0" w:space="0" w:color="auto"/>
                <w:right w:val="none" w:sz="0" w:space="0" w:color="auto"/>
              </w:divBdr>
              <w:divsChild>
                <w:div w:id="1060203056">
                  <w:marLeft w:val="0"/>
                  <w:marRight w:val="0"/>
                  <w:marTop w:val="0"/>
                  <w:marBottom w:val="0"/>
                  <w:divBdr>
                    <w:top w:val="none" w:sz="0" w:space="0" w:color="auto"/>
                    <w:left w:val="none" w:sz="0" w:space="0" w:color="auto"/>
                    <w:bottom w:val="none" w:sz="0" w:space="0" w:color="auto"/>
                    <w:right w:val="none" w:sz="0" w:space="0" w:color="auto"/>
                  </w:divBdr>
                </w:div>
              </w:divsChild>
            </w:div>
            <w:div w:id="1297219673">
              <w:marLeft w:val="0"/>
              <w:marRight w:val="0"/>
              <w:marTop w:val="0"/>
              <w:marBottom w:val="0"/>
              <w:divBdr>
                <w:top w:val="none" w:sz="0" w:space="0" w:color="auto"/>
                <w:left w:val="none" w:sz="0" w:space="0" w:color="auto"/>
                <w:bottom w:val="none" w:sz="0" w:space="0" w:color="auto"/>
                <w:right w:val="none" w:sz="0" w:space="0" w:color="auto"/>
              </w:divBdr>
              <w:divsChild>
                <w:div w:id="2120904170">
                  <w:marLeft w:val="0"/>
                  <w:marRight w:val="0"/>
                  <w:marTop w:val="0"/>
                  <w:marBottom w:val="0"/>
                  <w:divBdr>
                    <w:top w:val="none" w:sz="0" w:space="0" w:color="auto"/>
                    <w:left w:val="none" w:sz="0" w:space="0" w:color="auto"/>
                    <w:bottom w:val="none" w:sz="0" w:space="0" w:color="auto"/>
                    <w:right w:val="none" w:sz="0" w:space="0" w:color="auto"/>
                  </w:divBdr>
                </w:div>
              </w:divsChild>
            </w:div>
            <w:div w:id="1349524565">
              <w:marLeft w:val="0"/>
              <w:marRight w:val="0"/>
              <w:marTop w:val="0"/>
              <w:marBottom w:val="0"/>
              <w:divBdr>
                <w:top w:val="none" w:sz="0" w:space="0" w:color="auto"/>
                <w:left w:val="none" w:sz="0" w:space="0" w:color="auto"/>
                <w:bottom w:val="none" w:sz="0" w:space="0" w:color="auto"/>
                <w:right w:val="none" w:sz="0" w:space="0" w:color="auto"/>
              </w:divBdr>
              <w:divsChild>
                <w:div w:id="236478966">
                  <w:marLeft w:val="0"/>
                  <w:marRight w:val="0"/>
                  <w:marTop w:val="0"/>
                  <w:marBottom w:val="0"/>
                  <w:divBdr>
                    <w:top w:val="none" w:sz="0" w:space="0" w:color="auto"/>
                    <w:left w:val="none" w:sz="0" w:space="0" w:color="auto"/>
                    <w:bottom w:val="none" w:sz="0" w:space="0" w:color="auto"/>
                    <w:right w:val="none" w:sz="0" w:space="0" w:color="auto"/>
                  </w:divBdr>
                </w:div>
              </w:divsChild>
            </w:div>
            <w:div w:id="1363168641">
              <w:marLeft w:val="0"/>
              <w:marRight w:val="0"/>
              <w:marTop w:val="0"/>
              <w:marBottom w:val="0"/>
              <w:divBdr>
                <w:top w:val="none" w:sz="0" w:space="0" w:color="auto"/>
                <w:left w:val="none" w:sz="0" w:space="0" w:color="auto"/>
                <w:bottom w:val="none" w:sz="0" w:space="0" w:color="auto"/>
                <w:right w:val="none" w:sz="0" w:space="0" w:color="auto"/>
              </w:divBdr>
              <w:divsChild>
                <w:div w:id="599869757">
                  <w:marLeft w:val="0"/>
                  <w:marRight w:val="0"/>
                  <w:marTop w:val="0"/>
                  <w:marBottom w:val="0"/>
                  <w:divBdr>
                    <w:top w:val="none" w:sz="0" w:space="0" w:color="auto"/>
                    <w:left w:val="none" w:sz="0" w:space="0" w:color="auto"/>
                    <w:bottom w:val="none" w:sz="0" w:space="0" w:color="auto"/>
                    <w:right w:val="none" w:sz="0" w:space="0" w:color="auto"/>
                  </w:divBdr>
                </w:div>
              </w:divsChild>
            </w:div>
            <w:div w:id="1363243751">
              <w:marLeft w:val="0"/>
              <w:marRight w:val="0"/>
              <w:marTop w:val="0"/>
              <w:marBottom w:val="0"/>
              <w:divBdr>
                <w:top w:val="none" w:sz="0" w:space="0" w:color="auto"/>
                <w:left w:val="none" w:sz="0" w:space="0" w:color="auto"/>
                <w:bottom w:val="none" w:sz="0" w:space="0" w:color="auto"/>
                <w:right w:val="none" w:sz="0" w:space="0" w:color="auto"/>
              </w:divBdr>
              <w:divsChild>
                <w:div w:id="702709050">
                  <w:marLeft w:val="0"/>
                  <w:marRight w:val="0"/>
                  <w:marTop w:val="0"/>
                  <w:marBottom w:val="0"/>
                  <w:divBdr>
                    <w:top w:val="none" w:sz="0" w:space="0" w:color="auto"/>
                    <w:left w:val="none" w:sz="0" w:space="0" w:color="auto"/>
                    <w:bottom w:val="none" w:sz="0" w:space="0" w:color="auto"/>
                    <w:right w:val="none" w:sz="0" w:space="0" w:color="auto"/>
                  </w:divBdr>
                </w:div>
              </w:divsChild>
            </w:div>
            <w:div w:id="1382436678">
              <w:marLeft w:val="0"/>
              <w:marRight w:val="0"/>
              <w:marTop w:val="0"/>
              <w:marBottom w:val="0"/>
              <w:divBdr>
                <w:top w:val="none" w:sz="0" w:space="0" w:color="auto"/>
                <w:left w:val="none" w:sz="0" w:space="0" w:color="auto"/>
                <w:bottom w:val="none" w:sz="0" w:space="0" w:color="auto"/>
                <w:right w:val="none" w:sz="0" w:space="0" w:color="auto"/>
              </w:divBdr>
              <w:divsChild>
                <w:div w:id="1053117391">
                  <w:marLeft w:val="0"/>
                  <w:marRight w:val="0"/>
                  <w:marTop w:val="0"/>
                  <w:marBottom w:val="0"/>
                  <w:divBdr>
                    <w:top w:val="none" w:sz="0" w:space="0" w:color="auto"/>
                    <w:left w:val="none" w:sz="0" w:space="0" w:color="auto"/>
                    <w:bottom w:val="none" w:sz="0" w:space="0" w:color="auto"/>
                    <w:right w:val="none" w:sz="0" w:space="0" w:color="auto"/>
                  </w:divBdr>
                </w:div>
              </w:divsChild>
            </w:div>
            <w:div w:id="1386175552">
              <w:marLeft w:val="0"/>
              <w:marRight w:val="0"/>
              <w:marTop w:val="0"/>
              <w:marBottom w:val="0"/>
              <w:divBdr>
                <w:top w:val="none" w:sz="0" w:space="0" w:color="auto"/>
                <w:left w:val="none" w:sz="0" w:space="0" w:color="auto"/>
                <w:bottom w:val="none" w:sz="0" w:space="0" w:color="auto"/>
                <w:right w:val="none" w:sz="0" w:space="0" w:color="auto"/>
              </w:divBdr>
              <w:divsChild>
                <w:div w:id="910233877">
                  <w:marLeft w:val="0"/>
                  <w:marRight w:val="0"/>
                  <w:marTop w:val="0"/>
                  <w:marBottom w:val="0"/>
                  <w:divBdr>
                    <w:top w:val="none" w:sz="0" w:space="0" w:color="auto"/>
                    <w:left w:val="none" w:sz="0" w:space="0" w:color="auto"/>
                    <w:bottom w:val="none" w:sz="0" w:space="0" w:color="auto"/>
                    <w:right w:val="none" w:sz="0" w:space="0" w:color="auto"/>
                  </w:divBdr>
                </w:div>
              </w:divsChild>
            </w:div>
            <w:div w:id="1469857471">
              <w:marLeft w:val="0"/>
              <w:marRight w:val="0"/>
              <w:marTop w:val="0"/>
              <w:marBottom w:val="0"/>
              <w:divBdr>
                <w:top w:val="none" w:sz="0" w:space="0" w:color="auto"/>
                <w:left w:val="none" w:sz="0" w:space="0" w:color="auto"/>
                <w:bottom w:val="none" w:sz="0" w:space="0" w:color="auto"/>
                <w:right w:val="none" w:sz="0" w:space="0" w:color="auto"/>
              </w:divBdr>
              <w:divsChild>
                <w:div w:id="1127747751">
                  <w:marLeft w:val="0"/>
                  <w:marRight w:val="0"/>
                  <w:marTop w:val="0"/>
                  <w:marBottom w:val="0"/>
                  <w:divBdr>
                    <w:top w:val="none" w:sz="0" w:space="0" w:color="auto"/>
                    <w:left w:val="none" w:sz="0" w:space="0" w:color="auto"/>
                    <w:bottom w:val="none" w:sz="0" w:space="0" w:color="auto"/>
                    <w:right w:val="none" w:sz="0" w:space="0" w:color="auto"/>
                  </w:divBdr>
                </w:div>
              </w:divsChild>
            </w:div>
            <w:div w:id="1492524725">
              <w:marLeft w:val="0"/>
              <w:marRight w:val="0"/>
              <w:marTop w:val="0"/>
              <w:marBottom w:val="0"/>
              <w:divBdr>
                <w:top w:val="none" w:sz="0" w:space="0" w:color="auto"/>
                <w:left w:val="none" w:sz="0" w:space="0" w:color="auto"/>
                <w:bottom w:val="none" w:sz="0" w:space="0" w:color="auto"/>
                <w:right w:val="none" w:sz="0" w:space="0" w:color="auto"/>
              </w:divBdr>
              <w:divsChild>
                <w:div w:id="539049093">
                  <w:marLeft w:val="0"/>
                  <w:marRight w:val="0"/>
                  <w:marTop w:val="0"/>
                  <w:marBottom w:val="0"/>
                  <w:divBdr>
                    <w:top w:val="none" w:sz="0" w:space="0" w:color="auto"/>
                    <w:left w:val="none" w:sz="0" w:space="0" w:color="auto"/>
                    <w:bottom w:val="none" w:sz="0" w:space="0" w:color="auto"/>
                    <w:right w:val="none" w:sz="0" w:space="0" w:color="auto"/>
                  </w:divBdr>
                </w:div>
              </w:divsChild>
            </w:div>
            <w:div w:id="1492866209">
              <w:marLeft w:val="0"/>
              <w:marRight w:val="0"/>
              <w:marTop w:val="0"/>
              <w:marBottom w:val="0"/>
              <w:divBdr>
                <w:top w:val="none" w:sz="0" w:space="0" w:color="auto"/>
                <w:left w:val="none" w:sz="0" w:space="0" w:color="auto"/>
                <w:bottom w:val="none" w:sz="0" w:space="0" w:color="auto"/>
                <w:right w:val="none" w:sz="0" w:space="0" w:color="auto"/>
              </w:divBdr>
              <w:divsChild>
                <w:div w:id="699933657">
                  <w:marLeft w:val="0"/>
                  <w:marRight w:val="0"/>
                  <w:marTop w:val="0"/>
                  <w:marBottom w:val="0"/>
                  <w:divBdr>
                    <w:top w:val="none" w:sz="0" w:space="0" w:color="auto"/>
                    <w:left w:val="none" w:sz="0" w:space="0" w:color="auto"/>
                    <w:bottom w:val="none" w:sz="0" w:space="0" w:color="auto"/>
                    <w:right w:val="none" w:sz="0" w:space="0" w:color="auto"/>
                  </w:divBdr>
                </w:div>
              </w:divsChild>
            </w:div>
            <w:div w:id="1528635659">
              <w:marLeft w:val="0"/>
              <w:marRight w:val="0"/>
              <w:marTop w:val="0"/>
              <w:marBottom w:val="0"/>
              <w:divBdr>
                <w:top w:val="none" w:sz="0" w:space="0" w:color="auto"/>
                <w:left w:val="none" w:sz="0" w:space="0" w:color="auto"/>
                <w:bottom w:val="none" w:sz="0" w:space="0" w:color="auto"/>
                <w:right w:val="none" w:sz="0" w:space="0" w:color="auto"/>
              </w:divBdr>
              <w:divsChild>
                <w:div w:id="631133195">
                  <w:marLeft w:val="0"/>
                  <w:marRight w:val="0"/>
                  <w:marTop w:val="0"/>
                  <w:marBottom w:val="0"/>
                  <w:divBdr>
                    <w:top w:val="none" w:sz="0" w:space="0" w:color="auto"/>
                    <w:left w:val="none" w:sz="0" w:space="0" w:color="auto"/>
                    <w:bottom w:val="none" w:sz="0" w:space="0" w:color="auto"/>
                    <w:right w:val="none" w:sz="0" w:space="0" w:color="auto"/>
                  </w:divBdr>
                </w:div>
              </w:divsChild>
            </w:div>
            <w:div w:id="1566841011">
              <w:marLeft w:val="0"/>
              <w:marRight w:val="0"/>
              <w:marTop w:val="0"/>
              <w:marBottom w:val="0"/>
              <w:divBdr>
                <w:top w:val="none" w:sz="0" w:space="0" w:color="auto"/>
                <w:left w:val="none" w:sz="0" w:space="0" w:color="auto"/>
                <w:bottom w:val="none" w:sz="0" w:space="0" w:color="auto"/>
                <w:right w:val="none" w:sz="0" w:space="0" w:color="auto"/>
              </w:divBdr>
              <w:divsChild>
                <w:div w:id="2033603262">
                  <w:marLeft w:val="0"/>
                  <w:marRight w:val="0"/>
                  <w:marTop w:val="0"/>
                  <w:marBottom w:val="0"/>
                  <w:divBdr>
                    <w:top w:val="none" w:sz="0" w:space="0" w:color="auto"/>
                    <w:left w:val="none" w:sz="0" w:space="0" w:color="auto"/>
                    <w:bottom w:val="none" w:sz="0" w:space="0" w:color="auto"/>
                    <w:right w:val="none" w:sz="0" w:space="0" w:color="auto"/>
                  </w:divBdr>
                </w:div>
              </w:divsChild>
            </w:div>
            <w:div w:id="1572496850">
              <w:marLeft w:val="0"/>
              <w:marRight w:val="0"/>
              <w:marTop w:val="0"/>
              <w:marBottom w:val="0"/>
              <w:divBdr>
                <w:top w:val="none" w:sz="0" w:space="0" w:color="auto"/>
                <w:left w:val="none" w:sz="0" w:space="0" w:color="auto"/>
                <w:bottom w:val="none" w:sz="0" w:space="0" w:color="auto"/>
                <w:right w:val="none" w:sz="0" w:space="0" w:color="auto"/>
              </w:divBdr>
              <w:divsChild>
                <w:div w:id="1242448953">
                  <w:marLeft w:val="0"/>
                  <w:marRight w:val="0"/>
                  <w:marTop w:val="0"/>
                  <w:marBottom w:val="0"/>
                  <w:divBdr>
                    <w:top w:val="none" w:sz="0" w:space="0" w:color="auto"/>
                    <w:left w:val="none" w:sz="0" w:space="0" w:color="auto"/>
                    <w:bottom w:val="none" w:sz="0" w:space="0" w:color="auto"/>
                    <w:right w:val="none" w:sz="0" w:space="0" w:color="auto"/>
                  </w:divBdr>
                </w:div>
              </w:divsChild>
            </w:div>
            <w:div w:id="1572618265">
              <w:marLeft w:val="0"/>
              <w:marRight w:val="0"/>
              <w:marTop w:val="0"/>
              <w:marBottom w:val="0"/>
              <w:divBdr>
                <w:top w:val="none" w:sz="0" w:space="0" w:color="auto"/>
                <w:left w:val="none" w:sz="0" w:space="0" w:color="auto"/>
                <w:bottom w:val="none" w:sz="0" w:space="0" w:color="auto"/>
                <w:right w:val="none" w:sz="0" w:space="0" w:color="auto"/>
              </w:divBdr>
              <w:divsChild>
                <w:div w:id="902836446">
                  <w:marLeft w:val="0"/>
                  <w:marRight w:val="0"/>
                  <w:marTop w:val="0"/>
                  <w:marBottom w:val="0"/>
                  <w:divBdr>
                    <w:top w:val="none" w:sz="0" w:space="0" w:color="auto"/>
                    <w:left w:val="none" w:sz="0" w:space="0" w:color="auto"/>
                    <w:bottom w:val="none" w:sz="0" w:space="0" w:color="auto"/>
                    <w:right w:val="none" w:sz="0" w:space="0" w:color="auto"/>
                  </w:divBdr>
                </w:div>
              </w:divsChild>
            </w:div>
            <w:div w:id="1579168214">
              <w:marLeft w:val="0"/>
              <w:marRight w:val="0"/>
              <w:marTop w:val="0"/>
              <w:marBottom w:val="0"/>
              <w:divBdr>
                <w:top w:val="none" w:sz="0" w:space="0" w:color="auto"/>
                <w:left w:val="none" w:sz="0" w:space="0" w:color="auto"/>
                <w:bottom w:val="none" w:sz="0" w:space="0" w:color="auto"/>
                <w:right w:val="none" w:sz="0" w:space="0" w:color="auto"/>
              </w:divBdr>
              <w:divsChild>
                <w:div w:id="990838943">
                  <w:marLeft w:val="0"/>
                  <w:marRight w:val="0"/>
                  <w:marTop w:val="0"/>
                  <w:marBottom w:val="0"/>
                  <w:divBdr>
                    <w:top w:val="none" w:sz="0" w:space="0" w:color="auto"/>
                    <w:left w:val="none" w:sz="0" w:space="0" w:color="auto"/>
                    <w:bottom w:val="none" w:sz="0" w:space="0" w:color="auto"/>
                    <w:right w:val="none" w:sz="0" w:space="0" w:color="auto"/>
                  </w:divBdr>
                </w:div>
              </w:divsChild>
            </w:div>
            <w:div w:id="1587809018">
              <w:marLeft w:val="0"/>
              <w:marRight w:val="0"/>
              <w:marTop w:val="0"/>
              <w:marBottom w:val="0"/>
              <w:divBdr>
                <w:top w:val="none" w:sz="0" w:space="0" w:color="auto"/>
                <w:left w:val="none" w:sz="0" w:space="0" w:color="auto"/>
                <w:bottom w:val="none" w:sz="0" w:space="0" w:color="auto"/>
                <w:right w:val="none" w:sz="0" w:space="0" w:color="auto"/>
              </w:divBdr>
              <w:divsChild>
                <w:div w:id="1315987965">
                  <w:marLeft w:val="0"/>
                  <w:marRight w:val="0"/>
                  <w:marTop w:val="0"/>
                  <w:marBottom w:val="0"/>
                  <w:divBdr>
                    <w:top w:val="none" w:sz="0" w:space="0" w:color="auto"/>
                    <w:left w:val="none" w:sz="0" w:space="0" w:color="auto"/>
                    <w:bottom w:val="none" w:sz="0" w:space="0" w:color="auto"/>
                    <w:right w:val="none" w:sz="0" w:space="0" w:color="auto"/>
                  </w:divBdr>
                </w:div>
              </w:divsChild>
            </w:div>
            <w:div w:id="1623343044">
              <w:marLeft w:val="0"/>
              <w:marRight w:val="0"/>
              <w:marTop w:val="0"/>
              <w:marBottom w:val="0"/>
              <w:divBdr>
                <w:top w:val="none" w:sz="0" w:space="0" w:color="auto"/>
                <w:left w:val="none" w:sz="0" w:space="0" w:color="auto"/>
                <w:bottom w:val="none" w:sz="0" w:space="0" w:color="auto"/>
                <w:right w:val="none" w:sz="0" w:space="0" w:color="auto"/>
              </w:divBdr>
              <w:divsChild>
                <w:div w:id="731006626">
                  <w:marLeft w:val="0"/>
                  <w:marRight w:val="0"/>
                  <w:marTop w:val="0"/>
                  <w:marBottom w:val="0"/>
                  <w:divBdr>
                    <w:top w:val="none" w:sz="0" w:space="0" w:color="auto"/>
                    <w:left w:val="none" w:sz="0" w:space="0" w:color="auto"/>
                    <w:bottom w:val="none" w:sz="0" w:space="0" w:color="auto"/>
                    <w:right w:val="none" w:sz="0" w:space="0" w:color="auto"/>
                  </w:divBdr>
                </w:div>
              </w:divsChild>
            </w:div>
            <w:div w:id="1626304360">
              <w:marLeft w:val="0"/>
              <w:marRight w:val="0"/>
              <w:marTop w:val="0"/>
              <w:marBottom w:val="0"/>
              <w:divBdr>
                <w:top w:val="none" w:sz="0" w:space="0" w:color="auto"/>
                <w:left w:val="none" w:sz="0" w:space="0" w:color="auto"/>
                <w:bottom w:val="none" w:sz="0" w:space="0" w:color="auto"/>
                <w:right w:val="none" w:sz="0" w:space="0" w:color="auto"/>
              </w:divBdr>
              <w:divsChild>
                <w:div w:id="1042249809">
                  <w:marLeft w:val="0"/>
                  <w:marRight w:val="0"/>
                  <w:marTop w:val="0"/>
                  <w:marBottom w:val="0"/>
                  <w:divBdr>
                    <w:top w:val="none" w:sz="0" w:space="0" w:color="auto"/>
                    <w:left w:val="none" w:sz="0" w:space="0" w:color="auto"/>
                    <w:bottom w:val="none" w:sz="0" w:space="0" w:color="auto"/>
                    <w:right w:val="none" w:sz="0" w:space="0" w:color="auto"/>
                  </w:divBdr>
                </w:div>
              </w:divsChild>
            </w:div>
            <w:div w:id="1647319210">
              <w:marLeft w:val="0"/>
              <w:marRight w:val="0"/>
              <w:marTop w:val="0"/>
              <w:marBottom w:val="0"/>
              <w:divBdr>
                <w:top w:val="none" w:sz="0" w:space="0" w:color="auto"/>
                <w:left w:val="none" w:sz="0" w:space="0" w:color="auto"/>
                <w:bottom w:val="none" w:sz="0" w:space="0" w:color="auto"/>
                <w:right w:val="none" w:sz="0" w:space="0" w:color="auto"/>
              </w:divBdr>
              <w:divsChild>
                <w:div w:id="166752797">
                  <w:marLeft w:val="0"/>
                  <w:marRight w:val="0"/>
                  <w:marTop w:val="0"/>
                  <w:marBottom w:val="0"/>
                  <w:divBdr>
                    <w:top w:val="none" w:sz="0" w:space="0" w:color="auto"/>
                    <w:left w:val="none" w:sz="0" w:space="0" w:color="auto"/>
                    <w:bottom w:val="none" w:sz="0" w:space="0" w:color="auto"/>
                    <w:right w:val="none" w:sz="0" w:space="0" w:color="auto"/>
                  </w:divBdr>
                </w:div>
              </w:divsChild>
            </w:div>
            <w:div w:id="1682972299">
              <w:marLeft w:val="0"/>
              <w:marRight w:val="0"/>
              <w:marTop w:val="0"/>
              <w:marBottom w:val="0"/>
              <w:divBdr>
                <w:top w:val="none" w:sz="0" w:space="0" w:color="auto"/>
                <w:left w:val="none" w:sz="0" w:space="0" w:color="auto"/>
                <w:bottom w:val="none" w:sz="0" w:space="0" w:color="auto"/>
                <w:right w:val="none" w:sz="0" w:space="0" w:color="auto"/>
              </w:divBdr>
              <w:divsChild>
                <w:div w:id="1464540628">
                  <w:marLeft w:val="0"/>
                  <w:marRight w:val="0"/>
                  <w:marTop w:val="0"/>
                  <w:marBottom w:val="0"/>
                  <w:divBdr>
                    <w:top w:val="none" w:sz="0" w:space="0" w:color="auto"/>
                    <w:left w:val="none" w:sz="0" w:space="0" w:color="auto"/>
                    <w:bottom w:val="none" w:sz="0" w:space="0" w:color="auto"/>
                    <w:right w:val="none" w:sz="0" w:space="0" w:color="auto"/>
                  </w:divBdr>
                </w:div>
              </w:divsChild>
            </w:div>
            <w:div w:id="1701585058">
              <w:marLeft w:val="0"/>
              <w:marRight w:val="0"/>
              <w:marTop w:val="0"/>
              <w:marBottom w:val="0"/>
              <w:divBdr>
                <w:top w:val="none" w:sz="0" w:space="0" w:color="auto"/>
                <w:left w:val="none" w:sz="0" w:space="0" w:color="auto"/>
                <w:bottom w:val="none" w:sz="0" w:space="0" w:color="auto"/>
                <w:right w:val="none" w:sz="0" w:space="0" w:color="auto"/>
              </w:divBdr>
              <w:divsChild>
                <w:div w:id="1666132901">
                  <w:marLeft w:val="0"/>
                  <w:marRight w:val="0"/>
                  <w:marTop w:val="0"/>
                  <w:marBottom w:val="0"/>
                  <w:divBdr>
                    <w:top w:val="none" w:sz="0" w:space="0" w:color="auto"/>
                    <w:left w:val="none" w:sz="0" w:space="0" w:color="auto"/>
                    <w:bottom w:val="none" w:sz="0" w:space="0" w:color="auto"/>
                    <w:right w:val="none" w:sz="0" w:space="0" w:color="auto"/>
                  </w:divBdr>
                </w:div>
              </w:divsChild>
            </w:div>
            <w:div w:id="1740786495">
              <w:marLeft w:val="0"/>
              <w:marRight w:val="0"/>
              <w:marTop w:val="0"/>
              <w:marBottom w:val="0"/>
              <w:divBdr>
                <w:top w:val="none" w:sz="0" w:space="0" w:color="auto"/>
                <w:left w:val="none" w:sz="0" w:space="0" w:color="auto"/>
                <w:bottom w:val="none" w:sz="0" w:space="0" w:color="auto"/>
                <w:right w:val="none" w:sz="0" w:space="0" w:color="auto"/>
              </w:divBdr>
              <w:divsChild>
                <w:div w:id="1046024416">
                  <w:marLeft w:val="0"/>
                  <w:marRight w:val="0"/>
                  <w:marTop w:val="0"/>
                  <w:marBottom w:val="0"/>
                  <w:divBdr>
                    <w:top w:val="none" w:sz="0" w:space="0" w:color="auto"/>
                    <w:left w:val="none" w:sz="0" w:space="0" w:color="auto"/>
                    <w:bottom w:val="none" w:sz="0" w:space="0" w:color="auto"/>
                    <w:right w:val="none" w:sz="0" w:space="0" w:color="auto"/>
                  </w:divBdr>
                </w:div>
              </w:divsChild>
            </w:div>
            <w:div w:id="1792625631">
              <w:marLeft w:val="0"/>
              <w:marRight w:val="0"/>
              <w:marTop w:val="0"/>
              <w:marBottom w:val="0"/>
              <w:divBdr>
                <w:top w:val="none" w:sz="0" w:space="0" w:color="auto"/>
                <w:left w:val="none" w:sz="0" w:space="0" w:color="auto"/>
                <w:bottom w:val="none" w:sz="0" w:space="0" w:color="auto"/>
                <w:right w:val="none" w:sz="0" w:space="0" w:color="auto"/>
              </w:divBdr>
              <w:divsChild>
                <w:div w:id="2000422745">
                  <w:marLeft w:val="0"/>
                  <w:marRight w:val="0"/>
                  <w:marTop w:val="0"/>
                  <w:marBottom w:val="0"/>
                  <w:divBdr>
                    <w:top w:val="none" w:sz="0" w:space="0" w:color="auto"/>
                    <w:left w:val="none" w:sz="0" w:space="0" w:color="auto"/>
                    <w:bottom w:val="none" w:sz="0" w:space="0" w:color="auto"/>
                    <w:right w:val="none" w:sz="0" w:space="0" w:color="auto"/>
                  </w:divBdr>
                </w:div>
              </w:divsChild>
            </w:div>
            <w:div w:id="1844391339">
              <w:marLeft w:val="0"/>
              <w:marRight w:val="0"/>
              <w:marTop w:val="0"/>
              <w:marBottom w:val="0"/>
              <w:divBdr>
                <w:top w:val="none" w:sz="0" w:space="0" w:color="auto"/>
                <w:left w:val="none" w:sz="0" w:space="0" w:color="auto"/>
                <w:bottom w:val="none" w:sz="0" w:space="0" w:color="auto"/>
                <w:right w:val="none" w:sz="0" w:space="0" w:color="auto"/>
              </w:divBdr>
              <w:divsChild>
                <w:div w:id="13701601">
                  <w:marLeft w:val="0"/>
                  <w:marRight w:val="0"/>
                  <w:marTop w:val="0"/>
                  <w:marBottom w:val="0"/>
                  <w:divBdr>
                    <w:top w:val="none" w:sz="0" w:space="0" w:color="auto"/>
                    <w:left w:val="none" w:sz="0" w:space="0" w:color="auto"/>
                    <w:bottom w:val="none" w:sz="0" w:space="0" w:color="auto"/>
                    <w:right w:val="none" w:sz="0" w:space="0" w:color="auto"/>
                  </w:divBdr>
                </w:div>
              </w:divsChild>
            </w:div>
            <w:div w:id="1848135602">
              <w:marLeft w:val="0"/>
              <w:marRight w:val="0"/>
              <w:marTop w:val="0"/>
              <w:marBottom w:val="0"/>
              <w:divBdr>
                <w:top w:val="none" w:sz="0" w:space="0" w:color="auto"/>
                <w:left w:val="none" w:sz="0" w:space="0" w:color="auto"/>
                <w:bottom w:val="none" w:sz="0" w:space="0" w:color="auto"/>
                <w:right w:val="none" w:sz="0" w:space="0" w:color="auto"/>
              </w:divBdr>
              <w:divsChild>
                <w:div w:id="1037975379">
                  <w:marLeft w:val="0"/>
                  <w:marRight w:val="0"/>
                  <w:marTop w:val="0"/>
                  <w:marBottom w:val="0"/>
                  <w:divBdr>
                    <w:top w:val="none" w:sz="0" w:space="0" w:color="auto"/>
                    <w:left w:val="none" w:sz="0" w:space="0" w:color="auto"/>
                    <w:bottom w:val="none" w:sz="0" w:space="0" w:color="auto"/>
                    <w:right w:val="none" w:sz="0" w:space="0" w:color="auto"/>
                  </w:divBdr>
                </w:div>
              </w:divsChild>
            </w:div>
            <w:div w:id="1876771042">
              <w:marLeft w:val="0"/>
              <w:marRight w:val="0"/>
              <w:marTop w:val="0"/>
              <w:marBottom w:val="0"/>
              <w:divBdr>
                <w:top w:val="none" w:sz="0" w:space="0" w:color="auto"/>
                <w:left w:val="none" w:sz="0" w:space="0" w:color="auto"/>
                <w:bottom w:val="none" w:sz="0" w:space="0" w:color="auto"/>
                <w:right w:val="none" w:sz="0" w:space="0" w:color="auto"/>
              </w:divBdr>
              <w:divsChild>
                <w:div w:id="663169924">
                  <w:marLeft w:val="0"/>
                  <w:marRight w:val="0"/>
                  <w:marTop w:val="0"/>
                  <w:marBottom w:val="0"/>
                  <w:divBdr>
                    <w:top w:val="none" w:sz="0" w:space="0" w:color="auto"/>
                    <w:left w:val="none" w:sz="0" w:space="0" w:color="auto"/>
                    <w:bottom w:val="none" w:sz="0" w:space="0" w:color="auto"/>
                    <w:right w:val="none" w:sz="0" w:space="0" w:color="auto"/>
                  </w:divBdr>
                </w:div>
              </w:divsChild>
            </w:div>
            <w:div w:id="1889143537">
              <w:marLeft w:val="0"/>
              <w:marRight w:val="0"/>
              <w:marTop w:val="0"/>
              <w:marBottom w:val="0"/>
              <w:divBdr>
                <w:top w:val="none" w:sz="0" w:space="0" w:color="auto"/>
                <w:left w:val="none" w:sz="0" w:space="0" w:color="auto"/>
                <w:bottom w:val="none" w:sz="0" w:space="0" w:color="auto"/>
                <w:right w:val="none" w:sz="0" w:space="0" w:color="auto"/>
              </w:divBdr>
              <w:divsChild>
                <w:div w:id="971978255">
                  <w:marLeft w:val="0"/>
                  <w:marRight w:val="0"/>
                  <w:marTop w:val="0"/>
                  <w:marBottom w:val="0"/>
                  <w:divBdr>
                    <w:top w:val="none" w:sz="0" w:space="0" w:color="auto"/>
                    <w:left w:val="none" w:sz="0" w:space="0" w:color="auto"/>
                    <w:bottom w:val="none" w:sz="0" w:space="0" w:color="auto"/>
                    <w:right w:val="none" w:sz="0" w:space="0" w:color="auto"/>
                  </w:divBdr>
                </w:div>
              </w:divsChild>
            </w:div>
            <w:div w:id="1891382355">
              <w:marLeft w:val="0"/>
              <w:marRight w:val="0"/>
              <w:marTop w:val="0"/>
              <w:marBottom w:val="0"/>
              <w:divBdr>
                <w:top w:val="none" w:sz="0" w:space="0" w:color="auto"/>
                <w:left w:val="none" w:sz="0" w:space="0" w:color="auto"/>
                <w:bottom w:val="none" w:sz="0" w:space="0" w:color="auto"/>
                <w:right w:val="none" w:sz="0" w:space="0" w:color="auto"/>
              </w:divBdr>
              <w:divsChild>
                <w:div w:id="147404900">
                  <w:marLeft w:val="0"/>
                  <w:marRight w:val="0"/>
                  <w:marTop w:val="0"/>
                  <w:marBottom w:val="0"/>
                  <w:divBdr>
                    <w:top w:val="none" w:sz="0" w:space="0" w:color="auto"/>
                    <w:left w:val="none" w:sz="0" w:space="0" w:color="auto"/>
                    <w:bottom w:val="none" w:sz="0" w:space="0" w:color="auto"/>
                    <w:right w:val="none" w:sz="0" w:space="0" w:color="auto"/>
                  </w:divBdr>
                </w:div>
              </w:divsChild>
            </w:div>
            <w:div w:id="1960641611">
              <w:marLeft w:val="0"/>
              <w:marRight w:val="0"/>
              <w:marTop w:val="0"/>
              <w:marBottom w:val="0"/>
              <w:divBdr>
                <w:top w:val="none" w:sz="0" w:space="0" w:color="auto"/>
                <w:left w:val="none" w:sz="0" w:space="0" w:color="auto"/>
                <w:bottom w:val="none" w:sz="0" w:space="0" w:color="auto"/>
                <w:right w:val="none" w:sz="0" w:space="0" w:color="auto"/>
              </w:divBdr>
              <w:divsChild>
                <w:div w:id="913664114">
                  <w:marLeft w:val="0"/>
                  <w:marRight w:val="0"/>
                  <w:marTop w:val="0"/>
                  <w:marBottom w:val="0"/>
                  <w:divBdr>
                    <w:top w:val="none" w:sz="0" w:space="0" w:color="auto"/>
                    <w:left w:val="none" w:sz="0" w:space="0" w:color="auto"/>
                    <w:bottom w:val="none" w:sz="0" w:space="0" w:color="auto"/>
                    <w:right w:val="none" w:sz="0" w:space="0" w:color="auto"/>
                  </w:divBdr>
                </w:div>
              </w:divsChild>
            </w:div>
            <w:div w:id="1986009823">
              <w:marLeft w:val="0"/>
              <w:marRight w:val="0"/>
              <w:marTop w:val="0"/>
              <w:marBottom w:val="0"/>
              <w:divBdr>
                <w:top w:val="none" w:sz="0" w:space="0" w:color="auto"/>
                <w:left w:val="none" w:sz="0" w:space="0" w:color="auto"/>
                <w:bottom w:val="none" w:sz="0" w:space="0" w:color="auto"/>
                <w:right w:val="none" w:sz="0" w:space="0" w:color="auto"/>
              </w:divBdr>
              <w:divsChild>
                <w:div w:id="279996089">
                  <w:marLeft w:val="0"/>
                  <w:marRight w:val="0"/>
                  <w:marTop w:val="0"/>
                  <w:marBottom w:val="0"/>
                  <w:divBdr>
                    <w:top w:val="none" w:sz="0" w:space="0" w:color="auto"/>
                    <w:left w:val="none" w:sz="0" w:space="0" w:color="auto"/>
                    <w:bottom w:val="none" w:sz="0" w:space="0" w:color="auto"/>
                    <w:right w:val="none" w:sz="0" w:space="0" w:color="auto"/>
                  </w:divBdr>
                </w:div>
              </w:divsChild>
            </w:div>
            <w:div w:id="2067097509">
              <w:marLeft w:val="0"/>
              <w:marRight w:val="0"/>
              <w:marTop w:val="0"/>
              <w:marBottom w:val="0"/>
              <w:divBdr>
                <w:top w:val="none" w:sz="0" w:space="0" w:color="auto"/>
                <w:left w:val="none" w:sz="0" w:space="0" w:color="auto"/>
                <w:bottom w:val="none" w:sz="0" w:space="0" w:color="auto"/>
                <w:right w:val="none" w:sz="0" w:space="0" w:color="auto"/>
              </w:divBdr>
              <w:divsChild>
                <w:div w:id="1521242131">
                  <w:marLeft w:val="0"/>
                  <w:marRight w:val="0"/>
                  <w:marTop w:val="0"/>
                  <w:marBottom w:val="0"/>
                  <w:divBdr>
                    <w:top w:val="none" w:sz="0" w:space="0" w:color="auto"/>
                    <w:left w:val="none" w:sz="0" w:space="0" w:color="auto"/>
                    <w:bottom w:val="none" w:sz="0" w:space="0" w:color="auto"/>
                    <w:right w:val="none" w:sz="0" w:space="0" w:color="auto"/>
                  </w:divBdr>
                </w:div>
              </w:divsChild>
            </w:div>
            <w:div w:id="2087456026">
              <w:marLeft w:val="0"/>
              <w:marRight w:val="0"/>
              <w:marTop w:val="0"/>
              <w:marBottom w:val="0"/>
              <w:divBdr>
                <w:top w:val="none" w:sz="0" w:space="0" w:color="auto"/>
                <w:left w:val="none" w:sz="0" w:space="0" w:color="auto"/>
                <w:bottom w:val="none" w:sz="0" w:space="0" w:color="auto"/>
                <w:right w:val="none" w:sz="0" w:space="0" w:color="auto"/>
              </w:divBdr>
              <w:divsChild>
                <w:div w:id="2043704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1006811">
          <w:marLeft w:val="0"/>
          <w:marRight w:val="0"/>
          <w:marTop w:val="30"/>
          <w:marBottom w:val="30"/>
          <w:divBdr>
            <w:top w:val="none" w:sz="0" w:space="0" w:color="auto"/>
            <w:left w:val="none" w:sz="0" w:space="0" w:color="auto"/>
            <w:bottom w:val="none" w:sz="0" w:space="0" w:color="auto"/>
            <w:right w:val="none" w:sz="0" w:space="0" w:color="auto"/>
          </w:divBdr>
          <w:divsChild>
            <w:div w:id="20128191">
              <w:marLeft w:val="0"/>
              <w:marRight w:val="0"/>
              <w:marTop w:val="0"/>
              <w:marBottom w:val="0"/>
              <w:divBdr>
                <w:top w:val="none" w:sz="0" w:space="0" w:color="auto"/>
                <w:left w:val="none" w:sz="0" w:space="0" w:color="auto"/>
                <w:bottom w:val="none" w:sz="0" w:space="0" w:color="auto"/>
                <w:right w:val="none" w:sz="0" w:space="0" w:color="auto"/>
              </w:divBdr>
              <w:divsChild>
                <w:div w:id="189879005">
                  <w:marLeft w:val="0"/>
                  <w:marRight w:val="0"/>
                  <w:marTop w:val="0"/>
                  <w:marBottom w:val="0"/>
                  <w:divBdr>
                    <w:top w:val="none" w:sz="0" w:space="0" w:color="auto"/>
                    <w:left w:val="none" w:sz="0" w:space="0" w:color="auto"/>
                    <w:bottom w:val="none" w:sz="0" w:space="0" w:color="auto"/>
                    <w:right w:val="none" w:sz="0" w:space="0" w:color="auto"/>
                  </w:divBdr>
                </w:div>
              </w:divsChild>
            </w:div>
            <w:div w:id="176769520">
              <w:marLeft w:val="0"/>
              <w:marRight w:val="0"/>
              <w:marTop w:val="0"/>
              <w:marBottom w:val="0"/>
              <w:divBdr>
                <w:top w:val="none" w:sz="0" w:space="0" w:color="auto"/>
                <w:left w:val="none" w:sz="0" w:space="0" w:color="auto"/>
                <w:bottom w:val="none" w:sz="0" w:space="0" w:color="auto"/>
                <w:right w:val="none" w:sz="0" w:space="0" w:color="auto"/>
              </w:divBdr>
              <w:divsChild>
                <w:div w:id="1343364038">
                  <w:marLeft w:val="0"/>
                  <w:marRight w:val="0"/>
                  <w:marTop w:val="0"/>
                  <w:marBottom w:val="0"/>
                  <w:divBdr>
                    <w:top w:val="none" w:sz="0" w:space="0" w:color="auto"/>
                    <w:left w:val="none" w:sz="0" w:space="0" w:color="auto"/>
                    <w:bottom w:val="none" w:sz="0" w:space="0" w:color="auto"/>
                    <w:right w:val="none" w:sz="0" w:space="0" w:color="auto"/>
                  </w:divBdr>
                </w:div>
              </w:divsChild>
            </w:div>
            <w:div w:id="226889619">
              <w:marLeft w:val="0"/>
              <w:marRight w:val="0"/>
              <w:marTop w:val="0"/>
              <w:marBottom w:val="0"/>
              <w:divBdr>
                <w:top w:val="none" w:sz="0" w:space="0" w:color="auto"/>
                <w:left w:val="none" w:sz="0" w:space="0" w:color="auto"/>
                <w:bottom w:val="none" w:sz="0" w:space="0" w:color="auto"/>
                <w:right w:val="none" w:sz="0" w:space="0" w:color="auto"/>
              </w:divBdr>
              <w:divsChild>
                <w:div w:id="1318533027">
                  <w:marLeft w:val="0"/>
                  <w:marRight w:val="0"/>
                  <w:marTop w:val="0"/>
                  <w:marBottom w:val="0"/>
                  <w:divBdr>
                    <w:top w:val="none" w:sz="0" w:space="0" w:color="auto"/>
                    <w:left w:val="none" w:sz="0" w:space="0" w:color="auto"/>
                    <w:bottom w:val="none" w:sz="0" w:space="0" w:color="auto"/>
                    <w:right w:val="none" w:sz="0" w:space="0" w:color="auto"/>
                  </w:divBdr>
                </w:div>
              </w:divsChild>
            </w:div>
            <w:div w:id="267856339">
              <w:marLeft w:val="0"/>
              <w:marRight w:val="0"/>
              <w:marTop w:val="0"/>
              <w:marBottom w:val="0"/>
              <w:divBdr>
                <w:top w:val="none" w:sz="0" w:space="0" w:color="auto"/>
                <w:left w:val="none" w:sz="0" w:space="0" w:color="auto"/>
                <w:bottom w:val="none" w:sz="0" w:space="0" w:color="auto"/>
                <w:right w:val="none" w:sz="0" w:space="0" w:color="auto"/>
              </w:divBdr>
              <w:divsChild>
                <w:div w:id="1456680476">
                  <w:marLeft w:val="0"/>
                  <w:marRight w:val="0"/>
                  <w:marTop w:val="0"/>
                  <w:marBottom w:val="0"/>
                  <w:divBdr>
                    <w:top w:val="none" w:sz="0" w:space="0" w:color="auto"/>
                    <w:left w:val="none" w:sz="0" w:space="0" w:color="auto"/>
                    <w:bottom w:val="none" w:sz="0" w:space="0" w:color="auto"/>
                    <w:right w:val="none" w:sz="0" w:space="0" w:color="auto"/>
                  </w:divBdr>
                </w:div>
              </w:divsChild>
            </w:div>
            <w:div w:id="315569931">
              <w:marLeft w:val="0"/>
              <w:marRight w:val="0"/>
              <w:marTop w:val="0"/>
              <w:marBottom w:val="0"/>
              <w:divBdr>
                <w:top w:val="none" w:sz="0" w:space="0" w:color="auto"/>
                <w:left w:val="none" w:sz="0" w:space="0" w:color="auto"/>
                <w:bottom w:val="none" w:sz="0" w:space="0" w:color="auto"/>
                <w:right w:val="none" w:sz="0" w:space="0" w:color="auto"/>
              </w:divBdr>
              <w:divsChild>
                <w:div w:id="1084760090">
                  <w:marLeft w:val="0"/>
                  <w:marRight w:val="0"/>
                  <w:marTop w:val="0"/>
                  <w:marBottom w:val="0"/>
                  <w:divBdr>
                    <w:top w:val="none" w:sz="0" w:space="0" w:color="auto"/>
                    <w:left w:val="none" w:sz="0" w:space="0" w:color="auto"/>
                    <w:bottom w:val="none" w:sz="0" w:space="0" w:color="auto"/>
                    <w:right w:val="none" w:sz="0" w:space="0" w:color="auto"/>
                  </w:divBdr>
                </w:div>
              </w:divsChild>
            </w:div>
            <w:div w:id="431709645">
              <w:marLeft w:val="0"/>
              <w:marRight w:val="0"/>
              <w:marTop w:val="0"/>
              <w:marBottom w:val="0"/>
              <w:divBdr>
                <w:top w:val="none" w:sz="0" w:space="0" w:color="auto"/>
                <w:left w:val="none" w:sz="0" w:space="0" w:color="auto"/>
                <w:bottom w:val="none" w:sz="0" w:space="0" w:color="auto"/>
                <w:right w:val="none" w:sz="0" w:space="0" w:color="auto"/>
              </w:divBdr>
              <w:divsChild>
                <w:div w:id="244151251">
                  <w:marLeft w:val="0"/>
                  <w:marRight w:val="0"/>
                  <w:marTop w:val="0"/>
                  <w:marBottom w:val="0"/>
                  <w:divBdr>
                    <w:top w:val="none" w:sz="0" w:space="0" w:color="auto"/>
                    <w:left w:val="none" w:sz="0" w:space="0" w:color="auto"/>
                    <w:bottom w:val="none" w:sz="0" w:space="0" w:color="auto"/>
                    <w:right w:val="none" w:sz="0" w:space="0" w:color="auto"/>
                  </w:divBdr>
                </w:div>
              </w:divsChild>
            </w:div>
            <w:div w:id="495389400">
              <w:marLeft w:val="0"/>
              <w:marRight w:val="0"/>
              <w:marTop w:val="0"/>
              <w:marBottom w:val="0"/>
              <w:divBdr>
                <w:top w:val="none" w:sz="0" w:space="0" w:color="auto"/>
                <w:left w:val="none" w:sz="0" w:space="0" w:color="auto"/>
                <w:bottom w:val="none" w:sz="0" w:space="0" w:color="auto"/>
                <w:right w:val="none" w:sz="0" w:space="0" w:color="auto"/>
              </w:divBdr>
              <w:divsChild>
                <w:div w:id="1988706252">
                  <w:marLeft w:val="0"/>
                  <w:marRight w:val="0"/>
                  <w:marTop w:val="0"/>
                  <w:marBottom w:val="0"/>
                  <w:divBdr>
                    <w:top w:val="none" w:sz="0" w:space="0" w:color="auto"/>
                    <w:left w:val="none" w:sz="0" w:space="0" w:color="auto"/>
                    <w:bottom w:val="none" w:sz="0" w:space="0" w:color="auto"/>
                    <w:right w:val="none" w:sz="0" w:space="0" w:color="auto"/>
                  </w:divBdr>
                </w:div>
              </w:divsChild>
            </w:div>
            <w:div w:id="495655337">
              <w:marLeft w:val="0"/>
              <w:marRight w:val="0"/>
              <w:marTop w:val="0"/>
              <w:marBottom w:val="0"/>
              <w:divBdr>
                <w:top w:val="none" w:sz="0" w:space="0" w:color="auto"/>
                <w:left w:val="none" w:sz="0" w:space="0" w:color="auto"/>
                <w:bottom w:val="none" w:sz="0" w:space="0" w:color="auto"/>
                <w:right w:val="none" w:sz="0" w:space="0" w:color="auto"/>
              </w:divBdr>
              <w:divsChild>
                <w:div w:id="319769226">
                  <w:marLeft w:val="0"/>
                  <w:marRight w:val="0"/>
                  <w:marTop w:val="0"/>
                  <w:marBottom w:val="0"/>
                  <w:divBdr>
                    <w:top w:val="none" w:sz="0" w:space="0" w:color="auto"/>
                    <w:left w:val="none" w:sz="0" w:space="0" w:color="auto"/>
                    <w:bottom w:val="none" w:sz="0" w:space="0" w:color="auto"/>
                    <w:right w:val="none" w:sz="0" w:space="0" w:color="auto"/>
                  </w:divBdr>
                </w:div>
              </w:divsChild>
            </w:div>
            <w:div w:id="501044227">
              <w:marLeft w:val="0"/>
              <w:marRight w:val="0"/>
              <w:marTop w:val="0"/>
              <w:marBottom w:val="0"/>
              <w:divBdr>
                <w:top w:val="none" w:sz="0" w:space="0" w:color="auto"/>
                <w:left w:val="none" w:sz="0" w:space="0" w:color="auto"/>
                <w:bottom w:val="none" w:sz="0" w:space="0" w:color="auto"/>
                <w:right w:val="none" w:sz="0" w:space="0" w:color="auto"/>
              </w:divBdr>
              <w:divsChild>
                <w:div w:id="1546873470">
                  <w:marLeft w:val="0"/>
                  <w:marRight w:val="0"/>
                  <w:marTop w:val="0"/>
                  <w:marBottom w:val="0"/>
                  <w:divBdr>
                    <w:top w:val="none" w:sz="0" w:space="0" w:color="auto"/>
                    <w:left w:val="none" w:sz="0" w:space="0" w:color="auto"/>
                    <w:bottom w:val="none" w:sz="0" w:space="0" w:color="auto"/>
                    <w:right w:val="none" w:sz="0" w:space="0" w:color="auto"/>
                  </w:divBdr>
                </w:div>
              </w:divsChild>
            </w:div>
            <w:div w:id="501966021">
              <w:marLeft w:val="0"/>
              <w:marRight w:val="0"/>
              <w:marTop w:val="0"/>
              <w:marBottom w:val="0"/>
              <w:divBdr>
                <w:top w:val="none" w:sz="0" w:space="0" w:color="auto"/>
                <w:left w:val="none" w:sz="0" w:space="0" w:color="auto"/>
                <w:bottom w:val="none" w:sz="0" w:space="0" w:color="auto"/>
                <w:right w:val="none" w:sz="0" w:space="0" w:color="auto"/>
              </w:divBdr>
              <w:divsChild>
                <w:div w:id="27997512">
                  <w:marLeft w:val="0"/>
                  <w:marRight w:val="0"/>
                  <w:marTop w:val="0"/>
                  <w:marBottom w:val="0"/>
                  <w:divBdr>
                    <w:top w:val="none" w:sz="0" w:space="0" w:color="auto"/>
                    <w:left w:val="none" w:sz="0" w:space="0" w:color="auto"/>
                    <w:bottom w:val="none" w:sz="0" w:space="0" w:color="auto"/>
                    <w:right w:val="none" w:sz="0" w:space="0" w:color="auto"/>
                  </w:divBdr>
                </w:div>
              </w:divsChild>
            </w:div>
            <w:div w:id="525021023">
              <w:marLeft w:val="0"/>
              <w:marRight w:val="0"/>
              <w:marTop w:val="0"/>
              <w:marBottom w:val="0"/>
              <w:divBdr>
                <w:top w:val="none" w:sz="0" w:space="0" w:color="auto"/>
                <w:left w:val="none" w:sz="0" w:space="0" w:color="auto"/>
                <w:bottom w:val="none" w:sz="0" w:space="0" w:color="auto"/>
                <w:right w:val="none" w:sz="0" w:space="0" w:color="auto"/>
              </w:divBdr>
              <w:divsChild>
                <w:div w:id="656960540">
                  <w:marLeft w:val="0"/>
                  <w:marRight w:val="0"/>
                  <w:marTop w:val="0"/>
                  <w:marBottom w:val="0"/>
                  <w:divBdr>
                    <w:top w:val="none" w:sz="0" w:space="0" w:color="auto"/>
                    <w:left w:val="none" w:sz="0" w:space="0" w:color="auto"/>
                    <w:bottom w:val="none" w:sz="0" w:space="0" w:color="auto"/>
                    <w:right w:val="none" w:sz="0" w:space="0" w:color="auto"/>
                  </w:divBdr>
                </w:div>
              </w:divsChild>
            </w:div>
            <w:div w:id="534118631">
              <w:marLeft w:val="0"/>
              <w:marRight w:val="0"/>
              <w:marTop w:val="0"/>
              <w:marBottom w:val="0"/>
              <w:divBdr>
                <w:top w:val="none" w:sz="0" w:space="0" w:color="auto"/>
                <w:left w:val="none" w:sz="0" w:space="0" w:color="auto"/>
                <w:bottom w:val="none" w:sz="0" w:space="0" w:color="auto"/>
                <w:right w:val="none" w:sz="0" w:space="0" w:color="auto"/>
              </w:divBdr>
              <w:divsChild>
                <w:div w:id="2080668948">
                  <w:marLeft w:val="0"/>
                  <w:marRight w:val="0"/>
                  <w:marTop w:val="0"/>
                  <w:marBottom w:val="0"/>
                  <w:divBdr>
                    <w:top w:val="none" w:sz="0" w:space="0" w:color="auto"/>
                    <w:left w:val="none" w:sz="0" w:space="0" w:color="auto"/>
                    <w:bottom w:val="none" w:sz="0" w:space="0" w:color="auto"/>
                    <w:right w:val="none" w:sz="0" w:space="0" w:color="auto"/>
                  </w:divBdr>
                </w:div>
              </w:divsChild>
            </w:div>
            <w:div w:id="543521314">
              <w:marLeft w:val="0"/>
              <w:marRight w:val="0"/>
              <w:marTop w:val="0"/>
              <w:marBottom w:val="0"/>
              <w:divBdr>
                <w:top w:val="none" w:sz="0" w:space="0" w:color="auto"/>
                <w:left w:val="none" w:sz="0" w:space="0" w:color="auto"/>
                <w:bottom w:val="none" w:sz="0" w:space="0" w:color="auto"/>
                <w:right w:val="none" w:sz="0" w:space="0" w:color="auto"/>
              </w:divBdr>
              <w:divsChild>
                <w:div w:id="1708868990">
                  <w:marLeft w:val="0"/>
                  <w:marRight w:val="0"/>
                  <w:marTop w:val="0"/>
                  <w:marBottom w:val="0"/>
                  <w:divBdr>
                    <w:top w:val="none" w:sz="0" w:space="0" w:color="auto"/>
                    <w:left w:val="none" w:sz="0" w:space="0" w:color="auto"/>
                    <w:bottom w:val="none" w:sz="0" w:space="0" w:color="auto"/>
                    <w:right w:val="none" w:sz="0" w:space="0" w:color="auto"/>
                  </w:divBdr>
                </w:div>
              </w:divsChild>
            </w:div>
            <w:div w:id="577323453">
              <w:marLeft w:val="0"/>
              <w:marRight w:val="0"/>
              <w:marTop w:val="0"/>
              <w:marBottom w:val="0"/>
              <w:divBdr>
                <w:top w:val="none" w:sz="0" w:space="0" w:color="auto"/>
                <w:left w:val="none" w:sz="0" w:space="0" w:color="auto"/>
                <w:bottom w:val="none" w:sz="0" w:space="0" w:color="auto"/>
                <w:right w:val="none" w:sz="0" w:space="0" w:color="auto"/>
              </w:divBdr>
              <w:divsChild>
                <w:div w:id="1601911703">
                  <w:marLeft w:val="0"/>
                  <w:marRight w:val="0"/>
                  <w:marTop w:val="0"/>
                  <w:marBottom w:val="0"/>
                  <w:divBdr>
                    <w:top w:val="none" w:sz="0" w:space="0" w:color="auto"/>
                    <w:left w:val="none" w:sz="0" w:space="0" w:color="auto"/>
                    <w:bottom w:val="none" w:sz="0" w:space="0" w:color="auto"/>
                    <w:right w:val="none" w:sz="0" w:space="0" w:color="auto"/>
                  </w:divBdr>
                </w:div>
              </w:divsChild>
            </w:div>
            <w:div w:id="604046336">
              <w:marLeft w:val="0"/>
              <w:marRight w:val="0"/>
              <w:marTop w:val="0"/>
              <w:marBottom w:val="0"/>
              <w:divBdr>
                <w:top w:val="none" w:sz="0" w:space="0" w:color="auto"/>
                <w:left w:val="none" w:sz="0" w:space="0" w:color="auto"/>
                <w:bottom w:val="none" w:sz="0" w:space="0" w:color="auto"/>
                <w:right w:val="none" w:sz="0" w:space="0" w:color="auto"/>
              </w:divBdr>
              <w:divsChild>
                <w:div w:id="74985977">
                  <w:marLeft w:val="0"/>
                  <w:marRight w:val="0"/>
                  <w:marTop w:val="0"/>
                  <w:marBottom w:val="0"/>
                  <w:divBdr>
                    <w:top w:val="none" w:sz="0" w:space="0" w:color="auto"/>
                    <w:left w:val="none" w:sz="0" w:space="0" w:color="auto"/>
                    <w:bottom w:val="none" w:sz="0" w:space="0" w:color="auto"/>
                    <w:right w:val="none" w:sz="0" w:space="0" w:color="auto"/>
                  </w:divBdr>
                </w:div>
              </w:divsChild>
            </w:div>
            <w:div w:id="625083722">
              <w:marLeft w:val="0"/>
              <w:marRight w:val="0"/>
              <w:marTop w:val="0"/>
              <w:marBottom w:val="0"/>
              <w:divBdr>
                <w:top w:val="none" w:sz="0" w:space="0" w:color="auto"/>
                <w:left w:val="none" w:sz="0" w:space="0" w:color="auto"/>
                <w:bottom w:val="none" w:sz="0" w:space="0" w:color="auto"/>
                <w:right w:val="none" w:sz="0" w:space="0" w:color="auto"/>
              </w:divBdr>
              <w:divsChild>
                <w:div w:id="2074035713">
                  <w:marLeft w:val="0"/>
                  <w:marRight w:val="0"/>
                  <w:marTop w:val="0"/>
                  <w:marBottom w:val="0"/>
                  <w:divBdr>
                    <w:top w:val="none" w:sz="0" w:space="0" w:color="auto"/>
                    <w:left w:val="none" w:sz="0" w:space="0" w:color="auto"/>
                    <w:bottom w:val="none" w:sz="0" w:space="0" w:color="auto"/>
                    <w:right w:val="none" w:sz="0" w:space="0" w:color="auto"/>
                  </w:divBdr>
                </w:div>
              </w:divsChild>
            </w:div>
            <w:div w:id="653686124">
              <w:marLeft w:val="0"/>
              <w:marRight w:val="0"/>
              <w:marTop w:val="0"/>
              <w:marBottom w:val="0"/>
              <w:divBdr>
                <w:top w:val="none" w:sz="0" w:space="0" w:color="auto"/>
                <w:left w:val="none" w:sz="0" w:space="0" w:color="auto"/>
                <w:bottom w:val="none" w:sz="0" w:space="0" w:color="auto"/>
                <w:right w:val="none" w:sz="0" w:space="0" w:color="auto"/>
              </w:divBdr>
              <w:divsChild>
                <w:div w:id="944583514">
                  <w:marLeft w:val="0"/>
                  <w:marRight w:val="0"/>
                  <w:marTop w:val="0"/>
                  <w:marBottom w:val="0"/>
                  <w:divBdr>
                    <w:top w:val="none" w:sz="0" w:space="0" w:color="auto"/>
                    <w:left w:val="none" w:sz="0" w:space="0" w:color="auto"/>
                    <w:bottom w:val="none" w:sz="0" w:space="0" w:color="auto"/>
                    <w:right w:val="none" w:sz="0" w:space="0" w:color="auto"/>
                  </w:divBdr>
                </w:div>
              </w:divsChild>
            </w:div>
            <w:div w:id="671226833">
              <w:marLeft w:val="0"/>
              <w:marRight w:val="0"/>
              <w:marTop w:val="0"/>
              <w:marBottom w:val="0"/>
              <w:divBdr>
                <w:top w:val="none" w:sz="0" w:space="0" w:color="auto"/>
                <w:left w:val="none" w:sz="0" w:space="0" w:color="auto"/>
                <w:bottom w:val="none" w:sz="0" w:space="0" w:color="auto"/>
                <w:right w:val="none" w:sz="0" w:space="0" w:color="auto"/>
              </w:divBdr>
              <w:divsChild>
                <w:div w:id="71970683">
                  <w:marLeft w:val="0"/>
                  <w:marRight w:val="0"/>
                  <w:marTop w:val="0"/>
                  <w:marBottom w:val="0"/>
                  <w:divBdr>
                    <w:top w:val="none" w:sz="0" w:space="0" w:color="auto"/>
                    <w:left w:val="none" w:sz="0" w:space="0" w:color="auto"/>
                    <w:bottom w:val="none" w:sz="0" w:space="0" w:color="auto"/>
                    <w:right w:val="none" w:sz="0" w:space="0" w:color="auto"/>
                  </w:divBdr>
                </w:div>
              </w:divsChild>
            </w:div>
            <w:div w:id="690573841">
              <w:marLeft w:val="0"/>
              <w:marRight w:val="0"/>
              <w:marTop w:val="0"/>
              <w:marBottom w:val="0"/>
              <w:divBdr>
                <w:top w:val="none" w:sz="0" w:space="0" w:color="auto"/>
                <w:left w:val="none" w:sz="0" w:space="0" w:color="auto"/>
                <w:bottom w:val="none" w:sz="0" w:space="0" w:color="auto"/>
                <w:right w:val="none" w:sz="0" w:space="0" w:color="auto"/>
              </w:divBdr>
              <w:divsChild>
                <w:div w:id="1608654955">
                  <w:marLeft w:val="0"/>
                  <w:marRight w:val="0"/>
                  <w:marTop w:val="0"/>
                  <w:marBottom w:val="0"/>
                  <w:divBdr>
                    <w:top w:val="none" w:sz="0" w:space="0" w:color="auto"/>
                    <w:left w:val="none" w:sz="0" w:space="0" w:color="auto"/>
                    <w:bottom w:val="none" w:sz="0" w:space="0" w:color="auto"/>
                    <w:right w:val="none" w:sz="0" w:space="0" w:color="auto"/>
                  </w:divBdr>
                </w:div>
              </w:divsChild>
            </w:div>
            <w:div w:id="691883586">
              <w:marLeft w:val="0"/>
              <w:marRight w:val="0"/>
              <w:marTop w:val="0"/>
              <w:marBottom w:val="0"/>
              <w:divBdr>
                <w:top w:val="none" w:sz="0" w:space="0" w:color="auto"/>
                <w:left w:val="none" w:sz="0" w:space="0" w:color="auto"/>
                <w:bottom w:val="none" w:sz="0" w:space="0" w:color="auto"/>
                <w:right w:val="none" w:sz="0" w:space="0" w:color="auto"/>
              </w:divBdr>
              <w:divsChild>
                <w:div w:id="780104756">
                  <w:marLeft w:val="0"/>
                  <w:marRight w:val="0"/>
                  <w:marTop w:val="0"/>
                  <w:marBottom w:val="0"/>
                  <w:divBdr>
                    <w:top w:val="none" w:sz="0" w:space="0" w:color="auto"/>
                    <w:left w:val="none" w:sz="0" w:space="0" w:color="auto"/>
                    <w:bottom w:val="none" w:sz="0" w:space="0" w:color="auto"/>
                    <w:right w:val="none" w:sz="0" w:space="0" w:color="auto"/>
                  </w:divBdr>
                </w:div>
              </w:divsChild>
            </w:div>
            <w:div w:id="704018181">
              <w:marLeft w:val="0"/>
              <w:marRight w:val="0"/>
              <w:marTop w:val="0"/>
              <w:marBottom w:val="0"/>
              <w:divBdr>
                <w:top w:val="none" w:sz="0" w:space="0" w:color="auto"/>
                <w:left w:val="none" w:sz="0" w:space="0" w:color="auto"/>
                <w:bottom w:val="none" w:sz="0" w:space="0" w:color="auto"/>
                <w:right w:val="none" w:sz="0" w:space="0" w:color="auto"/>
              </w:divBdr>
              <w:divsChild>
                <w:div w:id="2146897085">
                  <w:marLeft w:val="0"/>
                  <w:marRight w:val="0"/>
                  <w:marTop w:val="0"/>
                  <w:marBottom w:val="0"/>
                  <w:divBdr>
                    <w:top w:val="none" w:sz="0" w:space="0" w:color="auto"/>
                    <w:left w:val="none" w:sz="0" w:space="0" w:color="auto"/>
                    <w:bottom w:val="none" w:sz="0" w:space="0" w:color="auto"/>
                    <w:right w:val="none" w:sz="0" w:space="0" w:color="auto"/>
                  </w:divBdr>
                </w:div>
              </w:divsChild>
            </w:div>
            <w:div w:id="711154869">
              <w:marLeft w:val="0"/>
              <w:marRight w:val="0"/>
              <w:marTop w:val="0"/>
              <w:marBottom w:val="0"/>
              <w:divBdr>
                <w:top w:val="none" w:sz="0" w:space="0" w:color="auto"/>
                <w:left w:val="none" w:sz="0" w:space="0" w:color="auto"/>
                <w:bottom w:val="none" w:sz="0" w:space="0" w:color="auto"/>
                <w:right w:val="none" w:sz="0" w:space="0" w:color="auto"/>
              </w:divBdr>
              <w:divsChild>
                <w:div w:id="1684086380">
                  <w:marLeft w:val="0"/>
                  <w:marRight w:val="0"/>
                  <w:marTop w:val="0"/>
                  <w:marBottom w:val="0"/>
                  <w:divBdr>
                    <w:top w:val="none" w:sz="0" w:space="0" w:color="auto"/>
                    <w:left w:val="none" w:sz="0" w:space="0" w:color="auto"/>
                    <w:bottom w:val="none" w:sz="0" w:space="0" w:color="auto"/>
                    <w:right w:val="none" w:sz="0" w:space="0" w:color="auto"/>
                  </w:divBdr>
                </w:div>
              </w:divsChild>
            </w:div>
            <w:div w:id="716707185">
              <w:marLeft w:val="0"/>
              <w:marRight w:val="0"/>
              <w:marTop w:val="0"/>
              <w:marBottom w:val="0"/>
              <w:divBdr>
                <w:top w:val="none" w:sz="0" w:space="0" w:color="auto"/>
                <w:left w:val="none" w:sz="0" w:space="0" w:color="auto"/>
                <w:bottom w:val="none" w:sz="0" w:space="0" w:color="auto"/>
                <w:right w:val="none" w:sz="0" w:space="0" w:color="auto"/>
              </w:divBdr>
              <w:divsChild>
                <w:div w:id="73094758">
                  <w:marLeft w:val="0"/>
                  <w:marRight w:val="0"/>
                  <w:marTop w:val="0"/>
                  <w:marBottom w:val="0"/>
                  <w:divBdr>
                    <w:top w:val="none" w:sz="0" w:space="0" w:color="auto"/>
                    <w:left w:val="none" w:sz="0" w:space="0" w:color="auto"/>
                    <w:bottom w:val="none" w:sz="0" w:space="0" w:color="auto"/>
                    <w:right w:val="none" w:sz="0" w:space="0" w:color="auto"/>
                  </w:divBdr>
                </w:div>
              </w:divsChild>
            </w:div>
            <w:div w:id="747046161">
              <w:marLeft w:val="0"/>
              <w:marRight w:val="0"/>
              <w:marTop w:val="0"/>
              <w:marBottom w:val="0"/>
              <w:divBdr>
                <w:top w:val="none" w:sz="0" w:space="0" w:color="auto"/>
                <w:left w:val="none" w:sz="0" w:space="0" w:color="auto"/>
                <w:bottom w:val="none" w:sz="0" w:space="0" w:color="auto"/>
                <w:right w:val="none" w:sz="0" w:space="0" w:color="auto"/>
              </w:divBdr>
              <w:divsChild>
                <w:div w:id="724376956">
                  <w:marLeft w:val="0"/>
                  <w:marRight w:val="0"/>
                  <w:marTop w:val="0"/>
                  <w:marBottom w:val="0"/>
                  <w:divBdr>
                    <w:top w:val="none" w:sz="0" w:space="0" w:color="auto"/>
                    <w:left w:val="none" w:sz="0" w:space="0" w:color="auto"/>
                    <w:bottom w:val="none" w:sz="0" w:space="0" w:color="auto"/>
                    <w:right w:val="none" w:sz="0" w:space="0" w:color="auto"/>
                  </w:divBdr>
                </w:div>
              </w:divsChild>
            </w:div>
            <w:div w:id="751589738">
              <w:marLeft w:val="0"/>
              <w:marRight w:val="0"/>
              <w:marTop w:val="0"/>
              <w:marBottom w:val="0"/>
              <w:divBdr>
                <w:top w:val="none" w:sz="0" w:space="0" w:color="auto"/>
                <w:left w:val="none" w:sz="0" w:space="0" w:color="auto"/>
                <w:bottom w:val="none" w:sz="0" w:space="0" w:color="auto"/>
                <w:right w:val="none" w:sz="0" w:space="0" w:color="auto"/>
              </w:divBdr>
              <w:divsChild>
                <w:div w:id="2041782035">
                  <w:marLeft w:val="0"/>
                  <w:marRight w:val="0"/>
                  <w:marTop w:val="0"/>
                  <w:marBottom w:val="0"/>
                  <w:divBdr>
                    <w:top w:val="none" w:sz="0" w:space="0" w:color="auto"/>
                    <w:left w:val="none" w:sz="0" w:space="0" w:color="auto"/>
                    <w:bottom w:val="none" w:sz="0" w:space="0" w:color="auto"/>
                    <w:right w:val="none" w:sz="0" w:space="0" w:color="auto"/>
                  </w:divBdr>
                </w:div>
              </w:divsChild>
            </w:div>
            <w:div w:id="759714621">
              <w:marLeft w:val="0"/>
              <w:marRight w:val="0"/>
              <w:marTop w:val="0"/>
              <w:marBottom w:val="0"/>
              <w:divBdr>
                <w:top w:val="none" w:sz="0" w:space="0" w:color="auto"/>
                <w:left w:val="none" w:sz="0" w:space="0" w:color="auto"/>
                <w:bottom w:val="none" w:sz="0" w:space="0" w:color="auto"/>
                <w:right w:val="none" w:sz="0" w:space="0" w:color="auto"/>
              </w:divBdr>
              <w:divsChild>
                <w:div w:id="1383598275">
                  <w:marLeft w:val="0"/>
                  <w:marRight w:val="0"/>
                  <w:marTop w:val="0"/>
                  <w:marBottom w:val="0"/>
                  <w:divBdr>
                    <w:top w:val="none" w:sz="0" w:space="0" w:color="auto"/>
                    <w:left w:val="none" w:sz="0" w:space="0" w:color="auto"/>
                    <w:bottom w:val="none" w:sz="0" w:space="0" w:color="auto"/>
                    <w:right w:val="none" w:sz="0" w:space="0" w:color="auto"/>
                  </w:divBdr>
                </w:div>
              </w:divsChild>
            </w:div>
            <w:div w:id="778765928">
              <w:marLeft w:val="0"/>
              <w:marRight w:val="0"/>
              <w:marTop w:val="0"/>
              <w:marBottom w:val="0"/>
              <w:divBdr>
                <w:top w:val="none" w:sz="0" w:space="0" w:color="auto"/>
                <w:left w:val="none" w:sz="0" w:space="0" w:color="auto"/>
                <w:bottom w:val="none" w:sz="0" w:space="0" w:color="auto"/>
                <w:right w:val="none" w:sz="0" w:space="0" w:color="auto"/>
              </w:divBdr>
              <w:divsChild>
                <w:div w:id="1541429415">
                  <w:marLeft w:val="0"/>
                  <w:marRight w:val="0"/>
                  <w:marTop w:val="0"/>
                  <w:marBottom w:val="0"/>
                  <w:divBdr>
                    <w:top w:val="none" w:sz="0" w:space="0" w:color="auto"/>
                    <w:left w:val="none" w:sz="0" w:space="0" w:color="auto"/>
                    <w:bottom w:val="none" w:sz="0" w:space="0" w:color="auto"/>
                    <w:right w:val="none" w:sz="0" w:space="0" w:color="auto"/>
                  </w:divBdr>
                </w:div>
              </w:divsChild>
            </w:div>
            <w:div w:id="813450890">
              <w:marLeft w:val="0"/>
              <w:marRight w:val="0"/>
              <w:marTop w:val="0"/>
              <w:marBottom w:val="0"/>
              <w:divBdr>
                <w:top w:val="none" w:sz="0" w:space="0" w:color="auto"/>
                <w:left w:val="none" w:sz="0" w:space="0" w:color="auto"/>
                <w:bottom w:val="none" w:sz="0" w:space="0" w:color="auto"/>
                <w:right w:val="none" w:sz="0" w:space="0" w:color="auto"/>
              </w:divBdr>
              <w:divsChild>
                <w:div w:id="89129401">
                  <w:marLeft w:val="0"/>
                  <w:marRight w:val="0"/>
                  <w:marTop w:val="0"/>
                  <w:marBottom w:val="0"/>
                  <w:divBdr>
                    <w:top w:val="none" w:sz="0" w:space="0" w:color="auto"/>
                    <w:left w:val="none" w:sz="0" w:space="0" w:color="auto"/>
                    <w:bottom w:val="none" w:sz="0" w:space="0" w:color="auto"/>
                    <w:right w:val="none" w:sz="0" w:space="0" w:color="auto"/>
                  </w:divBdr>
                </w:div>
              </w:divsChild>
            </w:div>
            <w:div w:id="830222273">
              <w:marLeft w:val="0"/>
              <w:marRight w:val="0"/>
              <w:marTop w:val="0"/>
              <w:marBottom w:val="0"/>
              <w:divBdr>
                <w:top w:val="none" w:sz="0" w:space="0" w:color="auto"/>
                <w:left w:val="none" w:sz="0" w:space="0" w:color="auto"/>
                <w:bottom w:val="none" w:sz="0" w:space="0" w:color="auto"/>
                <w:right w:val="none" w:sz="0" w:space="0" w:color="auto"/>
              </w:divBdr>
              <w:divsChild>
                <w:div w:id="1183974058">
                  <w:marLeft w:val="0"/>
                  <w:marRight w:val="0"/>
                  <w:marTop w:val="0"/>
                  <w:marBottom w:val="0"/>
                  <w:divBdr>
                    <w:top w:val="none" w:sz="0" w:space="0" w:color="auto"/>
                    <w:left w:val="none" w:sz="0" w:space="0" w:color="auto"/>
                    <w:bottom w:val="none" w:sz="0" w:space="0" w:color="auto"/>
                    <w:right w:val="none" w:sz="0" w:space="0" w:color="auto"/>
                  </w:divBdr>
                </w:div>
              </w:divsChild>
            </w:div>
            <w:div w:id="843478941">
              <w:marLeft w:val="0"/>
              <w:marRight w:val="0"/>
              <w:marTop w:val="0"/>
              <w:marBottom w:val="0"/>
              <w:divBdr>
                <w:top w:val="none" w:sz="0" w:space="0" w:color="auto"/>
                <w:left w:val="none" w:sz="0" w:space="0" w:color="auto"/>
                <w:bottom w:val="none" w:sz="0" w:space="0" w:color="auto"/>
                <w:right w:val="none" w:sz="0" w:space="0" w:color="auto"/>
              </w:divBdr>
              <w:divsChild>
                <w:div w:id="51588601">
                  <w:marLeft w:val="0"/>
                  <w:marRight w:val="0"/>
                  <w:marTop w:val="0"/>
                  <w:marBottom w:val="0"/>
                  <w:divBdr>
                    <w:top w:val="none" w:sz="0" w:space="0" w:color="auto"/>
                    <w:left w:val="none" w:sz="0" w:space="0" w:color="auto"/>
                    <w:bottom w:val="none" w:sz="0" w:space="0" w:color="auto"/>
                    <w:right w:val="none" w:sz="0" w:space="0" w:color="auto"/>
                  </w:divBdr>
                </w:div>
              </w:divsChild>
            </w:div>
            <w:div w:id="856699239">
              <w:marLeft w:val="0"/>
              <w:marRight w:val="0"/>
              <w:marTop w:val="0"/>
              <w:marBottom w:val="0"/>
              <w:divBdr>
                <w:top w:val="none" w:sz="0" w:space="0" w:color="auto"/>
                <w:left w:val="none" w:sz="0" w:space="0" w:color="auto"/>
                <w:bottom w:val="none" w:sz="0" w:space="0" w:color="auto"/>
                <w:right w:val="none" w:sz="0" w:space="0" w:color="auto"/>
              </w:divBdr>
              <w:divsChild>
                <w:div w:id="2085881774">
                  <w:marLeft w:val="0"/>
                  <w:marRight w:val="0"/>
                  <w:marTop w:val="0"/>
                  <w:marBottom w:val="0"/>
                  <w:divBdr>
                    <w:top w:val="none" w:sz="0" w:space="0" w:color="auto"/>
                    <w:left w:val="none" w:sz="0" w:space="0" w:color="auto"/>
                    <w:bottom w:val="none" w:sz="0" w:space="0" w:color="auto"/>
                    <w:right w:val="none" w:sz="0" w:space="0" w:color="auto"/>
                  </w:divBdr>
                </w:div>
              </w:divsChild>
            </w:div>
            <w:div w:id="863248553">
              <w:marLeft w:val="0"/>
              <w:marRight w:val="0"/>
              <w:marTop w:val="0"/>
              <w:marBottom w:val="0"/>
              <w:divBdr>
                <w:top w:val="none" w:sz="0" w:space="0" w:color="auto"/>
                <w:left w:val="none" w:sz="0" w:space="0" w:color="auto"/>
                <w:bottom w:val="none" w:sz="0" w:space="0" w:color="auto"/>
                <w:right w:val="none" w:sz="0" w:space="0" w:color="auto"/>
              </w:divBdr>
              <w:divsChild>
                <w:div w:id="325598330">
                  <w:marLeft w:val="0"/>
                  <w:marRight w:val="0"/>
                  <w:marTop w:val="0"/>
                  <w:marBottom w:val="0"/>
                  <w:divBdr>
                    <w:top w:val="none" w:sz="0" w:space="0" w:color="auto"/>
                    <w:left w:val="none" w:sz="0" w:space="0" w:color="auto"/>
                    <w:bottom w:val="none" w:sz="0" w:space="0" w:color="auto"/>
                    <w:right w:val="none" w:sz="0" w:space="0" w:color="auto"/>
                  </w:divBdr>
                </w:div>
              </w:divsChild>
            </w:div>
            <w:div w:id="865287265">
              <w:marLeft w:val="0"/>
              <w:marRight w:val="0"/>
              <w:marTop w:val="0"/>
              <w:marBottom w:val="0"/>
              <w:divBdr>
                <w:top w:val="none" w:sz="0" w:space="0" w:color="auto"/>
                <w:left w:val="none" w:sz="0" w:space="0" w:color="auto"/>
                <w:bottom w:val="none" w:sz="0" w:space="0" w:color="auto"/>
                <w:right w:val="none" w:sz="0" w:space="0" w:color="auto"/>
              </w:divBdr>
              <w:divsChild>
                <w:div w:id="107507211">
                  <w:marLeft w:val="0"/>
                  <w:marRight w:val="0"/>
                  <w:marTop w:val="0"/>
                  <w:marBottom w:val="0"/>
                  <w:divBdr>
                    <w:top w:val="none" w:sz="0" w:space="0" w:color="auto"/>
                    <w:left w:val="none" w:sz="0" w:space="0" w:color="auto"/>
                    <w:bottom w:val="none" w:sz="0" w:space="0" w:color="auto"/>
                    <w:right w:val="none" w:sz="0" w:space="0" w:color="auto"/>
                  </w:divBdr>
                </w:div>
              </w:divsChild>
            </w:div>
            <w:div w:id="877593620">
              <w:marLeft w:val="0"/>
              <w:marRight w:val="0"/>
              <w:marTop w:val="0"/>
              <w:marBottom w:val="0"/>
              <w:divBdr>
                <w:top w:val="none" w:sz="0" w:space="0" w:color="auto"/>
                <w:left w:val="none" w:sz="0" w:space="0" w:color="auto"/>
                <w:bottom w:val="none" w:sz="0" w:space="0" w:color="auto"/>
                <w:right w:val="none" w:sz="0" w:space="0" w:color="auto"/>
              </w:divBdr>
              <w:divsChild>
                <w:div w:id="113137815">
                  <w:marLeft w:val="0"/>
                  <w:marRight w:val="0"/>
                  <w:marTop w:val="0"/>
                  <w:marBottom w:val="0"/>
                  <w:divBdr>
                    <w:top w:val="none" w:sz="0" w:space="0" w:color="auto"/>
                    <w:left w:val="none" w:sz="0" w:space="0" w:color="auto"/>
                    <w:bottom w:val="none" w:sz="0" w:space="0" w:color="auto"/>
                    <w:right w:val="none" w:sz="0" w:space="0" w:color="auto"/>
                  </w:divBdr>
                </w:div>
              </w:divsChild>
            </w:div>
            <w:div w:id="922492873">
              <w:marLeft w:val="0"/>
              <w:marRight w:val="0"/>
              <w:marTop w:val="0"/>
              <w:marBottom w:val="0"/>
              <w:divBdr>
                <w:top w:val="none" w:sz="0" w:space="0" w:color="auto"/>
                <w:left w:val="none" w:sz="0" w:space="0" w:color="auto"/>
                <w:bottom w:val="none" w:sz="0" w:space="0" w:color="auto"/>
                <w:right w:val="none" w:sz="0" w:space="0" w:color="auto"/>
              </w:divBdr>
              <w:divsChild>
                <w:div w:id="1897858320">
                  <w:marLeft w:val="0"/>
                  <w:marRight w:val="0"/>
                  <w:marTop w:val="0"/>
                  <w:marBottom w:val="0"/>
                  <w:divBdr>
                    <w:top w:val="none" w:sz="0" w:space="0" w:color="auto"/>
                    <w:left w:val="none" w:sz="0" w:space="0" w:color="auto"/>
                    <w:bottom w:val="none" w:sz="0" w:space="0" w:color="auto"/>
                    <w:right w:val="none" w:sz="0" w:space="0" w:color="auto"/>
                  </w:divBdr>
                </w:div>
              </w:divsChild>
            </w:div>
            <w:div w:id="929313373">
              <w:marLeft w:val="0"/>
              <w:marRight w:val="0"/>
              <w:marTop w:val="0"/>
              <w:marBottom w:val="0"/>
              <w:divBdr>
                <w:top w:val="none" w:sz="0" w:space="0" w:color="auto"/>
                <w:left w:val="none" w:sz="0" w:space="0" w:color="auto"/>
                <w:bottom w:val="none" w:sz="0" w:space="0" w:color="auto"/>
                <w:right w:val="none" w:sz="0" w:space="0" w:color="auto"/>
              </w:divBdr>
              <w:divsChild>
                <w:div w:id="1614021757">
                  <w:marLeft w:val="0"/>
                  <w:marRight w:val="0"/>
                  <w:marTop w:val="0"/>
                  <w:marBottom w:val="0"/>
                  <w:divBdr>
                    <w:top w:val="none" w:sz="0" w:space="0" w:color="auto"/>
                    <w:left w:val="none" w:sz="0" w:space="0" w:color="auto"/>
                    <w:bottom w:val="none" w:sz="0" w:space="0" w:color="auto"/>
                    <w:right w:val="none" w:sz="0" w:space="0" w:color="auto"/>
                  </w:divBdr>
                </w:div>
              </w:divsChild>
            </w:div>
            <w:div w:id="950279912">
              <w:marLeft w:val="0"/>
              <w:marRight w:val="0"/>
              <w:marTop w:val="0"/>
              <w:marBottom w:val="0"/>
              <w:divBdr>
                <w:top w:val="none" w:sz="0" w:space="0" w:color="auto"/>
                <w:left w:val="none" w:sz="0" w:space="0" w:color="auto"/>
                <w:bottom w:val="none" w:sz="0" w:space="0" w:color="auto"/>
                <w:right w:val="none" w:sz="0" w:space="0" w:color="auto"/>
              </w:divBdr>
              <w:divsChild>
                <w:div w:id="1843157076">
                  <w:marLeft w:val="0"/>
                  <w:marRight w:val="0"/>
                  <w:marTop w:val="0"/>
                  <w:marBottom w:val="0"/>
                  <w:divBdr>
                    <w:top w:val="none" w:sz="0" w:space="0" w:color="auto"/>
                    <w:left w:val="none" w:sz="0" w:space="0" w:color="auto"/>
                    <w:bottom w:val="none" w:sz="0" w:space="0" w:color="auto"/>
                    <w:right w:val="none" w:sz="0" w:space="0" w:color="auto"/>
                  </w:divBdr>
                </w:div>
              </w:divsChild>
            </w:div>
            <w:div w:id="995304809">
              <w:marLeft w:val="0"/>
              <w:marRight w:val="0"/>
              <w:marTop w:val="0"/>
              <w:marBottom w:val="0"/>
              <w:divBdr>
                <w:top w:val="none" w:sz="0" w:space="0" w:color="auto"/>
                <w:left w:val="none" w:sz="0" w:space="0" w:color="auto"/>
                <w:bottom w:val="none" w:sz="0" w:space="0" w:color="auto"/>
                <w:right w:val="none" w:sz="0" w:space="0" w:color="auto"/>
              </w:divBdr>
              <w:divsChild>
                <w:div w:id="527724089">
                  <w:marLeft w:val="0"/>
                  <w:marRight w:val="0"/>
                  <w:marTop w:val="0"/>
                  <w:marBottom w:val="0"/>
                  <w:divBdr>
                    <w:top w:val="none" w:sz="0" w:space="0" w:color="auto"/>
                    <w:left w:val="none" w:sz="0" w:space="0" w:color="auto"/>
                    <w:bottom w:val="none" w:sz="0" w:space="0" w:color="auto"/>
                    <w:right w:val="none" w:sz="0" w:space="0" w:color="auto"/>
                  </w:divBdr>
                </w:div>
              </w:divsChild>
            </w:div>
            <w:div w:id="1002438996">
              <w:marLeft w:val="0"/>
              <w:marRight w:val="0"/>
              <w:marTop w:val="0"/>
              <w:marBottom w:val="0"/>
              <w:divBdr>
                <w:top w:val="none" w:sz="0" w:space="0" w:color="auto"/>
                <w:left w:val="none" w:sz="0" w:space="0" w:color="auto"/>
                <w:bottom w:val="none" w:sz="0" w:space="0" w:color="auto"/>
                <w:right w:val="none" w:sz="0" w:space="0" w:color="auto"/>
              </w:divBdr>
              <w:divsChild>
                <w:div w:id="503056202">
                  <w:marLeft w:val="0"/>
                  <w:marRight w:val="0"/>
                  <w:marTop w:val="0"/>
                  <w:marBottom w:val="0"/>
                  <w:divBdr>
                    <w:top w:val="none" w:sz="0" w:space="0" w:color="auto"/>
                    <w:left w:val="none" w:sz="0" w:space="0" w:color="auto"/>
                    <w:bottom w:val="none" w:sz="0" w:space="0" w:color="auto"/>
                    <w:right w:val="none" w:sz="0" w:space="0" w:color="auto"/>
                  </w:divBdr>
                </w:div>
              </w:divsChild>
            </w:div>
            <w:div w:id="1024596250">
              <w:marLeft w:val="0"/>
              <w:marRight w:val="0"/>
              <w:marTop w:val="0"/>
              <w:marBottom w:val="0"/>
              <w:divBdr>
                <w:top w:val="none" w:sz="0" w:space="0" w:color="auto"/>
                <w:left w:val="none" w:sz="0" w:space="0" w:color="auto"/>
                <w:bottom w:val="none" w:sz="0" w:space="0" w:color="auto"/>
                <w:right w:val="none" w:sz="0" w:space="0" w:color="auto"/>
              </w:divBdr>
              <w:divsChild>
                <w:div w:id="2027781697">
                  <w:marLeft w:val="0"/>
                  <w:marRight w:val="0"/>
                  <w:marTop w:val="0"/>
                  <w:marBottom w:val="0"/>
                  <w:divBdr>
                    <w:top w:val="none" w:sz="0" w:space="0" w:color="auto"/>
                    <w:left w:val="none" w:sz="0" w:space="0" w:color="auto"/>
                    <w:bottom w:val="none" w:sz="0" w:space="0" w:color="auto"/>
                    <w:right w:val="none" w:sz="0" w:space="0" w:color="auto"/>
                  </w:divBdr>
                </w:div>
              </w:divsChild>
            </w:div>
            <w:div w:id="1065834890">
              <w:marLeft w:val="0"/>
              <w:marRight w:val="0"/>
              <w:marTop w:val="0"/>
              <w:marBottom w:val="0"/>
              <w:divBdr>
                <w:top w:val="none" w:sz="0" w:space="0" w:color="auto"/>
                <w:left w:val="none" w:sz="0" w:space="0" w:color="auto"/>
                <w:bottom w:val="none" w:sz="0" w:space="0" w:color="auto"/>
                <w:right w:val="none" w:sz="0" w:space="0" w:color="auto"/>
              </w:divBdr>
              <w:divsChild>
                <w:div w:id="877357879">
                  <w:marLeft w:val="0"/>
                  <w:marRight w:val="0"/>
                  <w:marTop w:val="0"/>
                  <w:marBottom w:val="0"/>
                  <w:divBdr>
                    <w:top w:val="none" w:sz="0" w:space="0" w:color="auto"/>
                    <w:left w:val="none" w:sz="0" w:space="0" w:color="auto"/>
                    <w:bottom w:val="none" w:sz="0" w:space="0" w:color="auto"/>
                    <w:right w:val="none" w:sz="0" w:space="0" w:color="auto"/>
                  </w:divBdr>
                </w:div>
              </w:divsChild>
            </w:div>
            <w:div w:id="1081214994">
              <w:marLeft w:val="0"/>
              <w:marRight w:val="0"/>
              <w:marTop w:val="0"/>
              <w:marBottom w:val="0"/>
              <w:divBdr>
                <w:top w:val="none" w:sz="0" w:space="0" w:color="auto"/>
                <w:left w:val="none" w:sz="0" w:space="0" w:color="auto"/>
                <w:bottom w:val="none" w:sz="0" w:space="0" w:color="auto"/>
                <w:right w:val="none" w:sz="0" w:space="0" w:color="auto"/>
              </w:divBdr>
              <w:divsChild>
                <w:div w:id="182593490">
                  <w:marLeft w:val="0"/>
                  <w:marRight w:val="0"/>
                  <w:marTop w:val="0"/>
                  <w:marBottom w:val="0"/>
                  <w:divBdr>
                    <w:top w:val="none" w:sz="0" w:space="0" w:color="auto"/>
                    <w:left w:val="none" w:sz="0" w:space="0" w:color="auto"/>
                    <w:bottom w:val="none" w:sz="0" w:space="0" w:color="auto"/>
                    <w:right w:val="none" w:sz="0" w:space="0" w:color="auto"/>
                  </w:divBdr>
                </w:div>
              </w:divsChild>
            </w:div>
            <w:div w:id="1081953584">
              <w:marLeft w:val="0"/>
              <w:marRight w:val="0"/>
              <w:marTop w:val="0"/>
              <w:marBottom w:val="0"/>
              <w:divBdr>
                <w:top w:val="none" w:sz="0" w:space="0" w:color="auto"/>
                <w:left w:val="none" w:sz="0" w:space="0" w:color="auto"/>
                <w:bottom w:val="none" w:sz="0" w:space="0" w:color="auto"/>
                <w:right w:val="none" w:sz="0" w:space="0" w:color="auto"/>
              </w:divBdr>
              <w:divsChild>
                <w:div w:id="878594041">
                  <w:marLeft w:val="0"/>
                  <w:marRight w:val="0"/>
                  <w:marTop w:val="0"/>
                  <w:marBottom w:val="0"/>
                  <w:divBdr>
                    <w:top w:val="none" w:sz="0" w:space="0" w:color="auto"/>
                    <w:left w:val="none" w:sz="0" w:space="0" w:color="auto"/>
                    <w:bottom w:val="none" w:sz="0" w:space="0" w:color="auto"/>
                    <w:right w:val="none" w:sz="0" w:space="0" w:color="auto"/>
                  </w:divBdr>
                </w:div>
              </w:divsChild>
            </w:div>
            <w:div w:id="1102608723">
              <w:marLeft w:val="0"/>
              <w:marRight w:val="0"/>
              <w:marTop w:val="0"/>
              <w:marBottom w:val="0"/>
              <w:divBdr>
                <w:top w:val="none" w:sz="0" w:space="0" w:color="auto"/>
                <w:left w:val="none" w:sz="0" w:space="0" w:color="auto"/>
                <w:bottom w:val="none" w:sz="0" w:space="0" w:color="auto"/>
                <w:right w:val="none" w:sz="0" w:space="0" w:color="auto"/>
              </w:divBdr>
              <w:divsChild>
                <w:div w:id="1819808017">
                  <w:marLeft w:val="0"/>
                  <w:marRight w:val="0"/>
                  <w:marTop w:val="0"/>
                  <w:marBottom w:val="0"/>
                  <w:divBdr>
                    <w:top w:val="none" w:sz="0" w:space="0" w:color="auto"/>
                    <w:left w:val="none" w:sz="0" w:space="0" w:color="auto"/>
                    <w:bottom w:val="none" w:sz="0" w:space="0" w:color="auto"/>
                    <w:right w:val="none" w:sz="0" w:space="0" w:color="auto"/>
                  </w:divBdr>
                </w:div>
              </w:divsChild>
            </w:div>
            <w:div w:id="1114247958">
              <w:marLeft w:val="0"/>
              <w:marRight w:val="0"/>
              <w:marTop w:val="0"/>
              <w:marBottom w:val="0"/>
              <w:divBdr>
                <w:top w:val="none" w:sz="0" w:space="0" w:color="auto"/>
                <w:left w:val="none" w:sz="0" w:space="0" w:color="auto"/>
                <w:bottom w:val="none" w:sz="0" w:space="0" w:color="auto"/>
                <w:right w:val="none" w:sz="0" w:space="0" w:color="auto"/>
              </w:divBdr>
              <w:divsChild>
                <w:div w:id="649867809">
                  <w:marLeft w:val="0"/>
                  <w:marRight w:val="0"/>
                  <w:marTop w:val="0"/>
                  <w:marBottom w:val="0"/>
                  <w:divBdr>
                    <w:top w:val="none" w:sz="0" w:space="0" w:color="auto"/>
                    <w:left w:val="none" w:sz="0" w:space="0" w:color="auto"/>
                    <w:bottom w:val="none" w:sz="0" w:space="0" w:color="auto"/>
                    <w:right w:val="none" w:sz="0" w:space="0" w:color="auto"/>
                  </w:divBdr>
                </w:div>
              </w:divsChild>
            </w:div>
            <w:div w:id="1121412338">
              <w:marLeft w:val="0"/>
              <w:marRight w:val="0"/>
              <w:marTop w:val="0"/>
              <w:marBottom w:val="0"/>
              <w:divBdr>
                <w:top w:val="none" w:sz="0" w:space="0" w:color="auto"/>
                <w:left w:val="none" w:sz="0" w:space="0" w:color="auto"/>
                <w:bottom w:val="none" w:sz="0" w:space="0" w:color="auto"/>
                <w:right w:val="none" w:sz="0" w:space="0" w:color="auto"/>
              </w:divBdr>
              <w:divsChild>
                <w:div w:id="304555829">
                  <w:marLeft w:val="0"/>
                  <w:marRight w:val="0"/>
                  <w:marTop w:val="0"/>
                  <w:marBottom w:val="0"/>
                  <w:divBdr>
                    <w:top w:val="none" w:sz="0" w:space="0" w:color="auto"/>
                    <w:left w:val="none" w:sz="0" w:space="0" w:color="auto"/>
                    <w:bottom w:val="none" w:sz="0" w:space="0" w:color="auto"/>
                    <w:right w:val="none" w:sz="0" w:space="0" w:color="auto"/>
                  </w:divBdr>
                </w:div>
              </w:divsChild>
            </w:div>
            <w:div w:id="1124619186">
              <w:marLeft w:val="0"/>
              <w:marRight w:val="0"/>
              <w:marTop w:val="0"/>
              <w:marBottom w:val="0"/>
              <w:divBdr>
                <w:top w:val="none" w:sz="0" w:space="0" w:color="auto"/>
                <w:left w:val="none" w:sz="0" w:space="0" w:color="auto"/>
                <w:bottom w:val="none" w:sz="0" w:space="0" w:color="auto"/>
                <w:right w:val="none" w:sz="0" w:space="0" w:color="auto"/>
              </w:divBdr>
              <w:divsChild>
                <w:div w:id="490025689">
                  <w:marLeft w:val="0"/>
                  <w:marRight w:val="0"/>
                  <w:marTop w:val="0"/>
                  <w:marBottom w:val="0"/>
                  <w:divBdr>
                    <w:top w:val="none" w:sz="0" w:space="0" w:color="auto"/>
                    <w:left w:val="none" w:sz="0" w:space="0" w:color="auto"/>
                    <w:bottom w:val="none" w:sz="0" w:space="0" w:color="auto"/>
                    <w:right w:val="none" w:sz="0" w:space="0" w:color="auto"/>
                  </w:divBdr>
                </w:div>
              </w:divsChild>
            </w:div>
            <w:div w:id="1143348645">
              <w:marLeft w:val="0"/>
              <w:marRight w:val="0"/>
              <w:marTop w:val="0"/>
              <w:marBottom w:val="0"/>
              <w:divBdr>
                <w:top w:val="none" w:sz="0" w:space="0" w:color="auto"/>
                <w:left w:val="none" w:sz="0" w:space="0" w:color="auto"/>
                <w:bottom w:val="none" w:sz="0" w:space="0" w:color="auto"/>
                <w:right w:val="none" w:sz="0" w:space="0" w:color="auto"/>
              </w:divBdr>
              <w:divsChild>
                <w:div w:id="1733775791">
                  <w:marLeft w:val="0"/>
                  <w:marRight w:val="0"/>
                  <w:marTop w:val="0"/>
                  <w:marBottom w:val="0"/>
                  <w:divBdr>
                    <w:top w:val="none" w:sz="0" w:space="0" w:color="auto"/>
                    <w:left w:val="none" w:sz="0" w:space="0" w:color="auto"/>
                    <w:bottom w:val="none" w:sz="0" w:space="0" w:color="auto"/>
                    <w:right w:val="none" w:sz="0" w:space="0" w:color="auto"/>
                  </w:divBdr>
                </w:div>
              </w:divsChild>
            </w:div>
            <w:div w:id="1159728961">
              <w:marLeft w:val="0"/>
              <w:marRight w:val="0"/>
              <w:marTop w:val="0"/>
              <w:marBottom w:val="0"/>
              <w:divBdr>
                <w:top w:val="none" w:sz="0" w:space="0" w:color="auto"/>
                <w:left w:val="none" w:sz="0" w:space="0" w:color="auto"/>
                <w:bottom w:val="none" w:sz="0" w:space="0" w:color="auto"/>
                <w:right w:val="none" w:sz="0" w:space="0" w:color="auto"/>
              </w:divBdr>
              <w:divsChild>
                <w:div w:id="1402173100">
                  <w:marLeft w:val="0"/>
                  <w:marRight w:val="0"/>
                  <w:marTop w:val="0"/>
                  <w:marBottom w:val="0"/>
                  <w:divBdr>
                    <w:top w:val="none" w:sz="0" w:space="0" w:color="auto"/>
                    <w:left w:val="none" w:sz="0" w:space="0" w:color="auto"/>
                    <w:bottom w:val="none" w:sz="0" w:space="0" w:color="auto"/>
                    <w:right w:val="none" w:sz="0" w:space="0" w:color="auto"/>
                  </w:divBdr>
                </w:div>
              </w:divsChild>
            </w:div>
            <w:div w:id="1197542013">
              <w:marLeft w:val="0"/>
              <w:marRight w:val="0"/>
              <w:marTop w:val="0"/>
              <w:marBottom w:val="0"/>
              <w:divBdr>
                <w:top w:val="none" w:sz="0" w:space="0" w:color="auto"/>
                <w:left w:val="none" w:sz="0" w:space="0" w:color="auto"/>
                <w:bottom w:val="none" w:sz="0" w:space="0" w:color="auto"/>
                <w:right w:val="none" w:sz="0" w:space="0" w:color="auto"/>
              </w:divBdr>
              <w:divsChild>
                <w:div w:id="30540305">
                  <w:marLeft w:val="0"/>
                  <w:marRight w:val="0"/>
                  <w:marTop w:val="0"/>
                  <w:marBottom w:val="0"/>
                  <w:divBdr>
                    <w:top w:val="none" w:sz="0" w:space="0" w:color="auto"/>
                    <w:left w:val="none" w:sz="0" w:space="0" w:color="auto"/>
                    <w:bottom w:val="none" w:sz="0" w:space="0" w:color="auto"/>
                    <w:right w:val="none" w:sz="0" w:space="0" w:color="auto"/>
                  </w:divBdr>
                </w:div>
              </w:divsChild>
            </w:div>
            <w:div w:id="1200967778">
              <w:marLeft w:val="0"/>
              <w:marRight w:val="0"/>
              <w:marTop w:val="0"/>
              <w:marBottom w:val="0"/>
              <w:divBdr>
                <w:top w:val="none" w:sz="0" w:space="0" w:color="auto"/>
                <w:left w:val="none" w:sz="0" w:space="0" w:color="auto"/>
                <w:bottom w:val="none" w:sz="0" w:space="0" w:color="auto"/>
                <w:right w:val="none" w:sz="0" w:space="0" w:color="auto"/>
              </w:divBdr>
              <w:divsChild>
                <w:div w:id="1562982739">
                  <w:marLeft w:val="0"/>
                  <w:marRight w:val="0"/>
                  <w:marTop w:val="0"/>
                  <w:marBottom w:val="0"/>
                  <w:divBdr>
                    <w:top w:val="none" w:sz="0" w:space="0" w:color="auto"/>
                    <w:left w:val="none" w:sz="0" w:space="0" w:color="auto"/>
                    <w:bottom w:val="none" w:sz="0" w:space="0" w:color="auto"/>
                    <w:right w:val="none" w:sz="0" w:space="0" w:color="auto"/>
                  </w:divBdr>
                </w:div>
              </w:divsChild>
            </w:div>
            <w:div w:id="1211530792">
              <w:marLeft w:val="0"/>
              <w:marRight w:val="0"/>
              <w:marTop w:val="0"/>
              <w:marBottom w:val="0"/>
              <w:divBdr>
                <w:top w:val="none" w:sz="0" w:space="0" w:color="auto"/>
                <w:left w:val="none" w:sz="0" w:space="0" w:color="auto"/>
                <w:bottom w:val="none" w:sz="0" w:space="0" w:color="auto"/>
                <w:right w:val="none" w:sz="0" w:space="0" w:color="auto"/>
              </w:divBdr>
              <w:divsChild>
                <w:div w:id="1298606982">
                  <w:marLeft w:val="0"/>
                  <w:marRight w:val="0"/>
                  <w:marTop w:val="0"/>
                  <w:marBottom w:val="0"/>
                  <w:divBdr>
                    <w:top w:val="none" w:sz="0" w:space="0" w:color="auto"/>
                    <w:left w:val="none" w:sz="0" w:space="0" w:color="auto"/>
                    <w:bottom w:val="none" w:sz="0" w:space="0" w:color="auto"/>
                    <w:right w:val="none" w:sz="0" w:space="0" w:color="auto"/>
                  </w:divBdr>
                </w:div>
              </w:divsChild>
            </w:div>
            <w:div w:id="1231649726">
              <w:marLeft w:val="0"/>
              <w:marRight w:val="0"/>
              <w:marTop w:val="0"/>
              <w:marBottom w:val="0"/>
              <w:divBdr>
                <w:top w:val="none" w:sz="0" w:space="0" w:color="auto"/>
                <w:left w:val="none" w:sz="0" w:space="0" w:color="auto"/>
                <w:bottom w:val="none" w:sz="0" w:space="0" w:color="auto"/>
                <w:right w:val="none" w:sz="0" w:space="0" w:color="auto"/>
              </w:divBdr>
              <w:divsChild>
                <w:div w:id="947662686">
                  <w:marLeft w:val="0"/>
                  <w:marRight w:val="0"/>
                  <w:marTop w:val="0"/>
                  <w:marBottom w:val="0"/>
                  <w:divBdr>
                    <w:top w:val="none" w:sz="0" w:space="0" w:color="auto"/>
                    <w:left w:val="none" w:sz="0" w:space="0" w:color="auto"/>
                    <w:bottom w:val="none" w:sz="0" w:space="0" w:color="auto"/>
                    <w:right w:val="none" w:sz="0" w:space="0" w:color="auto"/>
                  </w:divBdr>
                </w:div>
              </w:divsChild>
            </w:div>
            <w:div w:id="1243295129">
              <w:marLeft w:val="0"/>
              <w:marRight w:val="0"/>
              <w:marTop w:val="0"/>
              <w:marBottom w:val="0"/>
              <w:divBdr>
                <w:top w:val="none" w:sz="0" w:space="0" w:color="auto"/>
                <w:left w:val="none" w:sz="0" w:space="0" w:color="auto"/>
                <w:bottom w:val="none" w:sz="0" w:space="0" w:color="auto"/>
                <w:right w:val="none" w:sz="0" w:space="0" w:color="auto"/>
              </w:divBdr>
              <w:divsChild>
                <w:div w:id="848837828">
                  <w:marLeft w:val="0"/>
                  <w:marRight w:val="0"/>
                  <w:marTop w:val="0"/>
                  <w:marBottom w:val="0"/>
                  <w:divBdr>
                    <w:top w:val="none" w:sz="0" w:space="0" w:color="auto"/>
                    <w:left w:val="none" w:sz="0" w:space="0" w:color="auto"/>
                    <w:bottom w:val="none" w:sz="0" w:space="0" w:color="auto"/>
                    <w:right w:val="none" w:sz="0" w:space="0" w:color="auto"/>
                  </w:divBdr>
                </w:div>
              </w:divsChild>
            </w:div>
            <w:div w:id="1253272988">
              <w:marLeft w:val="0"/>
              <w:marRight w:val="0"/>
              <w:marTop w:val="0"/>
              <w:marBottom w:val="0"/>
              <w:divBdr>
                <w:top w:val="none" w:sz="0" w:space="0" w:color="auto"/>
                <w:left w:val="none" w:sz="0" w:space="0" w:color="auto"/>
                <w:bottom w:val="none" w:sz="0" w:space="0" w:color="auto"/>
                <w:right w:val="none" w:sz="0" w:space="0" w:color="auto"/>
              </w:divBdr>
              <w:divsChild>
                <w:div w:id="203829537">
                  <w:marLeft w:val="0"/>
                  <w:marRight w:val="0"/>
                  <w:marTop w:val="0"/>
                  <w:marBottom w:val="0"/>
                  <w:divBdr>
                    <w:top w:val="none" w:sz="0" w:space="0" w:color="auto"/>
                    <w:left w:val="none" w:sz="0" w:space="0" w:color="auto"/>
                    <w:bottom w:val="none" w:sz="0" w:space="0" w:color="auto"/>
                    <w:right w:val="none" w:sz="0" w:space="0" w:color="auto"/>
                  </w:divBdr>
                </w:div>
              </w:divsChild>
            </w:div>
            <w:div w:id="1281499857">
              <w:marLeft w:val="0"/>
              <w:marRight w:val="0"/>
              <w:marTop w:val="0"/>
              <w:marBottom w:val="0"/>
              <w:divBdr>
                <w:top w:val="none" w:sz="0" w:space="0" w:color="auto"/>
                <w:left w:val="none" w:sz="0" w:space="0" w:color="auto"/>
                <w:bottom w:val="none" w:sz="0" w:space="0" w:color="auto"/>
                <w:right w:val="none" w:sz="0" w:space="0" w:color="auto"/>
              </w:divBdr>
              <w:divsChild>
                <w:div w:id="913315990">
                  <w:marLeft w:val="0"/>
                  <w:marRight w:val="0"/>
                  <w:marTop w:val="0"/>
                  <w:marBottom w:val="0"/>
                  <w:divBdr>
                    <w:top w:val="none" w:sz="0" w:space="0" w:color="auto"/>
                    <w:left w:val="none" w:sz="0" w:space="0" w:color="auto"/>
                    <w:bottom w:val="none" w:sz="0" w:space="0" w:color="auto"/>
                    <w:right w:val="none" w:sz="0" w:space="0" w:color="auto"/>
                  </w:divBdr>
                </w:div>
              </w:divsChild>
            </w:div>
            <w:div w:id="1286037361">
              <w:marLeft w:val="0"/>
              <w:marRight w:val="0"/>
              <w:marTop w:val="0"/>
              <w:marBottom w:val="0"/>
              <w:divBdr>
                <w:top w:val="none" w:sz="0" w:space="0" w:color="auto"/>
                <w:left w:val="none" w:sz="0" w:space="0" w:color="auto"/>
                <w:bottom w:val="none" w:sz="0" w:space="0" w:color="auto"/>
                <w:right w:val="none" w:sz="0" w:space="0" w:color="auto"/>
              </w:divBdr>
              <w:divsChild>
                <w:div w:id="362025337">
                  <w:marLeft w:val="0"/>
                  <w:marRight w:val="0"/>
                  <w:marTop w:val="0"/>
                  <w:marBottom w:val="0"/>
                  <w:divBdr>
                    <w:top w:val="none" w:sz="0" w:space="0" w:color="auto"/>
                    <w:left w:val="none" w:sz="0" w:space="0" w:color="auto"/>
                    <w:bottom w:val="none" w:sz="0" w:space="0" w:color="auto"/>
                    <w:right w:val="none" w:sz="0" w:space="0" w:color="auto"/>
                  </w:divBdr>
                </w:div>
              </w:divsChild>
            </w:div>
            <w:div w:id="1363674864">
              <w:marLeft w:val="0"/>
              <w:marRight w:val="0"/>
              <w:marTop w:val="0"/>
              <w:marBottom w:val="0"/>
              <w:divBdr>
                <w:top w:val="none" w:sz="0" w:space="0" w:color="auto"/>
                <w:left w:val="none" w:sz="0" w:space="0" w:color="auto"/>
                <w:bottom w:val="none" w:sz="0" w:space="0" w:color="auto"/>
                <w:right w:val="none" w:sz="0" w:space="0" w:color="auto"/>
              </w:divBdr>
              <w:divsChild>
                <w:div w:id="382676580">
                  <w:marLeft w:val="0"/>
                  <w:marRight w:val="0"/>
                  <w:marTop w:val="0"/>
                  <w:marBottom w:val="0"/>
                  <w:divBdr>
                    <w:top w:val="none" w:sz="0" w:space="0" w:color="auto"/>
                    <w:left w:val="none" w:sz="0" w:space="0" w:color="auto"/>
                    <w:bottom w:val="none" w:sz="0" w:space="0" w:color="auto"/>
                    <w:right w:val="none" w:sz="0" w:space="0" w:color="auto"/>
                  </w:divBdr>
                </w:div>
              </w:divsChild>
            </w:div>
            <w:div w:id="1399667135">
              <w:marLeft w:val="0"/>
              <w:marRight w:val="0"/>
              <w:marTop w:val="0"/>
              <w:marBottom w:val="0"/>
              <w:divBdr>
                <w:top w:val="none" w:sz="0" w:space="0" w:color="auto"/>
                <w:left w:val="none" w:sz="0" w:space="0" w:color="auto"/>
                <w:bottom w:val="none" w:sz="0" w:space="0" w:color="auto"/>
                <w:right w:val="none" w:sz="0" w:space="0" w:color="auto"/>
              </w:divBdr>
              <w:divsChild>
                <w:div w:id="1896506130">
                  <w:marLeft w:val="0"/>
                  <w:marRight w:val="0"/>
                  <w:marTop w:val="0"/>
                  <w:marBottom w:val="0"/>
                  <w:divBdr>
                    <w:top w:val="none" w:sz="0" w:space="0" w:color="auto"/>
                    <w:left w:val="none" w:sz="0" w:space="0" w:color="auto"/>
                    <w:bottom w:val="none" w:sz="0" w:space="0" w:color="auto"/>
                    <w:right w:val="none" w:sz="0" w:space="0" w:color="auto"/>
                  </w:divBdr>
                </w:div>
              </w:divsChild>
            </w:div>
            <w:div w:id="1484931850">
              <w:marLeft w:val="0"/>
              <w:marRight w:val="0"/>
              <w:marTop w:val="0"/>
              <w:marBottom w:val="0"/>
              <w:divBdr>
                <w:top w:val="none" w:sz="0" w:space="0" w:color="auto"/>
                <w:left w:val="none" w:sz="0" w:space="0" w:color="auto"/>
                <w:bottom w:val="none" w:sz="0" w:space="0" w:color="auto"/>
                <w:right w:val="none" w:sz="0" w:space="0" w:color="auto"/>
              </w:divBdr>
              <w:divsChild>
                <w:div w:id="1565094575">
                  <w:marLeft w:val="0"/>
                  <w:marRight w:val="0"/>
                  <w:marTop w:val="0"/>
                  <w:marBottom w:val="0"/>
                  <w:divBdr>
                    <w:top w:val="none" w:sz="0" w:space="0" w:color="auto"/>
                    <w:left w:val="none" w:sz="0" w:space="0" w:color="auto"/>
                    <w:bottom w:val="none" w:sz="0" w:space="0" w:color="auto"/>
                    <w:right w:val="none" w:sz="0" w:space="0" w:color="auto"/>
                  </w:divBdr>
                </w:div>
              </w:divsChild>
            </w:div>
            <w:div w:id="1489709438">
              <w:marLeft w:val="0"/>
              <w:marRight w:val="0"/>
              <w:marTop w:val="0"/>
              <w:marBottom w:val="0"/>
              <w:divBdr>
                <w:top w:val="none" w:sz="0" w:space="0" w:color="auto"/>
                <w:left w:val="none" w:sz="0" w:space="0" w:color="auto"/>
                <w:bottom w:val="none" w:sz="0" w:space="0" w:color="auto"/>
                <w:right w:val="none" w:sz="0" w:space="0" w:color="auto"/>
              </w:divBdr>
              <w:divsChild>
                <w:div w:id="1965307620">
                  <w:marLeft w:val="0"/>
                  <w:marRight w:val="0"/>
                  <w:marTop w:val="0"/>
                  <w:marBottom w:val="0"/>
                  <w:divBdr>
                    <w:top w:val="none" w:sz="0" w:space="0" w:color="auto"/>
                    <w:left w:val="none" w:sz="0" w:space="0" w:color="auto"/>
                    <w:bottom w:val="none" w:sz="0" w:space="0" w:color="auto"/>
                    <w:right w:val="none" w:sz="0" w:space="0" w:color="auto"/>
                  </w:divBdr>
                </w:div>
              </w:divsChild>
            </w:div>
            <w:div w:id="1526792726">
              <w:marLeft w:val="0"/>
              <w:marRight w:val="0"/>
              <w:marTop w:val="0"/>
              <w:marBottom w:val="0"/>
              <w:divBdr>
                <w:top w:val="none" w:sz="0" w:space="0" w:color="auto"/>
                <w:left w:val="none" w:sz="0" w:space="0" w:color="auto"/>
                <w:bottom w:val="none" w:sz="0" w:space="0" w:color="auto"/>
                <w:right w:val="none" w:sz="0" w:space="0" w:color="auto"/>
              </w:divBdr>
              <w:divsChild>
                <w:div w:id="794131837">
                  <w:marLeft w:val="0"/>
                  <w:marRight w:val="0"/>
                  <w:marTop w:val="0"/>
                  <w:marBottom w:val="0"/>
                  <w:divBdr>
                    <w:top w:val="none" w:sz="0" w:space="0" w:color="auto"/>
                    <w:left w:val="none" w:sz="0" w:space="0" w:color="auto"/>
                    <w:bottom w:val="none" w:sz="0" w:space="0" w:color="auto"/>
                    <w:right w:val="none" w:sz="0" w:space="0" w:color="auto"/>
                  </w:divBdr>
                </w:div>
              </w:divsChild>
            </w:div>
            <w:div w:id="1593859422">
              <w:marLeft w:val="0"/>
              <w:marRight w:val="0"/>
              <w:marTop w:val="0"/>
              <w:marBottom w:val="0"/>
              <w:divBdr>
                <w:top w:val="none" w:sz="0" w:space="0" w:color="auto"/>
                <w:left w:val="none" w:sz="0" w:space="0" w:color="auto"/>
                <w:bottom w:val="none" w:sz="0" w:space="0" w:color="auto"/>
                <w:right w:val="none" w:sz="0" w:space="0" w:color="auto"/>
              </w:divBdr>
              <w:divsChild>
                <w:div w:id="955909570">
                  <w:marLeft w:val="0"/>
                  <w:marRight w:val="0"/>
                  <w:marTop w:val="0"/>
                  <w:marBottom w:val="0"/>
                  <w:divBdr>
                    <w:top w:val="none" w:sz="0" w:space="0" w:color="auto"/>
                    <w:left w:val="none" w:sz="0" w:space="0" w:color="auto"/>
                    <w:bottom w:val="none" w:sz="0" w:space="0" w:color="auto"/>
                    <w:right w:val="none" w:sz="0" w:space="0" w:color="auto"/>
                  </w:divBdr>
                </w:div>
              </w:divsChild>
            </w:div>
            <w:div w:id="1606958347">
              <w:marLeft w:val="0"/>
              <w:marRight w:val="0"/>
              <w:marTop w:val="0"/>
              <w:marBottom w:val="0"/>
              <w:divBdr>
                <w:top w:val="none" w:sz="0" w:space="0" w:color="auto"/>
                <w:left w:val="none" w:sz="0" w:space="0" w:color="auto"/>
                <w:bottom w:val="none" w:sz="0" w:space="0" w:color="auto"/>
                <w:right w:val="none" w:sz="0" w:space="0" w:color="auto"/>
              </w:divBdr>
              <w:divsChild>
                <w:div w:id="1808359316">
                  <w:marLeft w:val="0"/>
                  <w:marRight w:val="0"/>
                  <w:marTop w:val="0"/>
                  <w:marBottom w:val="0"/>
                  <w:divBdr>
                    <w:top w:val="none" w:sz="0" w:space="0" w:color="auto"/>
                    <w:left w:val="none" w:sz="0" w:space="0" w:color="auto"/>
                    <w:bottom w:val="none" w:sz="0" w:space="0" w:color="auto"/>
                    <w:right w:val="none" w:sz="0" w:space="0" w:color="auto"/>
                  </w:divBdr>
                </w:div>
              </w:divsChild>
            </w:div>
            <w:div w:id="1643075380">
              <w:marLeft w:val="0"/>
              <w:marRight w:val="0"/>
              <w:marTop w:val="0"/>
              <w:marBottom w:val="0"/>
              <w:divBdr>
                <w:top w:val="none" w:sz="0" w:space="0" w:color="auto"/>
                <w:left w:val="none" w:sz="0" w:space="0" w:color="auto"/>
                <w:bottom w:val="none" w:sz="0" w:space="0" w:color="auto"/>
                <w:right w:val="none" w:sz="0" w:space="0" w:color="auto"/>
              </w:divBdr>
              <w:divsChild>
                <w:div w:id="805704304">
                  <w:marLeft w:val="0"/>
                  <w:marRight w:val="0"/>
                  <w:marTop w:val="0"/>
                  <w:marBottom w:val="0"/>
                  <w:divBdr>
                    <w:top w:val="none" w:sz="0" w:space="0" w:color="auto"/>
                    <w:left w:val="none" w:sz="0" w:space="0" w:color="auto"/>
                    <w:bottom w:val="none" w:sz="0" w:space="0" w:color="auto"/>
                    <w:right w:val="none" w:sz="0" w:space="0" w:color="auto"/>
                  </w:divBdr>
                </w:div>
              </w:divsChild>
            </w:div>
            <w:div w:id="1671441007">
              <w:marLeft w:val="0"/>
              <w:marRight w:val="0"/>
              <w:marTop w:val="0"/>
              <w:marBottom w:val="0"/>
              <w:divBdr>
                <w:top w:val="none" w:sz="0" w:space="0" w:color="auto"/>
                <w:left w:val="none" w:sz="0" w:space="0" w:color="auto"/>
                <w:bottom w:val="none" w:sz="0" w:space="0" w:color="auto"/>
                <w:right w:val="none" w:sz="0" w:space="0" w:color="auto"/>
              </w:divBdr>
              <w:divsChild>
                <w:div w:id="584148938">
                  <w:marLeft w:val="0"/>
                  <w:marRight w:val="0"/>
                  <w:marTop w:val="0"/>
                  <w:marBottom w:val="0"/>
                  <w:divBdr>
                    <w:top w:val="none" w:sz="0" w:space="0" w:color="auto"/>
                    <w:left w:val="none" w:sz="0" w:space="0" w:color="auto"/>
                    <w:bottom w:val="none" w:sz="0" w:space="0" w:color="auto"/>
                    <w:right w:val="none" w:sz="0" w:space="0" w:color="auto"/>
                  </w:divBdr>
                </w:div>
              </w:divsChild>
            </w:div>
            <w:div w:id="1695568874">
              <w:marLeft w:val="0"/>
              <w:marRight w:val="0"/>
              <w:marTop w:val="0"/>
              <w:marBottom w:val="0"/>
              <w:divBdr>
                <w:top w:val="none" w:sz="0" w:space="0" w:color="auto"/>
                <w:left w:val="none" w:sz="0" w:space="0" w:color="auto"/>
                <w:bottom w:val="none" w:sz="0" w:space="0" w:color="auto"/>
                <w:right w:val="none" w:sz="0" w:space="0" w:color="auto"/>
              </w:divBdr>
              <w:divsChild>
                <w:div w:id="1983195945">
                  <w:marLeft w:val="0"/>
                  <w:marRight w:val="0"/>
                  <w:marTop w:val="0"/>
                  <w:marBottom w:val="0"/>
                  <w:divBdr>
                    <w:top w:val="none" w:sz="0" w:space="0" w:color="auto"/>
                    <w:left w:val="none" w:sz="0" w:space="0" w:color="auto"/>
                    <w:bottom w:val="none" w:sz="0" w:space="0" w:color="auto"/>
                    <w:right w:val="none" w:sz="0" w:space="0" w:color="auto"/>
                  </w:divBdr>
                </w:div>
              </w:divsChild>
            </w:div>
            <w:div w:id="1701201034">
              <w:marLeft w:val="0"/>
              <w:marRight w:val="0"/>
              <w:marTop w:val="0"/>
              <w:marBottom w:val="0"/>
              <w:divBdr>
                <w:top w:val="none" w:sz="0" w:space="0" w:color="auto"/>
                <w:left w:val="none" w:sz="0" w:space="0" w:color="auto"/>
                <w:bottom w:val="none" w:sz="0" w:space="0" w:color="auto"/>
                <w:right w:val="none" w:sz="0" w:space="0" w:color="auto"/>
              </w:divBdr>
              <w:divsChild>
                <w:div w:id="1988900690">
                  <w:marLeft w:val="0"/>
                  <w:marRight w:val="0"/>
                  <w:marTop w:val="0"/>
                  <w:marBottom w:val="0"/>
                  <w:divBdr>
                    <w:top w:val="none" w:sz="0" w:space="0" w:color="auto"/>
                    <w:left w:val="none" w:sz="0" w:space="0" w:color="auto"/>
                    <w:bottom w:val="none" w:sz="0" w:space="0" w:color="auto"/>
                    <w:right w:val="none" w:sz="0" w:space="0" w:color="auto"/>
                  </w:divBdr>
                </w:div>
              </w:divsChild>
            </w:div>
            <w:div w:id="1701205306">
              <w:marLeft w:val="0"/>
              <w:marRight w:val="0"/>
              <w:marTop w:val="0"/>
              <w:marBottom w:val="0"/>
              <w:divBdr>
                <w:top w:val="none" w:sz="0" w:space="0" w:color="auto"/>
                <w:left w:val="none" w:sz="0" w:space="0" w:color="auto"/>
                <w:bottom w:val="none" w:sz="0" w:space="0" w:color="auto"/>
                <w:right w:val="none" w:sz="0" w:space="0" w:color="auto"/>
              </w:divBdr>
              <w:divsChild>
                <w:div w:id="260456625">
                  <w:marLeft w:val="0"/>
                  <w:marRight w:val="0"/>
                  <w:marTop w:val="0"/>
                  <w:marBottom w:val="0"/>
                  <w:divBdr>
                    <w:top w:val="none" w:sz="0" w:space="0" w:color="auto"/>
                    <w:left w:val="none" w:sz="0" w:space="0" w:color="auto"/>
                    <w:bottom w:val="none" w:sz="0" w:space="0" w:color="auto"/>
                    <w:right w:val="none" w:sz="0" w:space="0" w:color="auto"/>
                  </w:divBdr>
                </w:div>
              </w:divsChild>
            </w:div>
            <w:div w:id="1763716298">
              <w:marLeft w:val="0"/>
              <w:marRight w:val="0"/>
              <w:marTop w:val="0"/>
              <w:marBottom w:val="0"/>
              <w:divBdr>
                <w:top w:val="none" w:sz="0" w:space="0" w:color="auto"/>
                <w:left w:val="none" w:sz="0" w:space="0" w:color="auto"/>
                <w:bottom w:val="none" w:sz="0" w:space="0" w:color="auto"/>
                <w:right w:val="none" w:sz="0" w:space="0" w:color="auto"/>
              </w:divBdr>
              <w:divsChild>
                <w:div w:id="54162416">
                  <w:marLeft w:val="0"/>
                  <w:marRight w:val="0"/>
                  <w:marTop w:val="0"/>
                  <w:marBottom w:val="0"/>
                  <w:divBdr>
                    <w:top w:val="none" w:sz="0" w:space="0" w:color="auto"/>
                    <w:left w:val="none" w:sz="0" w:space="0" w:color="auto"/>
                    <w:bottom w:val="none" w:sz="0" w:space="0" w:color="auto"/>
                    <w:right w:val="none" w:sz="0" w:space="0" w:color="auto"/>
                  </w:divBdr>
                </w:div>
              </w:divsChild>
            </w:div>
            <w:div w:id="1763722861">
              <w:marLeft w:val="0"/>
              <w:marRight w:val="0"/>
              <w:marTop w:val="0"/>
              <w:marBottom w:val="0"/>
              <w:divBdr>
                <w:top w:val="none" w:sz="0" w:space="0" w:color="auto"/>
                <w:left w:val="none" w:sz="0" w:space="0" w:color="auto"/>
                <w:bottom w:val="none" w:sz="0" w:space="0" w:color="auto"/>
                <w:right w:val="none" w:sz="0" w:space="0" w:color="auto"/>
              </w:divBdr>
              <w:divsChild>
                <w:div w:id="987588354">
                  <w:marLeft w:val="0"/>
                  <w:marRight w:val="0"/>
                  <w:marTop w:val="0"/>
                  <w:marBottom w:val="0"/>
                  <w:divBdr>
                    <w:top w:val="none" w:sz="0" w:space="0" w:color="auto"/>
                    <w:left w:val="none" w:sz="0" w:space="0" w:color="auto"/>
                    <w:bottom w:val="none" w:sz="0" w:space="0" w:color="auto"/>
                    <w:right w:val="none" w:sz="0" w:space="0" w:color="auto"/>
                  </w:divBdr>
                </w:div>
              </w:divsChild>
            </w:div>
            <w:div w:id="1819414524">
              <w:marLeft w:val="0"/>
              <w:marRight w:val="0"/>
              <w:marTop w:val="0"/>
              <w:marBottom w:val="0"/>
              <w:divBdr>
                <w:top w:val="none" w:sz="0" w:space="0" w:color="auto"/>
                <w:left w:val="none" w:sz="0" w:space="0" w:color="auto"/>
                <w:bottom w:val="none" w:sz="0" w:space="0" w:color="auto"/>
                <w:right w:val="none" w:sz="0" w:space="0" w:color="auto"/>
              </w:divBdr>
              <w:divsChild>
                <w:div w:id="45417565">
                  <w:marLeft w:val="0"/>
                  <w:marRight w:val="0"/>
                  <w:marTop w:val="0"/>
                  <w:marBottom w:val="0"/>
                  <w:divBdr>
                    <w:top w:val="none" w:sz="0" w:space="0" w:color="auto"/>
                    <w:left w:val="none" w:sz="0" w:space="0" w:color="auto"/>
                    <w:bottom w:val="none" w:sz="0" w:space="0" w:color="auto"/>
                    <w:right w:val="none" w:sz="0" w:space="0" w:color="auto"/>
                  </w:divBdr>
                </w:div>
              </w:divsChild>
            </w:div>
            <w:div w:id="1854954985">
              <w:marLeft w:val="0"/>
              <w:marRight w:val="0"/>
              <w:marTop w:val="0"/>
              <w:marBottom w:val="0"/>
              <w:divBdr>
                <w:top w:val="none" w:sz="0" w:space="0" w:color="auto"/>
                <w:left w:val="none" w:sz="0" w:space="0" w:color="auto"/>
                <w:bottom w:val="none" w:sz="0" w:space="0" w:color="auto"/>
                <w:right w:val="none" w:sz="0" w:space="0" w:color="auto"/>
              </w:divBdr>
              <w:divsChild>
                <w:div w:id="1250188497">
                  <w:marLeft w:val="0"/>
                  <w:marRight w:val="0"/>
                  <w:marTop w:val="0"/>
                  <w:marBottom w:val="0"/>
                  <w:divBdr>
                    <w:top w:val="none" w:sz="0" w:space="0" w:color="auto"/>
                    <w:left w:val="none" w:sz="0" w:space="0" w:color="auto"/>
                    <w:bottom w:val="none" w:sz="0" w:space="0" w:color="auto"/>
                    <w:right w:val="none" w:sz="0" w:space="0" w:color="auto"/>
                  </w:divBdr>
                </w:div>
              </w:divsChild>
            </w:div>
            <w:div w:id="1898861120">
              <w:marLeft w:val="0"/>
              <w:marRight w:val="0"/>
              <w:marTop w:val="0"/>
              <w:marBottom w:val="0"/>
              <w:divBdr>
                <w:top w:val="none" w:sz="0" w:space="0" w:color="auto"/>
                <w:left w:val="none" w:sz="0" w:space="0" w:color="auto"/>
                <w:bottom w:val="none" w:sz="0" w:space="0" w:color="auto"/>
                <w:right w:val="none" w:sz="0" w:space="0" w:color="auto"/>
              </w:divBdr>
              <w:divsChild>
                <w:div w:id="566720296">
                  <w:marLeft w:val="0"/>
                  <w:marRight w:val="0"/>
                  <w:marTop w:val="0"/>
                  <w:marBottom w:val="0"/>
                  <w:divBdr>
                    <w:top w:val="none" w:sz="0" w:space="0" w:color="auto"/>
                    <w:left w:val="none" w:sz="0" w:space="0" w:color="auto"/>
                    <w:bottom w:val="none" w:sz="0" w:space="0" w:color="auto"/>
                    <w:right w:val="none" w:sz="0" w:space="0" w:color="auto"/>
                  </w:divBdr>
                </w:div>
              </w:divsChild>
            </w:div>
            <w:div w:id="1906144935">
              <w:marLeft w:val="0"/>
              <w:marRight w:val="0"/>
              <w:marTop w:val="0"/>
              <w:marBottom w:val="0"/>
              <w:divBdr>
                <w:top w:val="none" w:sz="0" w:space="0" w:color="auto"/>
                <w:left w:val="none" w:sz="0" w:space="0" w:color="auto"/>
                <w:bottom w:val="none" w:sz="0" w:space="0" w:color="auto"/>
                <w:right w:val="none" w:sz="0" w:space="0" w:color="auto"/>
              </w:divBdr>
              <w:divsChild>
                <w:div w:id="680861751">
                  <w:marLeft w:val="0"/>
                  <w:marRight w:val="0"/>
                  <w:marTop w:val="0"/>
                  <w:marBottom w:val="0"/>
                  <w:divBdr>
                    <w:top w:val="none" w:sz="0" w:space="0" w:color="auto"/>
                    <w:left w:val="none" w:sz="0" w:space="0" w:color="auto"/>
                    <w:bottom w:val="none" w:sz="0" w:space="0" w:color="auto"/>
                    <w:right w:val="none" w:sz="0" w:space="0" w:color="auto"/>
                  </w:divBdr>
                </w:div>
              </w:divsChild>
            </w:div>
            <w:div w:id="1956937633">
              <w:marLeft w:val="0"/>
              <w:marRight w:val="0"/>
              <w:marTop w:val="0"/>
              <w:marBottom w:val="0"/>
              <w:divBdr>
                <w:top w:val="none" w:sz="0" w:space="0" w:color="auto"/>
                <w:left w:val="none" w:sz="0" w:space="0" w:color="auto"/>
                <w:bottom w:val="none" w:sz="0" w:space="0" w:color="auto"/>
                <w:right w:val="none" w:sz="0" w:space="0" w:color="auto"/>
              </w:divBdr>
              <w:divsChild>
                <w:div w:id="312561869">
                  <w:marLeft w:val="0"/>
                  <w:marRight w:val="0"/>
                  <w:marTop w:val="0"/>
                  <w:marBottom w:val="0"/>
                  <w:divBdr>
                    <w:top w:val="none" w:sz="0" w:space="0" w:color="auto"/>
                    <w:left w:val="none" w:sz="0" w:space="0" w:color="auto"/>
                    <w:bottom w:val="none" w:sz="0" w:space="0" w:color="auto"/>
                    <w:right w:val="none" w:sz="0" w:space="0" w:color="auto"/>
                  </w:divBdr>
                </w:div>
              </w:divsChild>
            </w:div>
            <w:div w:id="1992824694">
              <w:marLeft w:val="0"/>
              <w:marRight w:val="0"/>
              <w:marTop w:val="0"/>
              <w:marBottom w:val="0"/>
              <w:divBdr>
                <w:top w:val="none" w:sz="0" w:space="0" w:color="auto"/>
                <w:left w:val="none" w:sz="0" w:space="0" w:color="auto"/>
                <w:bottom w:val="none" w:sz="0" w:space="0" w:color="auto"/>
                <w:right w:val="none" w:sz="0" w:space="0" w:color="auto"/>
              </w:divBdr>
              <w:divsChild>
                <w:div w:id="522985974">
                  <w:marLeft w:val="0"/>
                  <w:marRight w:val="0"/>
                  <w:marTop w:val="0"/>
                  <w:marBottom w:val="0"/>
                  <w:divBdr>
                    <w:top w:val="none" w:sz="0" w:space="0" w:color="auto"/>
                    <w:left w:val="none" w:sz="0" w:space="0" w:color="auto"/>
                    <w:bottom w:val="none" w:sz="0" w:space="0" w:color="auto"/>
                    <w:right w:val="none" w:sz="0" w:space="0" w:color="auto"/>
                  </w:divBdr>
                </w:div>
              </w:divsChild>
            </w:div>
            <w:div w:id="2009215283">
              <w:marLeft w:val="0"/>
              <w:marRight w:val="0"/>
              <w:marTop w:val="0"/>
              <w:marBottom w:val="0"/>
              <w:divBdr>
                <w:top w:val="none" w:sz="0" w:space="0" w:color="auto"/>
                <w:left w:val="none" w:sz="0" w:space="0" w:color="auto"/>
                <w:bottom w:val="none" w:sz="0" w:space="0" w:color="auto"/>
                <w:right w:val="none" w:sz="0" w:space="0" w:color="auto"/>
              </w:divBdr>
              <w:divsChild>
                <w:div w:id="1585913154">
                  <w:marLeft w:val="0"/>
                  <w:marRight w:val="0"/>
                  <w:marTop w:val="0"/>
                  <w:marBottom w:val="0"/>
                  <w:divBdr>
                    <w:top w:val="none" w:sz="0" w:space="0" w:color="auto"/>
                    <w:left w:val="none" w:sz="0" w:space="0" w:color="auto"/>
                    <w:bottom w:val="none" w:sz="0" w:space="0" w:color="auto"/>
                    <w:right w:val="none" w:sz="0" w:space="0" w:color="auto"/>
                  </w:divBdr>
                </w:div>
              </w:divsChild>
            </w:div>
            <w:div w:id="2014451075">
              <w:marLeft w:val="0"/>
              <w:marRight w:val="0"/>
              <w:marTop w:val="0"/>
              <w:marBottom w:val="0"/>
              <w:divBdr>
                <w:top w:val="none" w:sz="0" w:space="0" w:color="auto"/>
                <w:left w:val="none" w:sz="0" w:space="0" w:color="auto"/>
                <w:bottom w:val="none" w:sz="0" w:space="0" w:color="auto"/>
                <w:right w:val="none" w:sz="0" w:space="0" w:color="auto"/>
              </w:divBdr>
              <w:divsChild>
                <w:div w:id="1211115556">
                  <w:marLeft w:val="0"/>
                  <w:marRight w:val="0"/>
                  <w:marTop w:val="0"/>
                  <w:marBottom w:val="0"/>
                  <w:divBdr>
                    <w:top w:val="none" w:sz="0" w:space="0" w:color="auto"/>
                    <w:left w:val="none" w:sz="0" w:space="0" w:color="auto"/>
                    <w:bottom w:val="none" w:sz="0" w:space="0" w:color="auto"/>
                    <w:right w:val="none" w:sz="0" w:space="0" w:color="auto"/>
                  </w:divBdr>
                </w:div>
              </w:divsChild>
            </w:div>
            <w:div w:id="2018576555">
              <w:marLeft w:val="0"/>
              <w:marRight w:val="0"/>
              <w:marTop w:val="0"/>
              <w:marBottom w:val="0"/>
              <w:divBdr>
                <w:top w:val="none" w:sz="0" w:space="0" w:color="auto"/>
                <w:left w:val="none" w:sz="0" w:space="0" w:color="auto"/>
                <w:bottom w:val="none" w:sz="0" w:space="0" w:color="auto"/>
                <w:right w:val="none" w:sz="0" w:space="0" w:color="auto"/>
              </w:divBdr>
              <w:divsChild>
                <w:div w:id="785470389">
                  <w:marLeft w:val="0"/>
                  <w:marRight w:val="0"/>
                  <w:marTop w:val="0"/>
                  <w:marBottom w:val="0"/>
                  <w:divBdr>
                    <w:top w:val="none" w:sz="0" w:space="0" w:color="auto"/>
                    <w:left w:val="none" w:sz="0" w:space="0" w:color="auto"/>
                    <w:bottom w:val="none" w:sz="0" w:space="0" w:color="auto"/>
                    <w:right w:val="none" w:sz="0" w:space="0" w:color="auto"/>
                  </w:divBdr>
                </w:div>
              </w:divsChild>
            </w:div>
            <w:div w:id="2021083002">
              <w:marLeft w:val="0"/>
              <w:marRight w:val="0"/>
              <w:marTop w:val="0"/>
              <w:marBottom w:val="0"/>
              <w:divBdr>
                <w:top w:val="none" w:sz="0" w:space="0" w:color="auto"/>
                <w:left w:val="none" w:sz="0" w:space="0" w:color="auto"/>
                <w:bottom w:val="none" w:sz="0" w:space="0" w:color="auto"/>
                <w:right w:val="none" w:sz="0" w:space="0" w:color="auto"/>
              </w:divBdr>
              <w:divsChild>
                <w:div w:id="980158824">
                  <w:marLeft w:val="0"/>
                  <w:marRight w:val="0"/>
                  <w:marTop w:val="0"/>
                  <w:marBottom w:val="0"/>
                  <w:divBdr>
                    <w:top w:val="none" w:sz="0" w:space="0" w:color="auto"/>
                    <w:left w:val="none" w:sz="0" w:space="0" w:color="auto"/>
                    <w:bottom w:val="none" w:sz="0" w:space="0" w:color="auto"/>
                    <w:right w:val="none" w:sz="0" w:space="0" w:color="auto"/>
                  </w:divBdr>
                </w:div>
              </w:divsChild>
            </w:div>
            <w:div w:id="2030376104">
              <w:marLeft w:val="0"/>
              <w:marRight w:val="0"/>
              <w:marTop w:val="0"/>
              <w:marBottom w:val="0"/>
              <w:divBdr>
                <w:top w:val="none" w:sz="0" w:space="0" w:color="auto"/>
                <w:left w:val="none" w:sz="0" w:space="0" w:color="auto"/>
                <w:bottom w:val="none" w:sz="0" w:space="0" w:color="auto"/>
                <w:right w:val="none" w:sz="0" w:space="0" w:color="auto"/>
              </w:divBdr>
              <w:divsChild>
                <w:div w:id="538511467">
                  <w:marLeft w:val="0"/>
                  <w:marRight w:val="0"/>
                  <w:marTop w:val="0"/>
                  <w:marBottom w:val="0"/>
                  <w:divBdr>
                    <w:top w:val="none" w:sz="0" w:space="0" w:color="auto"/>
                    <w:left w:val="none" w:sz="0" w:space="0" w:color="auto"/>
                    <w:bottom w:val="none" w:sz="0" w:space="0" w:color="auto"/>
                    <w:right w:val="none" w:sz="0" w:space="0" w:color="auto"/>
                  </w:divBdr>
                </w:div>
              </w:divsChild>
            </w:div>
            <w:div w:id="2059931917">
              <w:marLeft w:val="0"/>
              <w:marRight w:val="0"/>
              <w:marTop w:val="0"/>
              <w:marBottom w:val="0"/>
              <w:divBdr>
                <w:top w:val="none" w:sz="0" w:space="0" w:color="auto"/>
                <w:left w:val="none" w:sz="0" w:space="0" w:color="auto"/>
                <w:bottom w:val="none" w:sz="0" w:space="0" w:color="auto"/>
                <w:right w:val="none" w:sz="0" w:space="0" w:color="auto"/>
              </w:divBdr>
              <w:divsChild>
                <w:div w:id="1591816285">
                  <w:marLeft w:val="0"/>
                  <w:marRight w:val="0"/>
                  <w:marTop w:val="0"/>
                  <w:marBottom w:val="0"/>
                  <w:divBdr>
                    <w:top w:val="none" w:sz="0" w:space="0" w:color="auto"/>
                    <w:left w:val="none" w:sz="0" w:space="0" w:color="auto"/>
                    <w:bottom w:val="none" w:sz="0" w:space="0" w:color="auto"/>
                    <w:right w:val="none" w:sz="0" w:space="0" w:color="auto"/>
                  </w:divBdr>
                </w:div>
              </w:divsChild>
            </w:div>
            <w:div w:id="2063821804">
              <w:marLeft w:val="0"/>
              <w:marRight w:val="0"/>
              <w:marTop w:val="0"/>
              <w:marBottom w:val="0"/>
              <w:divBdr>
                <w:top w:val="none" w:sz="0" w:space="0" w:color="auto"/>
                <w:left w:val="none" w:sz="0" w:space="0" w:color="auto"/>
                <w:bottom w:val="none" w:sz="0" w:space="0" w:color="auto"/>
                <w:right w:val="none" w:sz="0" w:space="0" w:color="auto"/>
              </w:divBdr>
              <w:divsChild>
                <w:div w:id="709568758">
                  <w:marLeft w:val="0"/>
                  <w:marRight w:val="0"/>
                  <w:marTop w:val="0"/>
                  <w:marBottom w:val="0"/>
                  <w:divBdr>
                    <w:top w:val="none" w:sz="0" w:space="0" w:color="auto"/>
                    <w:left w:val="none" w:sz="0" w:space="0" w:color="auto"/>
                    <w:bottom w:val="none" w:sz="0" w:space="0" w:color="auto"/>
                    <w:right w:val="none" w:sz="0" w:space="0" w:color="auto"/>
                  </w:divBdr>
                </w:div>
              </w:divsChild>
            </w:div>
            <w:div w:id="2078166348">
              <w:marLeft w:val="0"/>
              <w:marRight w:val="0"/>
              <w:marTop w:val="0"/>
              <w:marBottom w:val="0"/>
              <w:divBdr>
                <w:top w:val="none" w:sz="0" w:space="0" w:color="auto"/>
                <w:left w:val="none" w:sz="0" w:space="0" w:color="auto"/>
                <w:bottom w:val="none" w:sz="0" w:space="0" w:color="auto"/>
                <w:right w:val="none" w:sz="0" w:space="0" w:color="auto"/>
              </w:divBdr>
              <w:divsChild>
                <w:div w:id="158425858">
                  <w:marLeft w:val="0"/>
                  <w:marRight w:val="0"/>
                  <w:marTop w:val="0"/>
                  <w:marBottom w:val="0"/>
                  <w:divBdr>
                    <w:top w:val="none" w:sz="0" w:space="0" w:color="auto"/>
                    <w:left w:val="none" w:sz="0" w:space="0" w:color="auto"/>
                    <w:bottom w:val="none" w:sz="0" w:space="0" w:color="auto"/>
                    <w:right w:val="none" w:sz="0" w:space="0" w:color="auto"/>
                  </w:divBdr>
                </w:div>
              </w:divsChild>
            </w:div>
            <w:div w:id="2107192160">
              <w:marLeft w:val="0"/>
              <w:marRight w:val="0"/>
              <w:marTop w:val="0"/>
              <w:marBottom w:val="0"/>
              <w:divBdr>
                <w:top w:val="none" w:sz="0" w:space="0" w:color="auto"/>
                <w:left w:val="none" w:sz="0" w:space="0" w:color="auto"/>
                <w:bottom w:val="none" w:sz="0" w:space="0" w:color="auto"/>
                <w:right w:val="none" w:sz="0" w:space="0" w:color="auto"/>
              </w:divBdr>
              <w:divsChild>
                <w:div w:id="753555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625381">
          <w:marLeft w:val="0"/>
          <w:marRight w:val="0"/>
          <w:marTop w:val="30"/>
          <w:marBottom w:val="30"/>
          <w:divBdr>
            <w:top w:val="none" w:sz="0" w:space="0" w:color="auto"/>
            <w:left w:val="none" w:sz="0" w:space="0" w:color="auto"/>
            <w:bottom w:val="none" w:sz="0" w:space="0" w:color="auto"/>
            <w:right w:val="none" w:sz="0" w:space="0" w:color="auto"/>
          </w:divBdr>
          <w:divsChild>
            <w:div w:id="13384212">
              <w:marLeft w:val="0"/>
              <w:marRight w:val="0"/>
              <w:marTop w:val="0"/>
              <w:marBottom w:val="0"/>
              <w:divBdr>
                <w:top w:val="none" w:sz="0" w:space="0" w:color="auto"/>
                <w:left w:val="none" w:sz="0" w:space="0" w:color="auto"/>
                <w:bottom w:val="none" w:sz="0" w:space="0" w:color="auto"/>
                <w:right w:val="none" w:sz="0" w:space="0" w:color="auto"/>
              </w:divBdr>
              <w:divsChild>
                <w:div w:id="973564845">
                  <w:marLeft w:val="0"/>
                  <w:marRight w:val="0"/>
                  <w:marTop w:val="0"/>
                  <w:marBottom w:val="0"/>
                  <w:divBdr>
                    <w:top w:val="none" w:sz="0" w:space="0" w:color="auto"/>
                    <w:left w:val="none" w:sz="0" w:space="0" w:color="auto"/>
                    <w:bottom w:val="none" w:sz="0" w:space="0" w:color="auto"/>
                    <w:right w:val="none" w:sz="0" w:space="0" w:color="auto"/>
                  </w:divBdr>
                </w:div>
              </w:divsChild>
            </w:div>
            <w:div w:id="47147576">
              <w:marLeft w:val="0"/>
              <w:marRight w:val="0"/>
              <w:marTop w:val="0"/>
              <w:marBottom w:val="0"/>
              <w:divBdr>
                <w:top w:val="none" w:sz="0" w:space="0" w:color="auto"/>
                <w:left w:val="none" w:sz="0" w:space="0" w:color="auto"/>
                <w:bottom w:val="none" w:sz="0" w:space="0" w:color="auto"/>
                <w:right w:val="none" w:sz="0" w:space="0" w:color="auto"/>
              </w:divBdr>
              <w:divsChild>
                <w:div w:id="243685923">
                  <w:marLeft w:val="0"/>
                  <w:marRight w:val="0"/>
                  <w:marTop w:val="0"/>
                  <w:marBottom w:val="0"/>
                  <w:divBdr>
                    <w:top w:val="none" w:sz="0" w:space="0" w:color="auto"/>
                    <w:left w:val="none" w:sz="0" w:space="0" w:color="auto"/>
                    <w:bottom w:val="none" w:sz="0" w:space="0" w:color="auto"/>
                    <w:right w:val="none" w:sz="0" w:space="0" w:color="auto"/>
                  </w:divBdr>
                </w:div>
              </w:divsChild>
            </w:div>
            <w:div w:id="78068169">
              <w:marLeft w:val="0"/>
              <w:marRight w:val="0"/>
              <w:marTop w:val="0"/>
              <w:marBottom w:val="0"/>
              <w:divBdr>
                <w:top w:val="none" w:sz="0" w:space="0" w:color="auto"/>
                <w:left w:val="none" w:sz="0" w:space="0" w:color="auto"/>
                <w:bottom w:val="none" w:sz="0" w:space="0" w:color="auto"/>
                <w:right w:val="none" w:sz="0" w:space="0" w:color="auto"/>
              </w:divBdr>
              <w:divsChild>
                <w:div w:id="800613019">
                  <w:marLeft w:val="0"/>
                  <w:marRight w:val="0"/>
                  <w:marTop w:val="0"/>
                  <w:marBottom w:val="0"/>
                  <w:divBdr>
                    <w:top w:val="none" w:sz="0" w:space="0" w:color="auto"/>
                    <w:left w:val="none" w:sz="0" w:space="0" w:color="auto"/>
                    <w:bottom w:val="none" w:sz="0" w:space="0" w:color="auto"/>
                    <w:right w:val="none" w:sz="0" w:space="0" w:color="auto"/>
                  </w:divBdr>
                </w:div>
              </w:divsChild>
            </w:div>
            <w:div w:id="135682429">
              <w:marLeft w:val="0"/>
              <w:marRight w:val="0"/>
              <w:marTop w:val="0"/>
              <w:marBottom w:val="0"/>
              <w:divBdr>
                <w:top w:val="none" w:sz="0" w:space="0" w:color="auto"/>
                <w:left w:val="none" w:sz="0" w:space="0" w:color="auto"/>
                <w:bottom w:val="none" w:sz="0" w:space="0" w:color="auto"/>
                <w:right w:val="none" w:sz="0" w:space="0" w:color="auto"/>
              </w:divBdr>
              <w:divsChild>
                <w:div w:id="2083409872">
                  <w:marLeft w:val="0"/>
                  <w:marRight w:val="0"/>
                  <w:marTop w:val="0"/>
                  <w:marBottom w:val="0"/>
                  <w:divBdr>
                    <w:top w:val="none" w:sz="0" w:space="0" w:color="auto"/>
                    <w:left w:val="none" w:sz="0" w:space="0" w:color="auto"/>
                    <w:bottom w:val="none" w:sz="0" w:space="0" w:color="auto"/>
                    <w:right w:val="none" w:sz="0" w:space="0" w:color="auto"/>
                  </w:divBdr>
                </w:div>
              </w:divsChild>
            </w:div>
            <w:div w:id="168720303">
              <w:marLeft w:val="0"/>
              <w:marRight w:val="0"/>
              <w:marTop w:val="0"/>
              <w:marBottom w:val="0"/>
              <w:divBdr>
                <w:top w:val="none" w:sz="0" w:space="0" w:color="auto"/>
                <w:left w:val="none" w:sz="0" w:space="0" w:color="auto"/>
                <w:bottom w:val="none" w:sz="0" w:space="0" w:color="auto"/>
                <w:right w:val="none" w:sz="0" w:space="0" w:color="auto"/>
              </w:divBdr>
              <w:divsChild>
                <w:div w:id="1452825376">
                  <w:marLeft w:val="0"/>
                  <w:marRight w:val="0"/>
                  <w:marTop w:val="0"/>
                  <w:marBottom w:val="0"/>
                  <w:divBdr>
                    <w:top w:val="none" w:sz="0" w:space="0" w:color="auto"/>
                    <w:left w:val="none" w:sz="0" w:space="0" w:color="auto"/>
                    <w:bottom w:val="none" w:sz="0" w:space="0" w:color="auto"/>
                    <w:right w:val="none" w:sz="0" w:space="0" w:color="auto"/>
                  </w:divBdr>
                </w:div>
              </w:divsChild>
            </w:div>
            <w:div w:id="172499094">
              <w:marLeft w:val="0"/>
              <w:marRight w:val="0"/>
              <w:marTop w:val="0"/>
              <w:marBottom w:val="0"/>
              <w:divBdr>
                <w:top w:val="none" w:sz="0" w:space="0" w:color="auto"/>
                <w:left w:val="none" w:sz="0" w:space="0" w:color="auto"/>
                <w:bottom w:val="none" w:sz="0" w:space="0" w:color="auto"/>
                <w:right w:val="none" w:sz="0" w:space="0" w:color="auto"/>
              </w:divBdr>
              <w:divsChild>
                <w:div w:id="1427573788">
                  <w:marLeft w:val="0"/>
                  <w:marRight w:val="0"/>
                  <w:marTop w:val="0"/>
                  <w:marBottom w:val="0"/>
                  <w:divBdr>
                    <w:top w:val="none" w:sz="0" w:space="0" w:color="auto"/>
                    <w:left w:val="none" w:sz="0" w:space="0" w:color="auto"/>
                    <w:bottom w:val="none" w:sz="0" w:space="0" w:color="auto"/>
                    <w:right w:val="none" w:sz="0" w:space="0" w:color="auto"/>
                  </w:divBdr>
                </w:div>
              </w:divsChild>
            </w:div>
            <w:div w:id="195389742">
              <w:marLeft w:val="0"/>
              <w:marRight w:val="0"/>
              <w:marTop w:val="0"/>
              <w:marBottom w:val="0"/>
              <w:divBdr>
                <w:top w:val="none" w:sz="0" w:space="0" w:color="auto"/>
                <w:left w:val="none" w:sz="0" w:space="0" w:color="auto"/>
                <w:bottom w:val="none" w:sz="0" w:space="0" w:color="auto"/>
                <w:right w:val="none" w:sz="0" w:space="0" w:color="auto"/>
              </w:divBdr>
              <w:divsChild>
                <w:div w:id="904147835">
                  <w:marLeft w:val="0"/>
                  <w:marRight w:val="0"/>
                  <w:marTop w:val="0"/>
                  <w:marBottom w:val="0"/>
                  <w:divBdr>
                    <w:top w:val="none" w:sz="0" w:space="0" w:color="auto"/>
                    <w:left w:val="none" w:sz="0" w:space="0" w:color="auto"/>
                    <w:bottom w:val="none" w:sz="0" w:space="0" w:color="auto"/>
                    <w:right w:val="none" w:sz="0" w:space="0" w:color="auto"/>
                  </w:divBdr>
                </w:div>
              </w:divsChild>
            </w:div>
            <w:div w:id="205219101">
              <w:marLeft w:val="0"/>
              <w:marRight w:val="0"/>
              <w:marTop w:val="0"/>
              <w:marBottom w:val="0"/>
              <w:divBdr>
                <w:top w:val="none" w:sz="0" w:space="0" w:color="auto"/>
                <w:left w:val="none" w:sz="0" w:space="0" w:color="auto"/>
                <w:bottom w:val="none" w:sz="0" w:space="0" w:color="auto"/>
                <w:right w:val="none" w:sz="0" w:space="0" w:color="auto"/>
              </w:divBdr>
              <w:divsChild>
                <w:div w:id="2042197404">
                  <w:marLeft w:val="0"/>
                  <w:marRight w:val="0"/>
                  <w:marTop w:val="0"/>
                  <w:marBottom w:val="0"/>
                  <w:divBdr>
                    <w:top w:val="none" w:sz="0" w:space="0" w:color="auto"/>
                    <w:left w:val="none" w:sz="0" w:space="0" w:color="auto"/>
                    <w:bottom w:val="none" w:sz="0" w:space="0" w:color="auto"/>
                    <w:right w:val="none" w:sz="0" w:space="0" w:color="auto"/>
                  </w:divBdr>
                </w:div>
              </w:divsChild>
            </w:div>
            <w:div w:id="221792066">
              <w:marLeft w:val="0"/>
              <w:marRight w:val="0"/>
              <w:marTop w:val="0"/>
              <w:marBottom w:val="0"/>
              <w:divBdr>
                <w:top w:val="none" w:sz="0" w:space="0" w:color="auto"/>
                <w:left w:val="none" w:sz="0" w:space="0" w:color="auto"/>
                <w:bottom w:val="none" w:sz="0" w:space="0" w:color="auto"/>
                <w:right w:val="none" w:sz="0" w:space="0" w:color="auto"/>
              </w:divBdr>
              <w:divsChild>
                <w:div w:id="1340159520">
                  <w:marLeft w:val="0"/>
                  <w:marRight w:val="0"/>
                  <w:marTop w:val="0"/>
                  <w:marBottom w:val="0"/>
                  <w:divBdr>
                    <w:top w:val="none" w:sz="0" w:space="0" w:color="auto"/>
                    <w:left w:val="none" w:sz="0" w:space="0" w:color="auto"/>
                    <w:bottom w:val="none" w:sz="0" w:space="0" w:color="auto"/>
                    <w:right w:val="none" w:sz="0" w:space="0" w:color="auto"/>
                  </w:divBdr>
                </w:div>
              </w:divsChild>
            </w:div>
            <w:div w:id="248782201">
              <w:marLeft w:val="0"/>
              <w:marRight w:val="0"/>
              <w:marTop w:val="0"/>
              <w:marBottom w:val="0"/>
              <w:divBdr>
                <w:top w:val="none" w:sz="0" w:space="0" w:color="auto"/>
                <w:left w:val="none" w:sz="0" w:space="0" w:color="auto"/>
                <w:bottom w:val="none" w:sz="0" w:space="0" w:color="auto"/>
                <w:right w:val="none" w:sz="0" w:space="0" w:color="auto"/>
              </w:divBdr>
              <w:divsChild>
                <w:div w:id="570770560">
                  <w:marLeft w:val="0"/>
                  <w:marRight w:val="0"/>
                  <w:marTop w:val="0"/>
                  <w:marBottom w:val="0"/>
                  <w:divBdr>
                    <w:top w:val="none" w:sz="0" w:space="0" w:color="auto"/>
                    <w:left w:val="none" w:sz="0" w:space="0" w:color="auto"/>
                    <w:bottom w:val="none" w:sz="0" w:space="0" w:color="auto"/>
                    <w:right w:val="none" w:sz="0" w:space="0" w:color="auto"/>
                  </w:divBdr>
                </w:div>
              </w:divsChild>
            </w:div>
            <w:div w:id="309023370">
              <w:marLeft w:val="0"/>
              <w:marRight w:val="0"/>
              <w:marTop w:val="0"/>
              <w:marBottom w:val="0"/>
              <w:divBdr>
                <w:top w:val="none" w:sz="0" w:space="0" w:color="auto"/>
                <w:left w:val="none" w:sz="0" w:space="0" w:color="auto"/>
                <w:bottom w:val="none" w:sz="0" w:space="0" w:color="auto"/>
                <w:right w:val="none" w:sz="0" w:space="0" w:color="auto"/>
              </w:divBdr>
              <w:divsChild>
                <w:div w:id="540482385">
                  <w:marLeft w:val="0"/>
                  <w:marRight w:val="0"/>
                  <w:marTop w:val="0"/>
                  <w:marBottom w:val="0"/>
                  <w:divBdr>
                    <w:top w:val="none" w:sz="0" w:space="0" w:color="auto"/>
                    <w:left w:val="none" w:sz="0" w:space="0" w:color="auto"/>
                    <w:bottom w:val="none" w:sz="0" w:space="0" w:color="auto"/>
                    <w:right w:val="none" w:sz="0" w:space="0" w:color="auto"/>
                  </w:divBdr>
                </w:div>
              </w:divsChild>
            </w:div>
            <w:div w:id="321197081">
              <w:marLeft w:val="0"/>
              <w:marRight w:val="0"/>
              <w:marTop w:val="0"/>
              <w:marBottom w:val="0"/>
              <w:divBdr>
                <w:top w:val="none" w:sz="0" w:space="0" w:color="auto"/>
                <w:left w:val="none" w:sz="0" w:space="0" w:color="auto"/>
                <w:bottom w:val="none" w:sz="0" w:space="0" w:color="auto"/>
                <w:right w:val="none" w:sz="0" w:space="0" w:color="auto"/>
              </w:divBdr>
              <w:divsChild>
                <w:div w:id="929388410">
                  <w:marLeft w:val="0"/>
                  <w:marRight w:val="0"/>
                  <w:marTop w:val="0"/>
                  <w:marBottom w:val="0"/>
                  <w:divBdr>
                    <w:top w:val="none" w:sz="0" w:space="0" w:color="auto"/>
                    <w:left w:val="none" w:sz="0" w:space="0" w:color="auto"/>
                    <w:bottom w:val="none" w:sz="0" w:space="0" w:color="auto"/>
                    <w:right w:val="none" w:sz="0" w:space="0" w:color="auto"/>
                  </w:divBdr>
                </w:div>
              </w:divsChild>
            </w:div>
            <w:div w:id="337121252">
              <w:marLeft w:val="0"/>
              <w:marRight w:val="0"/>
              <w:marTop w:val="0"/>
              <w:marBottom w:val="0"/>
              <w:divBdr>
                <w:top w:val="none" w:sz="0" w:space="0" w:color="auto"/>
                <w:left w:val="none" w:sz="0" w:space="0" w:color="auto"/>
                <w:bottom w:val="none" w:sz="0" w:space="0" w:color="auto"/>
                <w:right w:val="none" w:sz="0" w:space="0" w:color="auto"/>
              </w:divBdr>
              <w:divsChild>
                <w:div w:id="1204900320">
                  <w:marLeft w:val="0"/>
                  <w:marRight w:val="0"/>
                  <w:marTop w:val="0"/>
                  <w:marBottom w:val="0"/>
                  <w:divBdr>
                    <w:top w:val="none" w:sz="0" w:space="0" w:color="auto"/>
                    <w:left w:val="none" w:sz="0" w:space="0" w:color="auto"/>
                    <w:bottom w:val="none" w:sz="0" w:space="0" w:color="auto"/>
                    <w:right w:val="none" w:sz="0" w:space="0" w:color="auto"/>
                  </w:divBdr>
                </w:div>
              </w:divsChild>
            </w:div>
            <w:div w:id="409427949">
              <w:marLeft w:val="0"/>
              <w:marRight w:val="0"/>
              <w:marTop w:val="0"/>
              <w:marBottom w:val="0"/>
              <w:divBdr>
                <w:top w:val="none" w:sz="0" w:space="0" w:color="auto"/>
                <w:left w:val="none" w:sz="0" w:space="0" w:color="auto"/>
                <w:bottom w:val="none" w:sz="0" w:space="0" w:color="auto"/>
                <w:right w:val="none" w:sz="0" w:space="0" w:color="auto"/>
              </w:divBdr>
              <w:divsChild>
                <w:div w:id="169292634">
                  <w:marLeft w:val="0"/>
                  <w:marRight w:val="0"/>
                  <w:marTop w:val="0"/>
                  <w:marBottom w:val="0"/>
                  <w:divBdr>
                    <w:top w:val="none" w:sz="0" w:space="0" w:color="auto"/>
                    <w:left w:val="none" w:sz="0" w:space="0" w:color="auto"/>
                    <w:bottom w:val="none" w:sz="0" w:space="0" w:color="auto"/>
                    <w:right w:val="none" w:sz="0" w:space="0" w:color="auto"/>
                  </w:divBdr>
                </w:div>
              </w:divsChild>
            </w:div>
            <w:div w:id="418454534">
              <w:marLeft w:val="0"/>
              <w:marRight w:val="0"/>
              <w:marTop w:val="0"/>
              <w:marBottom w:val="0"/>
              <w:divBdr>
                <w:top w:val="none" w:sz="0" w:space="0" w:color="auto"/>
                <w:left w:val="none" w:sz="0" w:space="0" w:color="auto"/>
                <w:bottom w:val="none" w:sz="0" w:space="0" w:color="auto"/>
                <w:right w:val="none" w:sz="0" w:space="0" w:color="auto"/>
              </w:divBdr>
              <w:divsChild>
                <w:div w:id="2082019200">
                  <w:marLeft w:val="0"/>
                  <w:marRight w:val="0"/>
                  <w:marTop w:val="0"/>
                  <w:marBottom w:val="0"/>
                  <w:divBdr>
                    <w:top w:val="none" w:sz="0" w:space="0" w:color="auto"/>
                    <w:left w:val="none" w:sz="0" w:space="0" w:color="auto"/>
                    <w:bottom w:val="none" w:sz="0" w:space="0" w:color="auto"/>
                    <w:right w:val="none" w:sz="0" w:space="0" w:color="auto"/>
                  </w:divBdr>
                </w:div>
              </w:divsChild>
            </w:div>
            <w:div w:id="424495023">
              <w:marLeft w:val="0"/>
              <w:marRight w:val="0"/>
              <w:marTop w:val="0"/>
              <w:marBottom w:val="0"/>
              <w:divBdr>
                <w:top w:val="none" w:sz="0" w:space="0" w:color="auto"/>
                <w:left w:val="none" w:sz="0" w:space="0" w:color="auto"/>
                <w:bottom w:val="none" w:sz="0" w:space="0" w:color="auto"/>
                <w:right w:val="none" w:sz="0" w:space="0" w:color="auto"/>
              </w:divBdr>
              <w:divsChild>
                <w:div w:id="372197505">
                  <w:marLeft w:val="0"/>
                  <w:marRight w:val="0"/>
                  <w:marTop w:val="0"/>
                  <w:marBottom w:val="0"/>
                  <w:divBdr>
                    <w:top w:val="none" w:sz="0" w:space="0" w:color="auto"/>
                    <w:left w:val="none" w:sz="0" w:space="0" w:color="auto"/>
                    <w:bottom w:val="none" w:sz="0" w:space="0" w:color="auto"/>
                    <w:right w:val="none" w:sz="0" w:space="0" w:color="auto"/>
                  </w:divBdr>
                </w:div>
              </w:divsChild>
            </w:div>
            <w:div w:id="486701568">
              <w:marLeft w:val="0"/>
              <w:marRight w:val="0"/>
              <w:marTop w:val="0"/>
              <w:marBottom w:val="0"/>
              <w:divBdr>
                <w:top w:val="none" w:sz="0" w:space="0" w:color="auto"/>
                <w:left w:val="none" w:sz="0" w:space="0" w:color="auto"/>
                <w:bottom w:val="none" w:sz="0" w:space="0" w:color="auto"/>
                <w:right w:val="none" w:sz="0" w:space="0" w:color="auto"/>
              </w:divBdr>
              <w:divsChild>
                <w:div w:id="545339987">
                  <w:marLeft w:val="0"/>
                  <w:marRight w:val="0"/>
                  <w:marTop w:val="0"/>
                  <w:marBottom w:val="0"/>
                  <w:divBdr>
                    <w:top w:val="none" w:sz="0" w:space="0" w:color="auto"/>
                    <w:left w:val="none" w:sz="0" w:space="0" w:color="auto"/>
                    <w:bottom w:val="none" w:sz="0" w:space="0" w:color="auto"/>
                    <w:right w:val="none" w:sz="0" w:space="0" w:color="auto"/>
                  </w:divBdr>
                </w:div>
              </w:divsChild>
            </w:div>
            <w:div w:id="491141863">
              <w:marLeft w:val="0"/>
              <w:marRight w:val="0"/>
              <w:marTop w:val="0"/>
              <w:marBottom w:val="0"/>
              <w:divBdr>
                <w:top w:val="none" w:sz="0" w:space="0" w:color="auto"/>
                <w:left w:val="none" w:sz="0" w:space="0" w:color="auto"/>
                <w:bottom w:val="none" w:sz="0" w:space="0" w:color="auto"/>
                <w:right w:val="none" w:sz="0" w:space="0" w:color="auto"/>
              </w:divBdr>
              <w:divsChild>
                <w:div w:id="751510685">
                  <w:marLeft w:val="0"/>
                  <w:marRight w:val="0"/>
                  <w:marTop w:val="0"/>
                  <w:marBottom w:val="0"/>
                  <w:divBdr>
                    <w:top w:val="none" w:sz="0" w:space="0" w:color="auto"/>
                    <w:left w:val="none" w:sz="0" w:space="0" w:color="auto"/>
                    <w:bottom w:val="none" w:sz="0" w:space="0" w:color="auto"/>
                    <w:right w:val="none" w:sz="0" w:space="0" w:color="auto"/>
                  </w:divBdr>
                </w:div>
              </w:divsChild>
            </w:div>
            <w:div w:id="571624995">
              <w:marLeft w:val="0"/>
              <w:marRight w:val="0"/>
              <w:marTop w:val="0"/>
              <w:marBottom w:val="0"/>
              <w:divBdr>
                <w:top w:val="none" w:sz="0" w:space="0" w:color="auto"/>
                <w:left w:val="none" w:sz="0" w:space="0" w:color="auto"/>
                <w:bottom w:val="none" w:sz="0" w:space="0" w:color="auto"/>
                <w:right w:val="none" w:sz="0" w:space="0" w:color="auto"/>
              </w:divBdr>
              <w:divsChild>
                <w:div w:id="1428037742">
                  <w:marLeft w:val="0"/>
                  <w:marRight w:val="0"/>
                  <w:marTop w:val="0"/>
                  <w:marBottom w:val="0"/>
                  <w:divBdr>
                    <w:top w:val="none" w:sz="0" w:space="0" w:color="auto"/>
                    <w:left w:val="none" w:sz="0" w:space="0" w:color="auto"/>
                    <w:bottom w:val="none" w:sz="0" w:space="0" w:color="auto"/>
                    <w:right w:val="none" w:sz="0" w:space="0" w:color="auto"/>
                  </w:divBdr>
                </w:div>
              </w:divsChild>
            </w:div>
            <w:div w:id="603925947">
              <w:marLeft w:val="0"/>
              <w:marRight w:val="0"/>
              <w:marTop w:val="0"/>
              <w:marBottom w:val="0"/>
              <w:divBdr>
                <w:top w:val="none" w:sz="0" w:space="0" w:color="auto"/>
                <w:left w:val="none" w:sz="0" w:space="0" w:color="auto"/>
                <w:bottom w:val="none" w:sz="0" w:space="0" w:color="auto"/>
                <w:right w:val="none" w:sz="0" w:space="0" w:color="auto"/>
              </w:divBdr>
              <w:divsChild>
                <w:div w:id="1601528496">
                  <w:marLeft w:val="0"/>
                  <w:marRight w:val="0"/>
                  <w:marTop w:val="0"/>
                  <w:marBottom w:val="0"/>
                  <w:divBdr>
                    <w:top w:val="none" w:sz="0" w:space="0" w:color="auto"/>
                    <w:left w:val="none" w:sz="0" w:space="0" w:color="auto"/>
                    <w:bottom w:val="none" w:sz="0" w:space="0" w:color="auto"/>
                    <w:right w:val="none" w:sz="0" w:space="0" w:color="auto"/>
                  </w:divBdr>
                </w:div>
              </w:divsChild>
            </w:div>
            <w:div w:id="630861315">
              <w:marLeft w:val="0"/>
              <w:marRight w:val="0"/>
              <w:marTop w:val="0"/>
              <w:marBottom w:val="0"/>
              <w:divBdr>
                <w:top w:val="none" w:sz="0" w:space="0" w:color="auto"/>
                <w:left w:val="none" w:sz="0" w:space="0" w:color="auto"/>
                <w:bottom w:val="none" w:sz="0" w:space="0" w:color="auto"/>
                <w:right w:val="none" w:sz="0" w:space="0" w:color="auto"/>
              </w:divBdr>
              <w:divsChild>
                <w:div w:id="1525244619">
                  <w:marLeft w:val="0"/>
                  <w:marRight w:val="0"/>
                  <w:marTop w:val="0"/>
                  <w:marBottom w:val="0"/>
                  <w:divBdr>
                    <w:top w:val="none" w:sz="0" w:space="0" w:color="auto"/>
                    <w:left w:val="none" w:sz="0" w:space="0" w:color="auto"/>
                    <w:bottom w:val="none" w:sz="0" w:space="0" w:color="auto"/>
                    <w:right w:val="none" w:sz="0" w:space="0" w:color="auto"/>
                  </w:divBdr>
                </w:div>
              </w:divsChild>
            </w:div>
            <w:div w:id="632635837">
              <w:marLeft w:val="0"/>
              <w:marRight w:val="0"/>
              <w:marTop w:val="0"/>
              <w:marBottom w:val="0"/>
              <w:divBdr>
                <w:top w:val="none" w:sz="0" w:space="0" w:color="auto"/>
                <w:left w:val="none" w:sz="0" w:space="0" w:color="auto"/>
                <w:bottom w:val="none" w:sz="0" w:space="0" w:color="auto"/>
                <w:right w:val="none" w:sz="0" w:space="0" w:color="auto"/>
              </w:divBdr>
              <w:divsChild>
                <w:div w:id="462966170">
                  <w:marLeft w:val="0"/>
                  <w:marRight w:val="0"/>
                  <w:marTop w:val="0"/>
                  <w:marBottom w:val="0"/>
                  <w:divBdr>
                    <w:top w:val="none" w:sz="0" w:space="0" w:color="auto"/>
                    <w:left w:val="none" w:sz="0" w:space="0" w:color="auto"/>
                    <w:bottom w:val="none" w:sz="0" w:space="0" w:color="auto"/>
                    <w:right w:val="none" w:sz="0" w:space="0" w:color="auto"/>
                  </w:divBdr>
                </w:div>
              </w:divsChild>
            </w:div>
            <w:div w:id="676156819">
              <w:marLeft w:val="0"/>
              <w:marRight w:val="0"/>
              <w:marTop w:val="0"/>
              <w:marBottom w:val="0"/>
              <w:divBdr>
                <w:top w:val="none" w:sz="0" w:space="0" w:color="auto"/>
                <w:left w:val="none" w:sz="0" w:space="0" w:color="auto"/>
                <w:bottom w:val="none" w:sz="0" w:space="0" w:color="auto"/>
                <w:right w:val="none" w:sz="0" w:space="0" w:color="auto"/>
              </w:divBdr>
              <w:divsChild>
                <w:div w:id="1406100681">
                  <w:marLeft w:val="0"/>
                  <w:marRight w:val="0"/>
                  <w:marTop w:val="0"/>
                  <w:marBottom w:val="0"/>
                  <w:divBdr>
                    <w:top w:val="none" w:sz="0" w:space="0" w:color="auto"/>
                    <w:left w:val="none" w:sz="0" w:space="0" w:color="auto"/>
                    <w:bottom w:val="none" w:sz="0" w:space="0" w:color="auto"/>
                    <w:right w:val="none" w:sz="0" w:space="0" w:color="auto"/>
                  </w:divBdr>
                </w:div>
              </w:divsChild>
            </w:div>
            <w:div w:id="725644882">
              <w:marLeft w:val="0"/>
              <w:marRight w:val="0"/>
              <w:marTop w:val="0"/>
              <w:marBottom w:val="0"/>
              <w:divBdr>
                <w:top w:val="none" w:sz="0" w:space="0" w:color="auto"/>
                <w:left w:val="none" w:sz="0" w:space="0" w:color="auto"/>
                <w:bottom w:val="none" w:sz="0" w:space="0" w:color="auto"/>
                <w:right w:val="none" w:sz="0" w:space="0" w:color="auto"/>
              </w:divBdr>
              <w:divsChild>
                <w:div w:id="32996655">
                  <w:marLeft w:val="0"/>
                  <w:marRight w:val="0"/>
                  <w:marTop w:val="0"/>
                  <w:marBottom w:val="0"/>
                  <w:divBdr>
                    <w:top w:val="none" w:sz="0" w:space="0" w:color="auto"/>
                    <w:left w:val="none" w:sz="0" w:space="0" w:color="auto"/>
                    <w:bottom w:val="none" w:sz="0" w:space="0" w:color="auto"/>
                    <w:right w:val="none" w:sz="0" w:space="0" w:color="auto"/>
                  </w:divBdr>
                </w:div>
              </w:divsChild>
            </w:div>
            <w:div w:id="735393448">
              <w:marLeft w:val="0"/>
              <w:marRight w:val="0"/>
              <w:marTop w:val="0"/>
              <w:marBottom w:val="0"/>
              <w:divBdr>
                <w:top w:val="none" w:sz="0" w:space="0" w:color="auto"/>
                <w:left w:val="none" w:sz="0" w:space="0" w:color="auto"/>
                <w:bottom w:val="none" w:sz="0" w:space="0" w:color="auto"/>
                <w:right w:val="none" w:sz="0" w:space="0" w:color="auto"/>
              </w:divBdr>
              <w:divsChild>
                <w:div w:id="1148328029">
                  <w:marLeft w:val="0"/>
                  <w:marRight w:val="0"/>
                  <w:marTop w:val="0"/>
                  <w:marBottom w:val="0"/>
                  <w:divBdr>
                    <w:top w:val="none" w:sz="0" w:space="0" w:color="auto"/>
                    <w:left w:val="none" w:sz="0" w:space="0" w:color="auto"/>
                    <w:bottom w:val="none" w:sz="0" w:space="0" w:color="auto"/>
                    <w:right w:val="none" w:sz="0" w:space="0" w:color="auto"/>
                  </w:divBdr>
                </w:div>
              </w:divsChild>
            </w:div>
            <w:div w:id="738016300">
              <w:marLeft w:val="0"/>
              <w:marRight w:val="0"/>
              <w:marTop w:val="0"/>
              <w:marBottom w:val="0"/>
              <w:divBdr>
                <w:top w:val="none" w:sz="0" w:space="0" w:color="auto"/>
                <w:left w:val="none" w:sz="0" w:space="0" w:color="auto"/>
                <w:bottom w:val="none" w:sz="0" w:space="0" w:color="auto"/>
                <w:right w:val="none" w:sz="0" w:space="0" w:color="auto"/>
              </w:divBdr>
              <w:divsChild>
                <w:div w:id="1249734661">
                  <w:marLeft w:val="0"/>
                  <w:marRight w:val="0"/>
                  <w:marTop w:val="0"/>
                  <w:marBottom w:val="0"/>
                  <w:divBdr>
                    <w:top w:val="none" w:sz="0" w:space="0" w:color="auto"/>
                    <w:left w:val="none" w:sz="0" w:space="0" w:color="auto"/>
                    <w:bottom w:val="none" w:sz="0" w:space="0" w:color="auto"/>
                    <w:right w:val="none" w:sz="0" w:space="0" w:color="auto"/>
                  </w:divBdr>
                </w:div>
              </w:divsChild>
            </w:div>
            <w:div w:id="774251408">
              <w:marLeft w:val="0"/>
              <w:marRight w:val="0"/>
              <w:marTop w:val="0"/>
              <w:marBottom w:val="0"/>
              <w:divBdr>
                <w:top w:val="none" w:sz="0" w:space="0" w:color="auto"/>
                <w:left w:val="none" w:sz="0" w:space="0" w:color="auto"/>
                <w:bottom w:val="none" w:sz="0" w:space="0" w:color="auto"/>
                <w:right w:val="none" w:sz="0" w:space="0" w:color="auto"/>
              </w:divBdr>
              <w:divsChild>
                <w:div w:id="183055742">
                  <w:marLeft w:val="0"/>
                  <w:marRight w:val="0"/>
                  <w:marTop w:val="0"/>
                  <w:marBottom w:val="0"/>
                  <w:divBdr>
                    <w:top w:val="none" w:sz="0" w:space="0" w:color="auto"/>
                    <w:left w:val="none" w:sz="0" w:space="0" w:color="auto"/>
                    <w:bottom w:val="none" w:sz="0" w:space="0" w:color="auto"/>
                    <w:right w:val="none" w:sz="0" w:space="0" w:color="auto"/>
                  </w:divBdr>
                </w:div>
              </w:divsChild>
            </w:div>
            <w:div w:id="796415740">
              <w:marLeft w:val="0"/>
              <w:marRight w:val="0"/>
              <w:marTop w:val="0"/>
              <w:marBottom w:val="0"/>
              <w:divBdr>
                <w:top w:val="none" w:sz="0" w:space="0" w:color="auto"/>
                <w:left w:val="none" w:sz="0" w:space="0" w:color="auto"/>
                <w:bottom w:val="none" w:sz="0" w:space="0" w:color="auto"/>
                <w:right w:val="none" w:sz="0" w:space="0" w:color="auto"/>
              </w:divBdr>
              <w:divsChild>
                <w:div w:id="871723971">
                  <w:marLeft w:val="0"/>
                  <w:marRight w:val="0"/>
                  <w:marTop w:val="0"/>
                  <w:marBottom w:val="0"/>
                  <w:divBdr>
                    <w:top w:val="none" w:sz="0" w:space="0" w:color="auto"/>
                    <w:left w:val="none" w:sz="0" w:space="0" w:color="auto"/>
                    <w:bottom w:val="none" w:sz="0" w:space="0" w:color="auto"/>
                    <w:right w:val="none" w:sz="0" w:space="0" w:color="auto"/>
                  </w:divBdr>
                </w:div>
              </w:divsChild>
            </w:div>
            <w:div w:id="797143840">
              <w:marLeft w:val="0"/>
              <w:marRight w:val="0"/>
              <w:marTop w:val="0"/>
              <w:marBottom w:val="0"/>
              <w:divBdr>
                <w:top w:val="none" w:sz="0" w:space="0" w:color="auto"/>
                <w:left w:val="none" w:sz="0" w:space="0" w:color="auto"/>
                <w:bottom w:val="none" w:sz="0" w:space="0" w:color="auto"/>
                <w:right w:val="none" w:sz="0" w:space="0" w:color="auto"/>
              </w:divBdr>
              <w:divsChild>
                <w:div w:id="1084182455">
                  <w:marLeft w:val="0"/>
                  <w:marRight w:val="0"/>
                  <w:marTop w:val="0"/>
                  <w:marBottom w:val="0"/>
                  <w:divBdr>
                    <w:top w:val="none" w:sz="0" w:space="0" w:color="auto"/>
                    <w:left w:val="none" w:sz="0" w:space="0" w:color="auto"/>
                    <w:bottom w:val="none" w:sz="0" w:space="0" w:color="auto"/>
                    <w:right w:val="none" w:sz="0" w:space="0" w:color="auto"/>
                  </w:divBdr>
                </w:div>
              </w:divsChild>
            </w:div>
            <w:div w:id="800728957">
              <w:marLeft w:val="0"/>
              <w:marRight w:val="0"/>
              <w:marTop w:val="0"/>
              <w:marBottom w:val="0"/>
              <w:divBdr>
                <w:top w:val="none" w:sz="0" w:space="0" w:color="auto"/>
                <w:left w:val="none" w:sz="0" w:space="0" w:color="auto"/>
                <w:bottom w:val="none" w:sz="0" w:space="0" w:color="auto"/>
                <w:right w:val="none" w:sz="0" w:space="0" w:color="auto"/>
              </w:divBdr>
              <w:divsChild>
                <w:div w:id="535047369">
                  <w:marLeft w:val="0"/>
                  <w:marRight w:val="0"/>
                  <w:marTop w:val="0"/>
                  <w:marBottom w:val="0"/>
                  <w:divBdr>
                    <w:top w:val="none" w:sz="0" w:space="0" w:color="auto"/>
                    <w:left w:val="none" w:sz="0" w:space="0" w:color="auto"/>
                    <w:bottom w:val="none" w:sz="0" w:space="0" w:color="auto"/>
                    <w:right w:val="none" w:sz="0" w:space="0" w:color="auto"/>
                  </w:divBdr>
                </w:div>
              </w:divsChild>
            </w:div>
            <w:div w:id="880169088">
              <w:marLeft w:val="0"/>
              <w:marRight w:val="0"/>
              <w:marTop w:val="0"/>
              <w:marBottom w:val="0"/>
              <w:divBdr>
                <w:top w:val="none" w:sz="0" w:space="0" w:color="auto"/>
                <w:left w:val="none" w:sz="0" w:space="0" w:color="auto"/>
                <w:bottom w:val="none" w:sz="0" w:space="0" w:color="auto"/>
                <w:right w:val="none" w:sz="0" w:space="0" w:color="auto"/>
              </w:divBdr>
              <w:divsChild>
                <w:div w:id="5255646">
                  <w:marLeft w:val="0"/>
                  <w:marRight w:val="0"/>
                  <w:marTop w:val="0"/>
                  <w:marBottom w:val="0"/>
                  <w:divBdr>
                    <w:top w:val="none" w:sz="0" w:space="0" w:color="auto"/>
                    <w:left w:val="none" w:sz="0" w:space="0" w:color="auto"/>
                    <w:bottom w:val="none" w:sz="0" w:space="0" w:color="auto"/>
                    <w:right w:val="none" w:sz="0" w:space="0" w:color="auto"/>
                  </w:divBdr>
                </w:div>
              </w:divsChild>
            </w:div>
            <w:div w:id="933974434">
              <w:marLeft w:val="0"/>
              <w:marRight w:val="0"/>
              <w:marTop w:val="0"/>
              <w:marBottom w:val="0"/>
              <w:divBdr>
                <w:top w:val="none" w:sz="0" w:space="0" w:color="auto"/>
                <w:left w:val="none" w:sz="0" w:space="0" w:color="auto"/>
                <w:bottom w:val="none" w:sz="0" w:space="0" w:color="auto"/>
                <w:right w:val="none" w:sz="0" w:space="0" w:color="auto"/>
              </w:divBdr>
              <w:divsChild>
                <w:div w:id="1160459903">
                  <w:marLeft w:val="0"/>
                  <w:marRight w:val="0"/>
                  <w:marTop w:val="0"/>
                  <w:marBottom w:val="0"/>
                  <w:divBdr>
                    <w:top w:val="none" w:sz="0" w:space="0" w:color="auto"/>
                    <w:left w:val="none" w:sz="0" w:space="0" w:color="auto"/>
                    <w:bottom w:val="none" w:sz="0" w:space="0" w:color="auto"/>
                    <w:right w:val="none" w:sz="0" w:space="0" w:color="auto"/>
                  </w:divBdr>
                </w:div>
              </w:divsChild>
            </w:div>
            <w:div w:id="953949719">
              <w:marLeft w:val="0"/>
              <w:marRight w:val="0"/>
              <w:marTop w:val="0"/>
              <w:marBottom w:val="0"/>
              <w:divBdr>
                <w:top w:val="none" w:sz="0" w:space="0" w:color="auto"/>
                <w:left w:val="none" w:sz="0" w:space="0" w:color="auto"/>
                <w:bottom w:val="none" w:sz="0" w:space="0" w:color="auto"/>
                <w:right w:val="none" w:sz="0" w:space="0" w:color="auto"/>
              </w:divBdr>
              <w:divsChild>
                <w:div w:id="1252162687">
                  <w:marLeft w:val="0"/>
                  <w:marRight w:val="0"/>
                  <w:marTop w:val="0"/>
                  <w:marBottom w:val="0"/>
                  <w:divBdr>
                    <w:top w:val="none" w:sz="0" w:space="0" w:color="auto"/>
                    <w:left w:val="none" w:sz="0" w:space="0" w:color="auto"/>
                    <w:bottom w:val="none" w:sz="0" w:space="0" w:color="auto"/>
                    <w:right w:val="none" w:sz="0" w:space="0" w:color="auto"/>
                  </w:divBdr>
                </w:div>
              </w:divsChild>
            </w:div>
            <w:div w:id="970596386">
              <w:marLeft w:val="0"/>
              <w:marRight w:val="0"/>
              <w:marTop w:val="0"/>
              <w:marBottom w:val="0"/>
              <w:divBdr>
                <w:top w:val="none" w:sz="0" w:space="0" w:color="auto"/>
                <w:left w:val="none" w:sz="0" w:space="0" w:color="auto"/>
                <w:bottom w:val="none" w:sz="0" w:space="0" w:color="auto"/>
                <w:right w:val="none" w:sz="0" w:space="0" w:color="auto"/>
              </w:divBdr>
              <w:divsChild>
                <w:div w:id="1988822198">
                  <w:marLeft w:val="0"/>
                  <w:marRight w:val="0"/>
                  <w:marTop w:val="0"/>
                  <w:marBottom w:val="0"/>
                  <w:divBdr>
                    <w:top w:val="none" w:sz="0" w:space="0" w:color="auto"/>
                    <w:left w:val="none" w:sz="0" w:space="0" w:color="auto"/>
                    <w:bottom w:val="none" w:sz="0" w:space="0" w:color="auto"/>
                    <w:right w:val="none" w:sz="0" w:space="0" w:color="auto"/>
                  </w:divBdr>
                </w:div>
              </w:divsChild>
            </w:div>
            <w:div w:id="983854273">
              <w:marLeft w:val="0"/>
              <w:marRight w:val="0"/>
              <w:marTop w:val="0"/>
              <w:marBottom w:val="0"/>
              <w:divBdr>
                <w:top w:val="none" w:sz="0" w:space="0" w:color="auto"/>
                <w:left w:val="none" w:sz="0" w:space="0" w:color="auto"/>
                <w:bottom w:val="none" w:sz="0" w:space="0" w:color="auto"/>
                <w:right w:val="none" w:sz="0" w:space="0" w:color="auto"/>
              </w:divBdr>
              <w:divsChild>
                <w:div w:id="467092189">
                  <w:marLeft w:val="0"/>
                  <w:marRight w:val="0"/>
                  <w:marTop w:val="0"/>
                  <w:marBottom w:val="0"/>
                  <w:divBdr>
                    <w:top w:val="none" w:sz="0" w:space="0" w:color="auto"/>
                    <w:left w:val="none" w:sz="0" w:space="0" w:color="auto"/>
                    <w:bottom w:val="none" w:sz="0" w:space="0" w:color="auto"/>
                    <w:right w:val="none" w:sz="0" w:space="0" w:color="auto"/>
                  </w:divBdr>
                </w:div>
              </w:divsChild>
            </w:div>
            <w:div w:id="1027753209">
              <w:marLeft w:val="0"/>
              <w:marRight w:val="0"/>
              <w:marTop w:val="0"/>
              <w:marBottom w:val="0"/>
              <w:divBdr>
                <w:top w:val="none" w:sz="0" w:space="0" w:color="auto"/>
                <w:left w:val="none" w:sz="0" w:space="0" w:color="auto"/>
                <w:bottom w:val="none" w:sz="0" w:space="0" w:color="auto"/>
                <w:right w:val="none" w:sz="0" w:space="0" w:color="auto"/>
              </w:divBdr>
              <w:divsChild>
                <w:div w:id="539514884">
                  <w:marLeft w:val="0"/>
                  <w:marRight w:val="0"/>
                  <w:marTop w:val="0"/>
                  <w:marBottom w:val="0"/>
                  <w:divBdr>
                    <w:top w:val="none" w:sz="0" w:space="0" w:color="auto"/>
                    <w:left w:val="none" w:sz="0" w:space="0" w:color="auto"/>
                    <w:bottom w:val="none" w:sz="0" w:space="0" w:color="auto"/>
                    <w:right w:val="none" w:sz="0" w:space="0" w:color="auto"/>
                  </w:divBdr>
                </w:div>
              </w:divsChild>
            </w:div>
            <w:div w:id="1075325735">
              <w:marLeft w:val="0"/>
              <w:marRight w:val="0"/>
              <w:marTop w:val="0"/>
              <w:marBottom w:val="0"/>
              <w:divBdr>
                <w:top w:val="none" w:sz="0" w:space="0" w:color="auto"/>
                <w:left w:val="none" w:sz="0" w:space="0" w:color="auto"/>
                <w:bottom w:val="none" w:sz="0" w:space="0" w:color="auto"/>
                <w:right w:val="none" w:sz="0" w:space="0" w:color="auto"/>
              </w:divBdr>
              <w:divsChild>
                <w:div w:id="1521509078">
                  <w:marLeft w:val="0"/>
                  <w:marRight w:val="0"/>
                  <w:marTop w:val="0"/>
                  <w:marBottom w:val="0"/>
                  <w:divBdr>
                    <w:top w:val="none" w:sz="0" w:space="0" w:color="auto"/>
                    <w:left w:val="none" w:sz="0" w:space="0" w:color="auto"/>
                    <w:bottom w:val="none" w:sz="0" w:space="0" w:color="auto"/>
                    <w:right w:val="none" w:sz="0" w:space="0" w:color="auto"/>
                  </w:divBdr>
                </w:div>
              </w:divsChild>
            </w:div>
            <w:div w:id="1083070062">
              <w:marLeft w:val="0"/>
              <w:marRight w:val="0"/>
              <w:marTop w:val="0"/>
              <w:marBottom w:val="0"/>
              <w:divBdr>
                <w:top w:val="none" w:sz="0" w:space="0" w:color="auto"/>
                <w:left w:val="none" w:sz="0" w:space="0" w:color="auto"/>
                <w:bottom w:val="none" w:sz="0" w:space="0" w:color="auto"/>
                <w:right w:val="none" w:sz="0" w:space="0" w:color="auto"/>
              </w:divBdr>
              <w:divsChild>
                <w:div w:id="1937209954">
                  <w:marLeft w:val="0"/>
                  <w:marRight w:val="0"/>
                  <w:marTop w:val="0"/>
                  <w:marBottom w:val="0"/>
                  <w:divBdr>
                    <w:top w:val="none" w:sz="0" w:space="0" w:color="auto"/>
                    <w:left w:val="none" w:sz="0" w:space="0" w:color="auto"/>
                    <w:bottom w:val="none" w:sz="0" w:space="0" w:color="auto"/>
                    <w:right w:val="none" w:sz="0" w:space="0" w:color="auto"/>
                  </w:divBdr>
                </w:div>
              </w:divsChild>
            </w:div>
            <w:div w:id="1086921961">
              <w:marLeft w:val="0"/>
              <w:marRight w:val="0"/>
              <w:marTop w:val="0"/>
              <w:marBottom w:val="0"/>
              <w:divBdr>
                <w:top w:val="none" w:sz="0" w:space="0" w:color="auto"/>
                <w:left w:val="none" w:sz="0" w:space="0" w:color="auto"/>
                <w:bottom w:val="none" w:sz="0" w:space="0" w:color="auto"/>
                <w:right w:val="none" w:sz="0" w:space="0" w:color="auto"/>
              </w:divBdr>
              <w:divsChild>
                <w:div w:id="659895031">
                  <w:marLeft w:val="0"/>
                  <w:marRight w:val="0"/>
                  <w:marTop w:val="0"/>
                  <w:marBottom w:val="0"/>
                  <w:divBdr>
                    <w:top w:val="none" w:sz="0" w:space="0" w:color="auto"/>
                    <w:left w:val="none" w:sz="0" w:space="0" w:color="auto"/>
                    <w:bottom w:val="none" w:sz="0" w:space="0" w:color="auto"/>
                    <w:right w:val="none" w:sz="0" w:space="0" w:color="auto"/>
                  </w:divBdr>
                </w:div>
              </w:divsChild>
            </w:div>
            <w:div w:id="1098912907">
              <w:marLeft w:val="0"/>
              <w:marRight w:val="0"/>
              <w:marTop w:val="0"/>
              <w:marBottom w:val="0"/>
              <w:divBdr>
                <w:top w:val="none" w:sz="0" w:space="0" w:color="auto"/>
                <w:left w:val="none" w:sz="0" w:space="0" w:color="auto"/>
                <w:bottom w:val="none" w:sz="0" w:space="0" w:color="auto"/>
                <w:right w:val="none" w:sz="0" w:space="0" w:color="auto"/>
              </w:divBdr>
              <w:divsChild>
                <w:div w:id="40789047">
                  <w:marLeft w:val="0"/>
                  <w:marRight w:val="0"/>
                  <w:marTop w:val="0"/>
                  <w:marBottom w:val="0"/>
                  <w:divBdr>
                    <w:top w:val="none" w:sz="0" w:space="0" w:color="auto"/>
                    <w:left w:val="none" w:sz="0" w:space="0" w:color="auto"/>
                    <w:bottom w:val="none" w:sz="0" w:space="0" w:color="auto"/>
                    <w:right w:val="none" w:sz="0" w:space="0" w:color="auto"/>
                  </w:divBdr>
                </w:div>
              </w:divsChild>
            </w:div>
            <w:div w:id="1122770331">
              <w:marLeft w:val="0"/>
              <w:marRight w:val="0"/>
              <w:marTop w:val="0"/>
              <w:marBottom w:val="0"/>
              <w:divBdr>
                <w:top w:val="none" w:sz="0" w:space="0" w:color="auto"/>
                <w:left w:val="none" w:sz="0" w:space="0" w:color="auto"/>
                <w:bottom w:val="none" w:sz="0" w:space="0" w:color="auto"/>
                <w:right w:val="none" w:sz="0" w:space="0" w:color="auto"/>
              </w:divBdr>
              <w:divsChild>
                <w:div w:id="1380402533">
                  <w:marLeft w:val="0"/>
                  <w:marRight w:val="0"/>
                  <w:marTop w:val="0"/>
                  <w:marBottom w:val="0"/>
                  <w:divBdr>
                    <w:top w:val="none" w:sz="0" w:space="0" w:color="auto"/>
                    <w:left w:val="none" w:sz="0" w:space="0" w:color="auto"/>
                    <w:bottom w:val="none" w:sz="0" w:space="0" w:color="auto"/>
                    <w:right w:val="none" w:sz="0" w:space="0" w:color="auto"/>
                  </w:divBdr>
                </w:div>
              </w:divsChild>
            </w:div>
            <w:div w:id="1127770943">
              <w:marLeft w:val="0"/>
              <w:marRight w:val="0"/>
              <w:marTop w:val="0"/>
              <w:marBottom w:val="0"/>
              <w:divBdr>
                <w:top w:val="none" w:sz="0" w:space="0" w:color="auto"/>
                <w:left w:val="none" w:sz="0" w:space="0" w:color="auto"/>
                <w:bottom w:val="none" w:sz="0" w:space="0" w:color="auto"/>
                <w:right w:val="none" w:sz="0" w:space="0" w:color="auto"/>
              </w:divBdr>
              <w:divsChild>
                <w:div w:id="482893786">
                  <w:marLeft w:val="0"/>
                  <w:marRight w:val="0"/>
                  <w:marTop w:val="0"/>
                  <w:marBottom w:val="0"/>
                  <w:divBdr>
                    <w:top w:val="none" w:sz="0" w:space="0" w:color="auto"/>
                    <w:left w:val="none" w:sz="0" w:space="0" w:color="auto"/>
                    <w:bottom w:val="none" w:sz="0" w:space="0" w:color="auto"/>
                    <w:right w:val="none" w:sz="0" w:space="0" w:color="auto"/>
                  </w:divBdr>
                </w:div>
              </w:divsChild>
            </w:div>
            <w:div w:id="1144472039">
              <w:marLeft w:val="0"/>
              <w:marRight w:val="0"/>
              <w:marTop w:val="0"/>
              <w:marBottom w:val="0"/>
              <w:divBdr>
                <w:top w:val="none" w:sz="0" w:space="0" w:color="auto"/>
                <w:left w:val="none" w:sz="0" w:space="0" w:color="auto"/>
                <w:bottom w:val="none" w:sz="0" w:space="0" w:color="auto"/>
                <w:right w:val="none" w:sz="0" w:space="0" w:color="auto"/>
              </w:divBdr>
              <w:divsChild>
                <w:div w:id="1535120627">
                  <w:marLeft w:val="0"/>
                  <w:marRight w:val="0"/>
                  <w:marTop w:val="0"/>
                  <w:marBottom w:val="0"/>
                  <w:divBdr>
                    <w:top w:val="none" w:sz="0" w:space="0" w:color="auto"/>
                    <w:left w:val="none" w:sz="0" w:space="0" w:color="auto"/>
                    <w:bottom w:val="none" w:sz="0" w:space="0" w:color="auto"/>
                    <w:right w:val="none" w:sz="0" w:space="0" w:color="auto"/>
                  </w:divBdr>
                </w:div>
              </w:divsChild>
            </w:div>
            <w:div w:id="1290208435">
              <w:marLeft w:val="0"/>
              <w:marRight w:val="0"/>
              <w:marTop w:val="0"/>
              <w:marBottom w:val="0"/>
              <w:divBdr>
                <w:top w:val="none" w:sz="0" w:space="0" w:color="auto"/>
                <w:left w:val="none" w:sz="0" w:space="0" w:color="auto"/>
                <w:bottom w:val="none" w:sz="0" w:space="0" w:color="auto"/>
                <w:right w:val="none" w:sz="0" w:space="0" w:color="auto"/>
              </w:divBdr>
              <w:divsChild>
                <w:div w:id="1550259780">
                  <w:marLeft w:val="0"/>
                  <w:marRight w:val="0"/>
                  <w:marTop w:val="0"/>
                  <w:marBottom w:val="0"/>
                  <w:divBdr>
                    <w:top w:val="none" w:sz="0" w:space="0" w:color="auto"/>
                    <w:left w:val="none" w:sz="0" w:space="0" w:color="auto"/>
                    <w:bottom w:val="none" w:sz="0" w:space="0" w:color="auto"/>
                    <w:right w:val="none" w:sz="0" w:space="0" w:color="auto"/>
                  </w:divBdr>
                </w:div>
              </w:divsChild>
            </w:div>
            <w:div w:id="1292901271">
              <w:marLeft w:val="0"/>
              <w:marRight w:val="0"/>
              <w:marTop w:val="0"/>
              <w:marBottom w:val="0"/>
              <w:divBdr>
                <w:top w:val="none" w:sz="0" w:space="0" w:color="auto"/>
                <w:left w:val="none" w:sz="0" w:space="0" w:color="auto"/>
                <w:bottom w:val="none" w:sz="0" w:space="0" w:color="auto"/>
                <w:right w:val="none" w:sz="0" w:space="0" w:color="auto"/>
              </w:divBdr>
              <w:divsChild>
                <w:div w:id="1573419919">
                  <w:marLeft w:val="0"/>
                  <w:marRight w:val="0"/>
                  <w:marTop w:val="0"/>
                  <w:marBottom w:val="0"/>
                  <w:divBdr>
                    <w:top w:val="none" w:sz="0" w:space="0" w:color="auto"/>
                    <w:left w:val="none" w:sz="0" w:space="0" w:color="auto"/>
                    <w:bottom w:val="none" w:sz="0" w:space="0" w:color="auto"/>
                    <w:right w:val="none" w:sz="0" w:space="0" w:color="auto"/>
                  </w:divBdr>
                </w:div>
              </w:divsChild>
            </w:div>
            <w:div w:id="1296181037">
              <w:marLeft w:val="0"/>
              <w:marRight w:val="0"/>
              <w:marTop w:val="0"/>
              <w:marBottom w:val="0"/>
              <w:divBdr>
                <w:top w:val="none" w:sz="0" w:space="0" w:color="auto"/>
                <w:left w:val="none" w:sz="0" w:space="0" w:color="auto"/>
                <w:bottom w:val="none" w:sz="0" w:space="0" w:color="auto"/>
                <w:right w:val="none" w:sz="0" w:space="0" w:color="auto"/>
              </w:divBdr>
              <w:divsChild>
                <w:div w:id="1131436774">
                  <w:marLeft w:val="0"/>
                  <w:marRight w:val="0"/>
                  <w:marTop w:val="0"/>
                  <w:marBottom w:val="0"/>
                  <w:divBdr>
                    <w:top w:val="none" w:sz="0" w:space="0" w:color="auto"/>
                    <w:left w:val="none" w:sz="0" w:space="0" w:color="auto"/>
                    <w:bottom w:val="none" w:sz="0" w:space="0" w:color="auto"/>
                    <w:right w:val="none" w:sz="0" w:space="0" w:color="auto"/>
                  </w:divBdr>
                </w:div>
              </w:divsChild>
            </w:div>
            <w:div w:id="1297491260">
              <w:marLeft w:val="0"/>
              <w:marRight w:val="0"/>
              <w:marTop w:val="0"/>
              <w:marBottom w:val="0"/>
              <w:divBdr>
                <w:top w:val="none" w:sz="0" w:space="0" w:color="auto"/>
                <w:left w:val="none" w:sz="0" w:space="0" w:color="auto"/>
                <w:bottom w:val="none" w:sz="0" w:space="0" w:color="auto"/>
                <w:right w:val="none" w:sz="0" w:space="0" w:color="auto"/>
              </w:divBdr>
              <w:divsChild>
                <w:div w:id="1323002863">
                  <w:marLeft w:val="0"/>
                  <w:marRight w:val="0"/>
                  <w:marTop w:val="0"/>
                  <w:marBottom w:val="0"/>
                  <w:divBdr>
                    <w:top w:val="none" w:sz="0" w:space="0" w:color="auto"/>
                    <w:left w:val="none" w:sz="0" w:space="0" w:color="auto"/>
                    <w:bottom w:val="none" w:sz="0" w:space="0" w:color="auto"/>
                    <w:right w:val="none" w:sz="0" w:space="0" w:color="auto"/>
                  </w:divBdr>
                </w:div>
              </w:divsChild>
            </w:div>
            <w:div w:id="1331178599">
              <w:marLeft w:val="0"/>
              <w:marRight w:val="0"/>
              <w:marTop w:val="0"/>
              <w:marBottom w:val="0"/>
              <w:divBdr>
                <w:top w:val="none" w:sz="0" w:space="0" w:color="auto"/>
                <w:left w:val="none" w:sz="0" w:space="0" w:color="auto"/>
                <w:bottom w:val="none" w:sz="0" w:space="0" w:color="auto"/>
                <w:right w:val="none" w:sz="0" w:space="0" w:color="auto"/>
              </w:divBdr>
              <w:divsChild>
                <w:div w:id="298271697">
                  <w:marLeft w:val="0"/>
                  <w:marRight w:val="0"/>
                  <w:marTop w:val="0"/>
                  <w:marBottom w:val="0"/>
                  <w:divBdr>
                    <w:top w:val="none" w:sz="0" w:space="0" w:color="auto"/>
                    <w:left w:val="none" w:sz="0" w:space="0" w:color="auto"/>
                    <w:bottom w:val="none" w:sz="0" w:space="0" w:color="auto"/>
                    <w:right w:val="none" w:sz="0" w:space="0" w:color="auto"/>
                  </w:divBdr>
                </w:div>
              </w:divsChild>
            </w:div>
            <w:div w:id="1352609666">
              <w:marLeft w:val="0"/>
              <w:marRight w:val="0"/>
              <w:marTop w:val="0"/>
              <w:marBottom w:val="0"/>
              <w:divBdr>
                <w:top w:val="none" w:sz="0" w:space="0" w:color="auto"/>
                <w:left w:val="none" w:sz="0" w:space="0" w:color="auto"/>
                <w:bottom w:val="none" w:sz="0" w:space="0" w:color="auto"/>
                <w:right w:val="none" w:sz="0" w:space="0" w:color="auto"/>
              </w:divBdr>
              <w:divsChild>
                <w:div w:id="689769054">
                  <w:marLeft w:val="0"/>
                  <w:marRight w:val="0"/>
                  <w:marTop w:val="0"/>
                  <w:marBottom w:val="0"/>
                  <w:divBdr>
                    <w:top w:val="none" w:sz="0" w:space="0" w:color="auto"/>
                    <w:left w:val="none" w:sz="0" w:space="0" w:color="auto"/>
                    <w:bottom w:val="none" w:sz="0" w:space="0" w:color="auto"/>
                    <w:right w:val="none" w:sz="0" w:space="0" w:color="auto"/>
                  </w:divBdr>
                </w:div>
              </w:divsChild>
            </w:div>
            <w:div w:id="1384138875">
              <w:marLeft w:val="0"/>
              <w:marRight w:val="0"/>
              <w:marTop w:val="0"/>
              <w:marBottom w:val="0"/>
              <w:divBdr>
                <w:top w:val="none" w:sz="0" w:space="0" w:color="auto"/>
                <w:left w:val="none" w:sz="0" w:space="0" w:color="auto"/>
                <w:bottom w:val="none" w:sz="0" w:space="0" w:color="auto"/>
                <w:right w:val="none" w:sz="0" w:space="0" w:color="auto"/>
              </w:divBdr>
              <w:divsChild>
                <w:div w:id="797919866">
                  <w:marLeft w:val="0"/>
                  <w:marRight w:val="0"/>
                  <w:marTop w:val="0"/>
                  <w:marBottom w:val="0"/>
                  <w:divBdr>
                    <w:top w:val="none" w:sz="0" w:space="0" w:color="auto"/>
                    <w:left w:val="none" w:sz="0" w:space="0" w:color="auto"/>
                    <w:bottom w:val="none" w:sz="0" w:space="0" w:color="auto"/>
                    <w:right w:val="none" w:sz="0" w:space="0" w:color="auto"/>
                  </w:divBdr>
                </w:div>
              </w:divsChild>
            </w:div>
            <w:div w:id="1389841562">
              <w:marLeft w:val="0"/>
              <w:marRight w:val="0"/>
              <w:marTop w:val="0"/>
              <w:marBottom w:val="0"/>
              <w:divBdr>
                <w:top w:val="none" w:sz="0" w:space="0" w:color="auto"/>
                <w:left w:val="none" w:sz="0" w:space="0" w:color="auto"/>
                <w:bottom w:val="none" w:sz="0" w:space="0" w:color="auto"/>
                <w:right w:val="none" w:sz="0" w:space="0" w:color="auto"/>
              </w:divBdr>
              <w:divsChild>
                <w:div w:id="1720395440">
                  <w:marLeft w:val="0"/>
                  <w:marRight w:val="0"/>
                  <w:marTop w:val="0"/>
                  <w:marBottom w:val="0"/>
                  <w:divBdr>
                    <w:top w:val="none" w:sz="0" w:space="0" w:color="auto"/>
                    <w:left w:val="none" w:sz="0" w:space="0" w:color="auto"/>
                    <w:bottom w:val="none" w:sz="0" w:space="0" w:color="auto"/>
                    <w:right w:val="none" w:sz="0" w:space="0" w:color="auto"/>
                  </w:divBdr>
                </w:div>
              </w:divsChild>
            </w:div>
            <w:div w:id="1412964049">
              <w:marLeft w:val="0"/>
              <w:marRight w:val="0"/>
              <w:marTop w:val="0"/>
              <w:marBottom w:val="0"/>
              <w:divBdr>
                <w:top w:val="none" w:sz="0" w:space="0" w:color="auto"/>
                <w:left w:val="none" w:sz="0" w:space="0" w:color="auto"/>
                <w:bottom w:val="none" w:sz="0" w:space="0" w:color="auto"/>
                <w:right w:val="none" w:sz="0" w:space="0" w:color="auto"/>
              </w:divBdr>
              <w:divsChild>
                <w:div w:id="2004621796">
                  <w:marLeft w:val="0"/>
                  <w:marRight w:val="0"/>
                  <w:marTop w:val="0"/>
                  <w:marBottom w:val="0"/>
                  <w:divBdr>
                    <w:top w:val="none" w:sz="0" w:space="0" w:color="auto"/>
                    <w:left w:val="none" w:sz="0" w:space="0" w:color="auto"/>
                    <w:bottom w:val="none" w:sz="0" w:space="0" w:color="auto"/>
                    <w:right w:val="none" w:sz="0" w:space="0" w:color="auto"/>
                  </w:divBdr>
                </w:div>
              </w:divsChild>
            </w:div>
            <w:div w:id="1483041739">
              <w:marLeft w:val="0"/>
              <w:marRight w:val="0"/>
              <w:marTop w:val="0"/>
              <w:marBottom w:val="0"/>
              <w:divBdr>
                <w:top w:val="none" w:sz="0" w:space="0" w:color="auto"/>
                <w:left w:val="none" w:sz="0" w:space="0" w:color="auto"/>
                <w:bottom w:val="none" w:sz="0" w:space="0" w:color="auto"/>
                <w:right w:val="none" w:sz="0" w:space="0" w:color="auto"/>
              </w:divBdr>
              <w:divsChild>
                <w:div w:id="941650614">
                  <w:marLeft w:val="0"/>
                  <w:marRight w:val="0"/>
                  <w:marTop w:val="0"/>
                  <w:marBottom w:val="0"/>
                  <w:divBdr>
                    <w:top w:val="none" w:sz="0" w:space="0" w:color="auto"/>
                    <w:left w:val="none" w:sz="0" w:space="0" w:color="auto"/>
                    <w:bottom w:val="none" w:sz="0" w:space="0" w:color="auto"/>
                    <w:right w:val="none" w:sz="0" w:space="0" w:color="auto"/>
                  </w:divBdr>
                </w:div>
              </w:divsChild>
            </w:div>
            <w:div w:id="1484853353">
              <w:marLeft w:val="0"/>
              <w:marRight w:val="0"/>
              <w:marTop w:val="0"/>
              <w:marBottom w:val="0"/>
              <w:divBdr>
                <w:top w:val="none" w:sz="0" w:space="0" w:color="auto"/>
                <w:left w:val="none" w:sz="0" w:space="0" w:color="auto"/>
                <w:bottom w:val="none" w:sz="0" w:space="0" w:color="auto"/>
                <w:right w:val="none" w:sz="0" w:space="0" w:color="auto"/>
              </w:divBdr>
              <w:divsChild>
                <w:div w:id="1877425198">
                  <w:marLeft w:val="0"/>
                  <w:marRight w:val="0"/>
                  <w:marTop w:val="0"/>
                  <w:marBottom w:val="0"/>
                  <w:divBdr>
                    <w:top w:val="none" w:sz="0" w:space="0" w:color="auto"/>
                    <w:left w:val="none" w:sz="0" w:space="0" w:color="auto"/>
                    <w:bottom w:val="none" w:sz="0" w:space="0" w:color="auto"/>
                    <w:right w:val="none" w:sz="0" w:space="0" w:color="auto"/>
                  </w:divBdr>
                </w:div>
              </w:divsChild>
            </w:div>
            <w:div w:id="1519000970">
              <w:marLeft w:val="0"/>
              <w:marRight w:val="0"/>
              <w:marTop w:val="0"/>
              <w:marBottom w:val="0"/>
              <w:divBdr>
                <w:top w:val="none" w:sz="0" w:space="0" w:color="auto"/>
                <w:left w:val="none" w:sz="0" w:space="0" w:color="auto"/>
                <w:bottom w:val="none" w:sz="0" w:space="0" w:color="auto"/>
                <w:right w:val="none" w:sz="0" w:space="0" w:color="auto"/>
              </w:divBdr>
              <w:divsChild>
                <w:div w:id="114636756">
                  <w:marLeft w:val="0"/>
                  <w:marRight w:val="0"/>
                  <w:marTop w:val="0"/>
                  <w:marBottom w:val="0"/>
                  <w:divBdr>
                    <w:top w:val="none" w:sz="0" w:space="0" w:color="auto"/>
                    <w:left w:val="none" w:sz="0" w:space="0" w:color="auto"/>
                    <w:bottom w:val="none" w:sz="0" w:space="0" w:color="auto"/>
                    <w:right w:val="none" w:sz="0" w:space="0" w:color="auto"/>
                  </w:divBdr>
                </w:div>
              </w:divsChild>
            </w:div>
            <w:div w:id="1520894387">
              <w:marLeft w:val="0"/>
              <w:marRight w:val="0"/>
              <w:marTop w:val="0"/>
              <w:marBottom w:val="0"/>
              <w:divBdr>
                <w:top w:val="none" w:sz="0" w:space="0" w:color="auto"/>
                <w:left w:val="none" w:sz="0" w:space="0" w:color="auto"/>
                <w:bottom w:val="none" w:sz="0" w:space="0" w:color="auto"/>
                <w:right w:val="none" w:sz="0" w:space="0" w:color="auto"/>
              </w:divBdr>
              <w:divsChild>
                <w:div w:id="1511138759">
                  <w:marLeft w:val="0"/>
                  <w:marRight w:val="0"/>
                  <w:marTop w:val="0"/>
                  <w:marBottom w:val="0"/>
                  <w:divBdr>
                    <w:top w:val="none" w:sz="0" w:space="0" w:color="auto"/>
                    <w:left w:val="none" w:sz="0" w:space="0" w:color="auto"/>
                    <w:bottom w:val="none" w:sz="0" w:space="0" w:color="auto"/>
                    <w:right w:val="none" w:sz="0" w:space="0" w:color="auto"/>
                  </w:divBdr>
                </w:div>
              </w:divsChild>
            </w:div>
            <w:div w:id="1584604275">
              <w:marLeft w:val="0"/>
              <w:marRight w:val="0"/>
              <w:marTop w:val="0"/>
              <w:marBottom w:val="0"/>
              <w:divBdr>
                <w:top w:val="none" w:sz="0" w:space="0" w:color="auto"/>
                <w:left w:val="none" w:sz="0" w:space="0" w:color="auto"/>
                <w:bottom w:val="none" w:sz="0" w:space="0" w:color="auto"/>
                <w:right w:val="none" w:sz="0" w:space="0" w:color="auto"/>
              </w:divBdr>
              <w:divsChild>
                <w:div w:id="249581402">
                  <w:marLeft w:val="0"/>
                  <w:marRight w:val="0"/>
                  <w:marTop w:val="0"/>
                  <w:marBottom w:val="0"/>
                  <w:divBdr>
                    <w:top w:val="none" w:sz="0" w:space="0" w:color="auto"/>
                    <w:left w:val="none" w:sz="0" w:space="0" w:color="auto"/>
                    <w:bottom w:val="none" w:sz="0" w:space="0" w:color="auto"/>
                    <w:right w:val="none" w:sz="0" w:space="0" w:color="auto"/>
                  </w:divBdr>
                </w:div>
              </w:divsChild>
            </w:div>
            <w:div w:id="1587423278">
              <w:marLeft w:val="0"/>
              <w:marRight w:val="0"/>
              <w:marTop w:val="0"/>
              <w:marBottom w:val="0"/>
              <w:divBdr>
                <w:top w:val="none" w:sz="0" w:space="0" w:color="auto"/>
                <w:left w:val="none" w:sz="0" w:space="0" w:color="auto"/>
                <w:bottom w:val="none" w:sz="0" w:space="0" w:color="auto"/>
                <w:right w:val="none" w:sz="0" w:space="0" w:color="auto"/>
              </w:divBdr>
              <w:divsChild>
                <w:div w:id="2031562341">
                  <w:marLeft w:val="0"/>
                  <w:marRight w:val="0"/>
                  <w:marTop w:val="0"/>
                  <w:marBottom w:val="0"/>
                  <w:divBdr>
                    <w:top w:val="none" w:sz="0" w:space="0" w:color="auto"/>
                    <w:left w:val="none" w:sz="0" w:space="0" w:color="auto"/>
                    <w:bottom w:val="none" w:sz="0" w:space="0" w:color="auto"/>
                    <w:right w:val="none" w:sz="0" w:space="0" w:color="auto"/>
                  </w:divBdr>
                </w:div>
              </w:divsChild>
            </w:div>
            <w:div w:id="1601373717">
              <w:marLeft w:val="0"/>
              <w:marRight w:val="0"/>
              <w:marTop w:val="0"/>
              <w:marBottom w:val="0"/>
              <w:divBdr>
                <w:top w:val="none" w:sz="0" w:space="0" w:color="auto"/>
                <w:left w:val="none" w:sz="0" w:space="0" w:color="auto"/>
                <w:bottom w:val="none" w:sz="0" w:space="0" w:color="auto"/>
                <w:right w:val="none" w:sz="0" w:space="0" w:color="auto"/>
              </w:divBdr>
              <w:divsChild>
                <w:div w:id="857700790">
                  <w:marLeft w:val="0"/>
                  <w:marRight w:val="0"/>
                  <w:marTop w:val="0"/>
                  <w:marBottom w:val="0"/>
                  <w:divBdr>
                    <w:top w:val="none" w:sz="0" w:space="0" w:color="auto"/>
                    <w:left w:val="none" w:sz="0" w:space="0" w:color="auto"/>
                    <w:bottom w:val="none" w:sz="0" w:space="0" w:color="auto"/>
                    <w:right w:val="none" w:sz="0" w:space="0" w:color="auto"/>
                  </w:divBdr>
                </w:div>
              </w:divsChild>
            </w:div>
            <w:div w:id="1667854960">
              <w:marLeft w:val="0"/>
              <w:marRight w:val="0"/>
              <w:marTop w:val="0"/>
              <w:marBottom w:val="0"/>
              <w:divBdr>
                <w:top w:val="none" w:sz="0" w:space="0" w:color="auto"/>
                <w:left w:val="none" w:sz="0" w:space="0" w:color="auto"/>
                <w:bottom w:val="none" w:sz="0" w:space="0" w:color="auto"/>
                <w:right w:val="none" w:sz="0" w:space="0" w:color="auto"/>
              </w:divBdr>
              <w:divsChild>
                <w:div w:id="1675841210">
                  <w:marLeft w:val="0"/>
                  <w:marRight w:val="0"/>
                  <w:marTop w:val="0"/>
                  <w:marBottom w:val="0"/>
                  <w:divBdr>
                    <w:top w:val="none" w:sz="0" w:space="0" w:color="auto"/>
                    <w:left w:val="none" w:sz="0" w:space="0" w:color="auto"/>
                    <w:bottom w:val="none" w:sz="0" w:space="0" w:color="auto"/>
                    <w:right w:val="none" w:sz="0" w:space="0" w:color="auto"/>
                  </w:divBdr>
                </w:div>
              </w:divsChild>
            </w:div>
            <w:div w:id="1693258531">
              <w:marLeft w:val="0"/>
              <w:marRight w:val="0"/>
              <w:marTop w:val="0"/>
              <w:marBottom w:val="0"/>
              <w:divBdr>
                <w:top w:val="none" w:sz="0" w:space="0" w:color="auto"/>
                <w:left w:val="none" w:sz="0" w:space="0" w:color="auto"/>
                <w:bottom w:val="none" w:sz="0" w:space="0" w:color="auto"/>
                <w:right w:val="none" w:sz="0" w:space="0" w:color="auto"/>
              </w:divBdr>
              <w:divsChild>
                <w:div w:id="1105153936">
                  <w:marLeft w:val="0"/>
                  <w:marRight w:val="0"/>
                  <w:marTop w:val="0"/>
                  <w:marBottom w:val="0"/>
                  <w:divBdr>
                    <w:top w:val="none" w:sz="0" w:space="0" w:color="auto"/>
                    <w:left w:val="none" w:sz="0" w:space="0" w:color="auto"/>
                    <w:bottom w:val="none" w:sz="0" w:space="0" w:color="auto"/>
                    <w:right w:val="none" w:sz="0" w:space="0" w:color="auto"/>
                  </w:divBdr>
                </w:div>
              </w:divsChild>
            </w:div>
            <w:div w:id="1694918574">
              <w:marLeft w:val="0"/>
              <w:marRight w:val="0"/>
              <w:marTop w:val="0"/>
              <w:marBottom w:val="0"/>
              <w:divBdr>
                <w:top w:val="none" w:sz="0" w:space="0" w:color="auto"/>
                <w:left w:val="none" w:sz="0" w:space="0" w:color="auto"/>
                <w:bottom w:val="none" w:sz="0" w:space="0" w:color="auto"/>
                <w:right w:val="none" w:sz="0" w:space="0" w:color="auto"/>
              </w:divBdr>
              <w:divsChild>
                <w:div w:id="1831751421">
                  <w:marLeft w:val="0"/>
                  <w:marRight w:val="0"/>
                  <w:marTop w:val="0"/>
                  <w:marBottom w:val="0"/>
                  <w:divBdr>
                    <w:top w:val="none" w:sz="0" w:space="0" w:color="auto"/>
                    <w:left w:val="none" w:sz="0" w:space="0" w:color="auto"/>
                    <w:bottom w:val="none" w:sz="0" w:space="0" w:color="auto"/>
                    <w:right w:val="none" w:sz="0" w:space="0" w:color="auto"/>
                  </w:divBdr>
                </w:div>
              </w:divsChild>
            </w:div>
            <w:div w:id="1723476449">
              <w:marLeft w:val="0"/>
              <w:marRight w:val="0"/>
              <w:marTop w:val="0"/>
              <w:marBottom w:val="0"/>
              <w:divBdr>
                <w:top w:val="none" w:sz="0" w:space="0" w:color="auto"/>
                <w:left w:val="none" w:sz="0" w:space="0" w:color="auto"/>
                <w:bottom w:val="none" w:sz="0" w:space="0" w:color="auto"/>
                <w:right w:val="none" w:sz="0" w:space="0" w:color="auto"/>
              </w:divBdr>
              <w:divsChild>
                <w:div w:id="2003698734">
                  <w:marLeft w:val="0"/>
                  <w:marRight w:val="0"/>
                  <w:marTop w:val="0"/>
                  <w:marBottom w:val="0"/>
                  <w:divBdr>
                    <w:top w:val="none" w:sz="0" w:space="0" w:color="auto"/>
                    <w:left w:val="none" w:sz="0" w:space="0" w:color="auto"/>
                    <w:bottom w:val="none" w:sz="0" w:space="0" w:color="auto"/>
                    <w:right w:val="none" w:sz="0" w:space="0" w:color="auto"/>
                  </w:divBdr>
                </w:div>
              </w:divsChild>
            </w:div>
            <w:div w:id="1755737621">
              <w:marLeft w:val="0"/>
              <w:marRight w:val="0"/>
              <w:marTop w:val="0"/>
              <w:marBottom w:val="0"/>
              <w:divBdr>
                <w:top w:val="none" w:sz="0" w:space="0" w:color="auto"/>
                <w:left w:val="none" w:sz="0" w:space="0" w:color="auto"/>
                <w:bottom w:val="none" w:sz="0" w:space="0" w:color="auto"/>
                <w:right w:val="none" w:sz="0" w:space="0" w:color="auto"/>
              </w:divBdr>
              <w:divsChild>
                <w:div w:id="90393364">
                  <w:marLeft w:val="0"/>
                  <w:marRight w:val="0"/>
                  <w:marTop w:val="0"/>
                  <w:marBottom w:val="0"/>
                  <w:divBdr>
                    <w:top w:val="none" w:sz="0" w:space="0" w:color="auto"/>
                    <w:left w:val="none" w:sz="0" w:space="0" w:color="auto"/>
                    <w:bottom w:val="none" w:sz="0" w:space="0" w:color="auto"/>
                    <w:right w:val="none" w:sz="0" w:space="0" w:color="auto"/>
                  </w:divBdr>
                </w:div>
              </w:divsChild>
            </w:div>
            <w:div w:id="1773209059">
              <w:marLeft w:val="0"/>
              <w:marRight w:val="0"/>
              <w:marTop w:val="0"/>
              <w:marBottom w:val="0"/>
              <w:divBdr>
                <w:top w:val="none" w:sz="0" w:space="0" w:color="auto"/>
                <w:left w:val="none" w:sz="0" w:space="0" w:color="auto"/>
                <w:bottom w:val="none" w:sz="0" w:space="0" w:color="auto"/>
                <w:right w:val="none" w:sz="0" w:space="0" w:color="auto"/>
              </w:divBdr>
              <w:divsChild>
                <w:div w:id="1173642069">
                  <w:marLeft w:val="0"/>
                  <w:marRight w:val="0"/>
                  <w:marTop w:val="0"/>
                  <w:marBottom w:val="0"/>
                  <w:divBdr>
                    <w:top w:val="none" w:sz="0" w:space="0" w:color="auto"/>
                    <w:left w:val="none" w:sz="0" w:space="0" w:color="auto"/>
                    <w:bottom w:val="none" w:sz="0" w:space="0" w:color="auto"/>
                    <w:right w:val="none" w:sz="0" w:space="0" w:color="auto"/>
                  </w:divBdr>
                </w:div>
              </w:divsChild>
            </w:div>
            <w:div w:id="1786657947">
              <w:marLeft w:val="0"/>
              <w:marRight w:val="0"/>
              <w:marTop w:val="0"/>
              <w:marBottom w:val="0"/>
              <w:divBdr>
                <w:top w:val="none" w:sz="0" w:space="0" w:color="auto"/>
                <w:left w:val="none" w:sz="0" w:space="0" w:color="auto"/>
                <w:bottom w:val="none" w:sz="0" w:space="0" w:color="auto"/>
                <w:right w:val="none" w:sz="0" w:space="0" w:color="auto"/>
              </w:divBdr>
              <w:divsChild>
                <w:div w:id="2027249877">
                  <w:marLeft w:val="0"/>
                  <w:marRight w:val="0"/>
                  <w:marTop w:val="0"/>
                  <w:marBottom w:val="0"/>
                  <w:divBdr>
                    <w:top w:val="none" w:sz="0" w:space="0" w:color="auto"/>
                    <w:left w:val="none" w:sz="0" w:space="0" w:color="auto"/>
                    <w:bottom w:val="none" w:sz="0" w:space="0" w:color="auto"/>
                    <w:right w:val="none" w:sz="0" w:space="0" w:color="auto"/>
                  </w:divBdr>
                </w:div>
              </w:divsChild>
            </w:div>
            <w:div w:id="1800226712">
              <w:marLeft w:val="0"/>
              <w:marRight w:val="0"/>
              <w:marTop w:val="0"/>
              <w:marBottom w:val="0"/>
              <w:divBdr>
                <w:top w:val="none" w:sz="0" w:space="0" w:color="auto"/>
                <w:left w:val="none" w:sz="0" w:space="0" w:color="auto"/>
                <w:bottom w:val="none" w:sz="0" w:space="0" w:color="auto"/>
                <w:right w:val="none" w:sz="0" w:space="0" w:color="auto"/>
              </w:divBdr>
              <w:divsChild>
                <w:div w:id="1100032466">
                  <w:marLeft w:val="0"/>
                  <w:marRight w:val="0"/>
                  <w:marTop w:val="0"/>
                  <w:marBottom w:val="0"/>
                  <w:divBdr>
                    <w:top w:val="none" w:sz="0" w:space="0" w:color="auto"/>
                    <w:left w:val="none" w:sz="0" w:space="0" w:color="auto"/>
                    <w:bottom w:val="none" w:sz="0" w:space="0" w:color="auto"/>
                    <w:right w:val="none" w:sz="0" w:space="0" w:color="auto"/>
                  </w:divBdr>
                </w:div>
              </w:divsChild>
            </w:div>
            <w:div w:id="1823159860">
              <w:marLeft w:val="0"/>
              <w:marRight w:val="0"/>
              <w:marTop w:val="0"/>
              <w:marBottom w:val="0"/>
              <w:divBdr>
                <w:top w:val="none" w:sz="0" w:space="0" w:color="auto"/>
                <w:left w:val="none" w:sz="0" w:space="0" w:color="auto"/>
                <w:bottom w:val="none" w:sz="0" w:space="0" w:color="auto"/>
                <w:right w:val="none" w:sz="0" w:space="0" w:color="auto"/>
              </w:divBdr>
              <w:divsChild>
                <w:div w:id="860898565">
                  <w:marLeft w:val="0"/>
                  <w:marRight w:val="0"/>
                  <w:marTop w:val="0"/>
                  <w:marBottom w:val="0"/>
                  <w:divBdr>
                    <w:top w:val="none" w:sz="0" w:space="0" w:color="auto"/>
                    <w:left w:val="none" w:sz="0" w:space="0" w:color="auto"/>
                    <w:bottom w:val="none" w:sz="0" w:space="0" w:color="auto"/>
                    <w:right w:val="none" w:sz="0" w:space="0" w:color="auto"/>
                  </w:divBdr>
                </w:div>
              </w:divsChild>
            </w:div>
            <w:div w:id="1863351870">
              <w:marLeft w:val="0"/>
              <w:marRight w:val="0"/>
              <w:marTop w:val="0"/>
              <w:marBottom w:val="0"/>
              <w:divBdr>
                <w:top w:val="none" w:sz="0" w:space="0" w:color="auto"/>
                <w:left w:val="none" w:sz="0" w:space="0" w:color="auto"/>
                <w:bottom w:val="none" w:sz="0" w:space="0" w:color="auto"/>
                <w:right w:val="none" w:sz="0" w:space="0" w:color="auto"/>
              </w:divBdr>
              <w:divsChild>
                <w:div w:id="1850943397">
                  <w:marLeft w:val="0"/>
                  <w:marRight w:val="0"/>
                  <w:marTop w:val="0"/>
                  <w:marBottom w:val="0"/>
                  <w:divBdr>
                    <w:top w:val="none" w:sz="0" w:space="0" w:color="auto"/>
                    <w:left w:val="none" w:sz="0" w:space="0" w:color="auto"/>
                    <w:bottom w:val="none" w:sz="0" w:space="0" w:color="auto"/>
                    <w:right w:val="none" w:sz="0" w:space="0" w:color="auto"/>
                  </w:divBdr>
                </w:div>
              </w:divsChild>
            </w:div>
            <w:div w:id="1870947340">
              <w:marLeft w:val="0"/>
              <w:marRight w:val="0"/>
              <w:marTop w:val="0"/>
              <w:marBottom w:val="0"/>
              <w:divBdr>
                <w:top w:val="none" w:sz="0" w:space="0" w:color="auto"/>
                <w:left w:val="none" w:sz="0" w:space="0" w:color="auto"/>
                <w:bottom w:val="none" w:sz="0" w:space="0" w:color="auto"/>
                <w:right w:val="none" w:sz="0" w:space="0" w:color="auto"/>
              </w:divBdr>
              <w:divsChild>
                <w:div w:id="235555978">
                  <w:marLeft w:val="0"/>
                  <w:marRight w:val="0"/>
                  <w:marTop w:val="0"/>
                  <w:marBottom w:val="0"/>
                  <w:divBdr>
                    <w:top w:val="none" w:sz="0" w:space="0" w:color="auto"/>
                    <w:left w:val="none" w:sz="0" w:space="0" w:color="auto"/>
                    <w:bottom w:val="none" w:sz="0" w:space="0" w:color="auto"/>
                    <w:right w:val="none" w:sz="0" w:space="0" w:color="auto"/>
                  </w:divBdr>
                </w:div>
              </w:divsChild>
            </w:div>
            <w:div w:id="1875339302">
              <w:marLeft w:val="0"/>
              <w:marRight w:val="0"/>
              <w:marTop w:val="0"/>
              <w:marBottom w:val="0"/>
              <w:divBdr>
                <w:top w:val="none" w:sz="0" w:space="0" w:color="auto"/>
                <w:left w:val="none" w:sz="0" w:space="0" w:color="auto"/>
                <w:bottom w:val="none" w:sz="0" w:space="0" w:color="auto"/>
                <w:right w:val="none" w:sz="0" w:space="0" w:color="auto"/>
              </w:divBdr>
              <w:divsChild>
                <w:div w:id="378474797">
                  <w:marLeft w:val="0"/>
                  <w:marRight w:val="0"/>
                  <w:marTop w:val="0"/>
                  <w:marBottom w:val="0"/>
                  <w:divBdr>
                    <w:top w:val="none" w:sz="0" w:space="0" w:color="auto"/>
                    <w:left w:val="none" w:sz="0" w:space="0" w:color="auto"/>
                    <w:bottom w:val="none" w:sz="0" w:space="0" w:color="auto"/>
                    <w:right w:val="none" w:sz="0" w:space="0" w:color="auto"/>
                  </w:divBdr>
                </w:div>
              </w:divsChild>
            </w:div>
            <w:div w:id="1907034100">
              <w:marLeft w:val="0"/>
              <w:marRight w:val="0"/>
              <w:marTop w:val="0"/>
              <w:marBottom w:val="0"/>
              <w:divBdr>
                <w:top w:val="none" w:sz="0" w:space="0" w:color="auto"/>
                <w:left w:val="none" w:sz="0" w:space="0" w:color="auto"/>
                <w:bottom w:val="none" w:sz="0" w:space="0" w:color="auto"/>
                <w:right w:val="none" w:sz="0" w:space="0" w:color="auto"/>
              </w:divBdr>
              <w:divsChild>
                <w:div w:id="1035545409">
                  <w:marLeft w:val="0"/>
                  <w:marRight w:val="0"/>
                  <w:marTop w:val="0"/>
                  <w:marBottom w:val="0"/>
                  <w:divBdr>
                    <w:top w:val="none" w:sz="0" w:space="0" w:color="auto"/>
                    <w:left w:val="none" w:sz="0" w:space="0" w:color="auto"/>
                    <w:bottom w:val="none" w:sz="0" w:space="0" w:color="auto"/>
                    <w:right w:val="none" w:sz="0" w:space="0" w:color="auto"/>
                  </w:divBdr>
                </w:div>
              </w:divsChild>
            </w:div>
            <w:div w:id="1913467036">
              <w:marLeft w:val="0"/>
              <w:marRight w:val="0"/>
              <w:marTop w:val="0"/>
              <w:marBottom w:val="0"/>
              <w:divBdr>
                <w:top w:val="none" w:sz="0" w:space="0" w:color="auto"/>
                <w:left w:val="none" w:sz="0" w:space="0" w:color="auto"/>
                <w:bottom w:val="none" w:sz="0" w:space="0" w:color="auto"/>
                <w:right w:val="none" w:sz="0" w:space="0" w:color="auto"/>
              </w:divBdr>
              <w:divsChild>
                <w:div w:id="193541237">
                  <w:marLeft w:val="0"/>
                  <w:marRight w:val="0"/>
                  <w:marTop w:val="0"/>
                  <w:marBottom w:val="0"/>
                  <w:divBdr>
                    <w:top w:val="none" w:sz="0" w:space="0" w:color="auto"/>
                    <w:left w:val="none" w:sz="0" w:space="0" w:color="auto"/>
                    <w:bottom w:val="none" w:sz="0" w:space="0" w:color="auto"/>
                    <w:right w:val="none" w:sz="0" w:space="0" w:color="auto"/>
                  </w:divBdr>
                </w:div>
              </w:divsChild>
            </w:div>
            <w:div w:id="1987855324">
              <w:marLeft w:val="0"/>
              <w:marRight w:val="0"/>
              <w:marTop w:val="0"/>
              <w:marBottom w:val="0"/>
              <w:divBdr>
                <w:top w:val="none" w:sz="0" w:space="0" w:color="auto"/>
                <w:left w:val="none" w:sz="0" w:space="0" w:color="auto"/>
                <w:bottom w:val="none" w:sz="0" w:space="0" w:color="auto"/>
                <w:right w:val="none" w:sz="0" w:space="0" w:color="auto"/>
              </w:divBdr>
              <w:divsChild>
                <w:div w:id="319576083">
                  <w:marLeft w:val="0"/>
                  <w:marRight w:val="0"/>
                  <w:marTop w:val="0"/>
                  <w:marBottom w:val="0"/>
                  <w:divBdr>
                    <w:top w:val="none" w:sz="0" w:space="0" w:color="auto"/>
                    <w:left w:val="none" w:sz="0" w:space="0" w:color="auto"/>
                    <w:bottom w:val="none" w:sz="0" w:space="0" w:color="auto"/>
                    <w:right w:val="none" w:sz="0" w:space="0" w:color="auto"/>
                  </w:divBdr>
                </w:div>
              </w:divsChild>
            </w:div>
            <w:div w:id="2078821133">
              <w:marLeft w:val="0"/>
              <w:marRight w:val="0"/>
              <w:marTop w:val="0"/>
              <w:marBottom w:val="0"/>
              <w:divBdr>
                <w:top w:val="none" w:sz="0" w:space="0" w:color="auto"/>
                <w:left w:val="none" w:sz="0" w:space="0" w:color="auto"/>
                <w:bottom w:val="none" w:sz="0" w:space="0" w:color="auto"/>
                <w:right w:val="none" w:sz="0" w:space="0" w:color="auto"/>
              </w:divBdr>
              <w:divsChild>
                <w:div w:id="237055946">
                  <w:marLeft w:val="0"/>
                  <w:marRight w:val="0"/>
                  <w:marTop w:val="0"/>
                  <w:marBottom w:val="0"/>
                  <w:divBdr>
                    <w:top w:val="none" w:sz="0" w:space="0" w:color="auto"/>
                    <w:left w:val="none" w:sz="0" w:space="0" w:color="auto"/>
                    <w:bottom w:val="none" w:sz="0" w:space="0" w:color="auto"/>
                    <w:right w:val="none" w:sz="0" w:space="0" w:color="auto"/>
                  </w:divBdr>
                </w:div>
              </w:divsChild>
            </w:div>
            <w:div w:id="2086678889">
              <w:marLeft w:val="0"/>
              <w:marRight w:val="0"/>
              <w:marTop w:val="0"/>
              <w:marBottom w:val="0"/>
              <w:divBdr>
                <w:top w:val="none" w:sz="0" w:space="0" w:color="auto"/>
                <w:left w:val="none" w:sz="0" w:space="0" w:color="auto"/>
                <w:bottom w:val="none" w:sz="0" w:space="0" w:color="auto"/>
                <w:right w:val="none" w:sz="0" w:space="0" w:color="auto"/>
              </w:divBdr>
              <w:divsChild>
                <w:div w:id="452284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617563">
          <w:marLeft w:val="0"/>
          <w:marRight w:val="0"/>
          <w:marTop w:val="30"/>
          <w:marBottom w:val="30"/>
          <w:divBdr>
            <w:top w:val="none" w:sz="0" w:space="0" w:color="auto"/>
            <w:left w:val="none" w:sz="0" w:space="0" w:color="auto"/>
            <w:bottom w:val="none" w:sz="0" w:space="0" w:color="auto"/>
            <w:right w:val="none" w:sz="0" w:space="0" w:color="auto"/>
          </w:divBdr>
          <w:divsChild>
            <w:div w:id="16204654">
              <w:marLeft w:val="0"/>
              <w:marRight w:val="0"/>
              <w:marTop w:val="0"/>
              <w:marBottom w:val="0"/>
              <w:divBdr>
                <w:top w:val="none" w:sz="0" w:space="0" w:color="auto"/>
                <w:left w:val="none" w:sz="0" w:space="0" w:color="auto"/>
                <w:bottom w:val="none" w:sz="0" w:space="0" w:color="auto"/>
                <w:right w:val="none" w:sz="0" w:space="0" w:color="auto"/>
              </w:divBdr>
              <w:divsChild>
                <w:div w:id="467284495">
                  <w:marLeft w:val="0"/>
                  <w:marRight w:val="0"/>
                  <w:marTop w:val="0"/>
                  <w:marBottom w:val="0"/>
                  <w:divBdr>
                    <w:top w:val="none" w:sz="0" w:space="0" w:color="auto"/>
                    <w:left w:val="none" w:sz="0" w:space="0" w:color="auto"/>
                    <w:bottom w:val="none" w:sz="0" w:space="0" w:color="auto"/>
                    <w:right w:val="none" w:sz="0" w:space="0" w:color="auto"/>
                  </w:divBdr>
                </w:div>
              </w:divsChild>
            </w:div>
            <w:div w:id="131676886">
              <w:marLeft w:val="0"/>
              <w:marRight w:val="0"/>
              <w:marTop w:val="0"/>
              <w:marBottom w:val="0"/>
              <w:divBdr>
                <w:top w:val="none" w:sz="0" w:space="0" w:color="auto"/>
                <w:left w:val="none" w:sz="0" w:space="0" w:color="auto"/>
                <w:bottom w:val="none" w:sz="0" w:space="0" w:color="auto"/>
                <w:right w:val="none" w:sz="0" w:space="0" w:color="auto"/>
              </w:divBdr>
              <w:divsChild>
                <w:div w:id="862674300">
                  <w:marLeft w:val="0"/>
                  <w:marRight w:val="0"/>
                  <w:marTop w:val="0"/>
                  <w:marBottom w:val="0"/>
                  <w:divBdr>
                    <w:top w:val="none" w:sz="0" w:space="0" w:color="auto"/>
                    <w:left w:val="none" w:sz="0" w:space="0" w:color="auto"/>
                    <w:bottom w:val="none" w:sz="0" w:space="0" w:color="auto"/>
                    <w:right w:val="none" w:sz="0" w:space="0" w:color="auto"/>
                  </w:divBdr>
                </w:div>
              </w:divsChild>
            </w:div>
            <w:div w:id="187909909">
              <w:marLeft w:val="0"/>
              <w:marRight w:val="0"/>
              <w:marTop w:val="0"/>
              <w:marBottom w:val="0"/>
              <w:divBdr>
                <w:top w:val="none" w:sz="0" w:space="0" w:color="auto"/>
                <w:left w:val="none" w:sz="0" w:space="0" w:color="auto"/>
                <w:bottom w:val="none" w:sz="0" w:space="0" w:color="auto"/>
                <w:right w:val="none" w:sz="0" w:space="0" w:color="auto"/>
              </w:divBdr>
              <w:divsChild>
                <w:div w:id="157620272">
                  <w:marLeft w:val="0"/>
                  <w:marRight w:val="0"/>
                  <w:marTop w:val="0"/>
                  <w:marBottom w:val="0"/>
                  <w:divBdr>
                    <w:top w:val="none" w:sz="0" w:space="0" w:color="auto"/>
                    <w:left w:val="none" w:sz="0" w:space="0" w:color="auto"/>
                    <w:bottom w:val="none" w:sz="0" w:space="0" w:color="auto"/>
                    <w:right w:val="none" w:sz="0" w:space="0" w:color="auto"/>
                  </w:divBdr>
                </w:div>
              </w:divsChild>
            </w:div>
            <w:div w:id="196505423">
              <w:marLeft w:val="0"/>
              <w:marRight w:val="0"/>
              <w:marTop w:val="0"/>
              <w:marBottom w:val="0"/>
              <w:divBdr>
                <w:top w:val="none" w:sz="0" w:space="0" w:color="auto"/>
                <w:left w:val="none" w:sz="0" w:space="0" w:color="auto"/>
                <w:bottom w:val="none" w:sz="0" w:space="0" w:color="auto"/>
                <w:right w:val="none" w:sz="0" w:space="0" w:color="auto"/>
              </w:divBdr>
              <w:divsChild>
                <w:div w:id="1347754012">
                  <w:marLeft w:val="0"/>
                  <w:marRight w:val="0"/>
                  <w:marTop w:val="0"/>
                  <w:marBottom w:val="0"/>
                  <w:divBdr>
                    <w:top w:val="none" w:sz="0" w:space="0" w:color="auto"/>
                    <w:left w:val="none" w:sz="0" w:space="0" w:color="auto"/>
                    <w:bottom w:val="none" w:sz="0" w:space="0" w:color="auto"/>
                    <w:right w:val="none" w:sz="0" w:space="0" w:color="auto"/>
                  </w:divBdr>
                </w:div>
              </w:divsChild>
            </w:div>
            <w:div w:id="199633153">
              <w:marLeft w:val="0"/>
              <w:marRight w:val="0"/>
              <w:marTop w:val="0"/>
              <w:marBottom w:val="0"/>
              <w:divBdr>
                <w:top w:val="none" w:sz="0" w:space="0" w:color="auto"/>
                <w:left w:val="none" w:sz="0" w:space="0" w:color="auto"/>
                <w:bottom w:val="none" w:sz="0" w:space="0" w:color="auto"/>
                <w:right w:val="none" w:sz="0" w:space="0" w:color="auto"/>
              </w:divBdr>
              <w:divsChild>
                <w:div w:id="1985621429">
                  <w:marLeft w:val="0"/>
                  <w:marRight w:val="0"/>
                  <w:marTop w:val="0"/>
                  <w:marBottom w:val="0"/>
                  <w:divBdr>
                    <w:top w:val="none" w:sz="0" w:space="0" w:color="auto"/>
                    <w:left w:val="none" w:sz="0" w:space="0" w:color="auto"/>
                    <w:bottom w:val="none" w:sz="0" w:space="0" w:color="auto"/>
                    <w:right w:val="none" w:sz="0" w:space="0" w:color="auto"/>
                  </w:divBdr>
                </w:div>
              </w:divsChild>
            </w:div>
            <w:div w:id="253175687">
              <w:marLeft w:val="0"/>
              <w:marRight w:val="0"/>
              <w:marTop w:val="0"/>
              <w:marBottom w:val="0"/>
              <w:divBdr>
                <w:top w:val="none" w:sz="0" w:space="0" w:color="auto"/>
                <w:left w:val="none" w:sz="0" w:space="0" w:color="auto"/>
                <w:bottom w:val="none" w:sz="0" w:space="0" w:color="auto"/>
                <w:right w:val="none" w:sz="0" w:space="0" w:color="auto"/>
              </w:divBdr>
              <w:divsChild>
                <w:div w:id="437453724">
                  <w:marLeft w:val="0"/>
                  <w:marRight w:val="0"/>
                  <w:marTop w:val="0"/>
                  <w:marBottom w:val="0"/>
                  <w:divBdr>
                    <w:top w:val="none" w:sz="0" w:space="0" w:color="auto"/>
                    <w:left w:val="none" w:sz="0" w:space="0" w:color="auto"/>
                    <w:bottom w:val="none" w:sz="0" w:space="0" w:color="auto"/>
                    <w:right w:val="none" w:sz="0" w:space="0" w:color="auto"/>
                  </w:divBdr>
                </w:div>
              </w:divsChild>
            </w:div>
            <w:div w:id="275798790">
              <w:marLeft w:val="0"/>
              <w:marRight w:val="0"/>
              <w:marTop w:val="0"/>
              <w:marBottom w:val="0"/>
              <w:divBdr>
                <w:top w:val="none" w:sz="0" w:space="0" w:color="auto"/>
                <w:left w:val="none" w:sz="0" w:space="0" w:color="auto"/>
                <w:bottom w:val="none" w:sz="0" w:space="0" w:color="auto"/>
                <w:right w:val="none" w:sz="0" w:space="0" w:color="auto"/>
              </w:divBdr>
              <w:divsChild>
                <w:div w:id="373232151">
                  <w:marLeft w:val="0"/>
                  <w:marRight w:val="0"/>
                  <w:marTop w:val="0"/>
                  <w:marBottom w:val="0"/>
                  <w:divBdr>
                    <w:top w:val="none" w:sz="0" w:space="0" w:color="auto"/>
                    <w:left w:val="none" w:sz="0" w:space="0" w:color="auto"/>
                    <w:bottom w:val="none" w:sz="0" w:space="0" w:color="auto"/>
                    <w:right w:val="none" w:sz="0" w:space="0" w:color="auto"/>
                  </w:divBdr>
                </w:div>
              </w:divsChild>
            </w:div>
            <w:div w:id="284433041">
              <w:marLeft w:val="0"/>
              <w:marRight w:val="0"/>
              <w:marTop w:val="0"/>
              <w:marBottom w:val="0"/>
              <w:divBdr>
                <w:top w:val="none" w:sz="0" w:space="0" w:color="auto"/>
                <w:left w:val="none" w:sz="0" w:space="0" w:color="auto"/>
                <w:bottom w:val="none" w:sz="0" w:space="0" w:color="auto"/>
                <w:right w:val="none" w:sz="0" w:space="0" w:color="auto"/>
              </w:divBdr>
              <w:divsChild>
                <w:div w:id="309095495">
                  <w:marLeft w:val="0"/>
                  <w:marRight w:val="0"/>
                  <w:marTop w:val="0"/>
                  <w:marBottom w:val="0"/>
                  <w:divBdr>
                    <w:top w:val="none" w:sz="0" w:space="0" w:color="auto"/>
                    <w:left w:val="none" w:sz="0" w:space="0" w:color="auto"/>
                    <w:bottom w:val="none" w:sz="0" w:space="0" w:color="auto"/>
                    <w:right w:val="none" w:sz="0" w:space="0" w:color="auto"/>
                  </w:divBdr>
                </w:div>
              </w:divsChild>
            </w:div>
            <w:div w:id="290940496">
              <w:marLeft w:val="0"/>
              <w:marRight w:val="0"/>
              <w:marTop w:val="0"/>
              <w:marBottom w:val="0"/>
              <w:divBdr>
                <w:top w:val="none" w:sz="0" w:space="0" w:color="auto"/>
                <w:left w:val="none" w:sz="0" w:space="0" w:color="auto"/>
                <w:bottom w:val="none" w:sz="0" w:space="0" w:color="auto"/>
                <w:right w:val="none" w:sz="0" w:space="0" w:color="auto"/>
              </w:divBdr>
              <w:divsChild>
                <w:div w:id="1942757132">
                  <w:marLeft w:val="0"/>
                  <w:marRight w:val="0"/>
                  <w:marTop w:val="0"/>
                  <w:marBottom w:val="0"/>
                  <w:divBdr>
                    <w:top w:val="none" w:sz="0" w:space="0" w:color="auto"/>
                    <w:left w:val="none" w:sz="0" w:space="0" w:color="auto"/>
                    <w:bottom w:val="none" w:sz="0" w:space="0" w:color="auto"/>
                    <w:right w:val="none" w:sz="0" w:space="0" w:color="auto"/>
                  </w:divBdr>
                </w:div>
              </w:divsChild>
            </w:div>
            <w:div w:id="317198084">
              <w:marLeft w:val="0"/>
              <w:marRight w:val="0"/>
              <w:marTop w:val="0"/>
              <w:marBottom w:val="0"/>
              <w:divBdr>
                <w:top w:val="none" w:sz="0" w:space="0" w:color="auto"/>
                <w:left w:val="none" w:sz="0" w:space="0" w:color="auto"/>
                <w:bottom w:val="none" w:sz="0" w:space="0" w:color="auto"/>
                <w:right w:val="none" w:sz="0" w:space="0" w:color="auto"/>
              </w:divBdr>
              <w:divsChild>
                <w:div w:id="518355266">
                  <w:marLeft w:val="0"/>
                  <w:marRight w:val="0"/>
                  <w:marTop w:val="0"/>
                  <w:marBottom w:val="0"/>
                  <w:divBdr>
                    <w:top w:val="none" w:sz="0" w:space="0" w:color="auto"/>
                    <w:left w:val="none" w:sz="0" w:space="0" w:color="auto"/>
                    <w:bottom w:val="none" w:sz="0" w:space="0" w:color="auto"/>
                    <w:right w:val="none" w:sz="0" w:space="0" w:color="auto"/>
                  </w:divBdr>
                </w:div>
              </w:divsChild>
            </w:div>
            <w:div w:id="447773042">
              <w:marLeft w:val="0"/>
              <w:marRight w:val="0"/>
              <w:marTop w:val="0"/>
              <w:marBottom w:val="0"/>
              <w:divBdr>
                <w:top w:val="none" w:sz="0" w:space="0" w:color="auto"/>
                <w:left w:val="none" w:sz="0" w:space="0" w:color="auto"/>
                <w:bottom w:val="none" w:sz="0" w:space="0" w:color="auto"/>
                <w:right w:val="none" w:sz="0" w:space="0" w:color="auto"/>
              </w:divBdr>
              <w:divsChild>
                <w:div w:id="965620914">
                  <w:marLeft w:val="0"/>
                  <w:marRight w:val="0"/>
                  <w:marTop w:val="0"/>
                  <w:marBottom w:val="0"/>
                  <w:divBdr>
                    <w:top w:val="none" w:sz="0" w:space="0" w:color="auto"/>
                    <w:left w:val="none" w:sz="0" w:space="0" w:color="auto"/>
                    <w:bottom w:val="none" w:sz="0" w:space="0" w:color="auto"/>
                    <w:right w:val="none" w:sz="0" w:space="0" w:color="auto"/>
                  </w:divBdr>
                </w:div>
              </w:divsChild>
            </w:div>
            <w:div w:id="515660798">
              <w:marLeft w:val="0"/>
              <w:marRight w:val="0"/>
              <w:marTop w:val="0"/>
              <w:marBottom w:val="0"/>
              <w:divBdr>
                <w:top w:val="none" w:sz="0" w:space="0" w:color="auto"/>
                <w:left w:val="none" w:sz="0" w:space="0" w:color="auto"/>
                <w:bottom w:val="none" w:sz="0" w:space="0" w:color="auto"/>
                <w:right w:val="none" w:sz="0" w:space="0" w:color="auto"/>
              </w:divBdr>
              <w:divsChild>
                <w:div w:id="1268267053">
                  <w:marLeft w:val="0"/>
                  <w:marRight w:val="0"/>
                  <w:marTop w:val="0"/>
                  <w:marBottom w:val="0"/>
                  <w:divBdr>
                    <w:top w:val="none" w:sz="0" w:space="0" w:color="auto"/>
                    <w:left w:val="none" w:sz="0" w:space="0" w:color="auto"/>
                    <w:bottom w:val="none" w:sz="0" w:space="0" w:color="auto"/>
                    <w:right w:val="none" w:sz="0" w:space="0" w:color="auto"/>
                  </w:divBdr>
                </w:div>
              </w:divsChild>
            </w:div>
            <w:div w:id="523255112">
              <w:marLeft w:val="0"/>
              <w:marRight w:val="0"/>
              <w:marTop w:val="0"/>
              <w:marBottom w:val="0"/>
              <w:divBdr>
                <w:top w:val="none" w:sz="0" w:space="0" w:color="auto"/>
                <w:left w:val="none" w:sz="0" w:space="0" w:color="auto"/>
                <w:bottom w:val="none" w:sz="0" w:space="0" w:color="auto"/>
                <w:right w:val="none" w:sz="0" w:space="0" w:color="auto"/>
              </w:divBdr>
              <w:divsChild>
                <w:div w:id="717555620">
                  <w:marLeft w:val="0"/>
                  <w:marRight w:val="0"/>
                  <w:marTop w:val="0"/>
                  <w:marBottom w:val="0"/>
                  <w:divBdr>
                    <w:top w:val="none" w:sz="0" w:space="0" w:color="auto"/>
                    <w:left w:val="none" w:sz="0" w:space="0" w:color="auto"/>
                    <w:bottom w:val="none" w:sz="0" w:space="0" w:color="auto"/>
                    <w:right w:val="none" w:sz="0" w:space="0" w:color="auto"/>
                  </w:divBdr>
                </w:div>
              </w:divsChild>
            </w:div>
            <w:div w:id="525680191">
              <w:marLeft w:val="0"/>
              <w:marRight w:val="0"/>
              <w:marTop w:val="0"/>
              <w:marBottom w:val="0"/>
              <w:divBdr>
                <w:top w:val="none" w:sz="0" w:space="0" w:color="auto"/>
                <w:left w:val="none" w:sz="0" w:space="0" w:color="auto"/>
                <w:bottom w:val="none" w:sz="0" w:space="0" w:color="auto"/>
                <w:right w:val="none" w:sz="0" w:space="0" w:color="auto"/>
              </w:divBdr>
              <w:divsChild>
                <w:div w:id="1744254116">
                  <w:marLeft w:val="0"/>
                  <w:marRight w:val="0"/>
                  <w:marTop w:val="0"/>
                  <w:marBottom w:val="0"/>
                  <w:divBdr>
                    <w:top w:val="none" w:sz="0" w:space="0" w:color="auto"/>
                    <w:left w:val="none" w:sz="0" w:space="0" w:color="auto"/>
                    <w:bottom w:val="none" w:sz="0" w:space="0" w:color="auto"/>
                    <w:right w:val="none" w:sz="0" w:space="0" w:color="auto"/>
                  </w:divBdr>
                </w:div>
              </w:divsChild>
            </w:div>
            <w:div w:id="531193746">
              <w:marLeft w:val="0"/>
              <w:marRight w:val="0"/>
              <w:marTop w:val="0"/>
              <w:marBottom w:val="0"/>
              <w:divBdr>
                <w:top w:val="none" w:sz="0" w:space="0" w:color="auto"/>
                <w:left w:val="none" w:sz="0" w:space="0" w:color="auto"/>
                <w:bottom w:val="none" w:sz="0" w:space="0" w:color="auto"/>
                <w:right w:val="none" w:sz="0" w:space="0" w:color="auto"/>
              </w:divBdr>
              <w:divsChild>
                <w:div w:id="1815753479">
                  <w:marLeft w:val="0"/>
                  <w:marRight w:val="0"/>
                  <w:marTop w:val="0"/>
                  <w:marBottom w:val="0"/>
                  <w:divBdr>
                    <w:top w:val="none" w:sz="0" w:space="0" w:color="auto"/>
                    <w:left w:val="none" w:sz="0" w:space="0" w:color="auto"/>
                    <w:bottom w:val="none" w:sz="0" w:space="0" w:color="auto"/>
                    <w:right w:val="none" w:sz="0" w:space="0" w:color="auto"/>
                  </w:divBdr>
                </w:div>
              </w:divsChild>
            </w:div>
            <w:div w:id="590771351">
              <w:marLeft w:val="0"/>
              <w:marRight w:val="0"/>
              <w:marTop w:val="0"/>
              <w:marBottom w:val="0"/>
              <w:divBdr>
                <w:top w:val="none" w:sz="0" w:space="0" w:color="auto"/>
                <w:left w:val="none" w:sz="0" w:space="0" w:color="auto"/>
                <w:bottom w:val="none" w:sz="0" w:space="0" w:color="auto"/>
                <w:right w:val="none" w:sz="0" w:space="0" w:color="auto"/>
              </w:divBdr>
              <w:divsChild>
                <w:div w:id="742489504">
                  <w:marLeft w:val="0"/>
                  <w:marRight w:val="0"/>
                  <w:marTop w:val="0"/>
                  <w:marBottom w:val="0"/>
                  <w:divBdr>
                    <w:top w:val="none" w:sz="0" w:space="0" w:color="auto"/>
                    <w:left w:val="none" w:sz="0" w:space="0" w:color="auto"/>
                    <w:bottom w:val="none" w:sz="0" w:space="0" w:color="auto"/>
                    <w:right w:val="none" w:sz="0" w:space="0" w:color="auto"/>
                  </w:divBdr>
                </w:div>
              </w:divsChild>
            </w:div>
            <w:div w:id="639926099">
              <w:marLeft w:val="0"/>
              <w:marRight w:val="0"/>
              <w:marTop w:val="0"/>
              <w:marBottom w:val="0"/>
              <w:divBdr>
                <w:top w:val="none" w:sz="0" w:space="0" w:color="auto"/>
                <w:left w:val="none" w:sz="0" w:space="0" w:color="auto"/>
                <w:bottom w:val="none" w:sz="0" w:space="0" w:color="auto"/>
                <w:right w:val="none" w:sz="0" w:space="0" w:color="auto"/>
              </w:divBdr>
              <w:divsChild>
                <w:div w:id="1920406984">
                  <w:marLeft w:val="0"/>
                  <w:marRight w:val="0"/>
                  <w:marTop w:val="0"/>
                  <w:marBottom w:val="0"/>
                  <w:divBdr>
                    <w:top w:val="none" w:sz="0" w:space="0" w:color="auto"/>
                    <w:left w:val="none" w:sz="0" w:space="0" w:color="auto"/>
                    <w:bottom w:val="none" w:sz="0" w:space="0" w:color="auto"/>
                    <w:right w:val="none" w:sz="0" w:space="0" w:color="auto"/>
                  </w:divBdr>
                </w:div>
              </w:divsChild>
            </w:div>
            <w:div w:id="675423915">
              <w:marLeft w:val="0"/>
              <w:marRight w:val="0"/>
              <w:marTop w:val="0"/>
              <w:marBottom w:val="0"/>
              <w:divBdr>
                <w:top w:val="none" w:sz="0" w:space="0" w:color="auto"/>
                <w:left w:val="none" w:sz="0" w:space="0" w:color="auto"/>
                <w:bottom w:val="none" w:sz="0" w:space="0" w:color="auto"/>
                <w:right w:val="none" w:sz="0" w:space="0" w:color="auto"/>
              </w:divBdr>
              <w:divsChild>
                <w:div w:id="1648702318">
                  <w:marLeft w:val="0"/>
                  <w:marRight w:val="0"/>
                  <w:marTop w:val="0"/>
                  <w:marBottom w:val="0"/>
                  <w:divBdr>
                    <w:top w:val="none" w:sz="0" w:space="0" w:color="auto"/>
                    <w:left w:val="none" w:sz="0" w:space="0" w:color="auto"/>
                    <w:bottom w:val="none" w:sz="0" w:space="0" w:color="auto"/>
                    <w:right w:val="none" w:sz="0" w:space="0" w:color="auto"/>
                  </w:divBdr>
                </w:div>
              </w:divsChild>
            </w:div>
            <w:div w:id="698897114">
              <w:marLeft w:val="0"/>
              <w:marRight w:val="0"/>
              <w:marTop w:val="0"/>
              <w:marBottom w:val="0"/>
              <w:divBdr>
                <w:top w:val="none" w:sz="0" w:space="0" w:color="auto"/>
                <w:left w:val="none" w:sz="0" w:space="0" w:color="auto"/>
                <w:bottom w:val="none" w:sz="0" w:space="0" w:color="auto"/>
                <w:right w:val="none" w:sz="0" w:space="0" w:color="auto"/>
              </w:divBdr>
              <w:divsChild>
                <w:div w:id="811678642">
                  <w:marLeft w:val="0"/>
                  <w:marRight w:val="0"/>
                  <w:marTop w:val="0"/>
                  <w:marBottom w:val="0"/>
                  <w:divBdr>
                    <w:top w:val="none" w:sz="0" w:space="0" w:color="auto"/>
                    <w:left w:val="none" w:sz="0" w:space="0" w:color="auto"/>
                    <w:bottom w:val="none" w:sz="0" w:space="0" w:color="auto"/>
                    <w:right w:val="none" w:sz="0" w:space="0" w:color="auto"/>
                  </w:divBdr>
                </w:div>
              </w:divsChild>
            </w:div>
            <w:div w:id="823008423">
              <w:marLeft w:val="0"/>
              <w:marRight w:val="0"/>
              <w:marTop w:val="0"/>
              <w:marBottom w:val="0"/>
              <w:divBdr>
                <w:top w:val="none" w:sz="0" w:space="0" w:color="auto"/>
                <w:left w:val="none" w:sz="0" w:space="0" w:color="auto"/>
                <w:bottom w:val="none" w:sz="0" w:space="0" w:color="auto"/>
                <w:right w:val="none" w:sz="0" w:space="0" w:color="auto"/>
              </w:divBdr>
              <w:divsChild>
                <w:div w:id="660163691">
                  <w:marLeft w:val="0"/>
                  <w:marRight w:val="0"/>
                  <w:marTop w:val="0"/>
                  <w:marBottom w:val="0"/>
                  <w:divBdr>
                    <w:top w:val="none" w:sz="0" w:space="0" w:color="auto"/>
                    <w:left w:val="none" w:sz="0" w:space="0" w:color="auto"/>
                    <w:bottom w:val="none" w:sz="0" w:space="0" w:color="auto"/>
                    <w:right w:val="none" w:sz="0" w:space="0" w:color="auto"/>
                  </w:divBdr>
                </w:div>
              </w:divsChild>
            </w:div>
            <w:div w:id="971249553">
              <w:marLeft w:val="0"/>
              <w:marRight w:val="0"/>
              <w:marTop w:val="0"/>
              <w:marBottom w:val="0"/>
              <w:divBdr>
                <w:top w:val="none" w:sz="0" w:space="0" w:color="auto"/>
                <w:left w:val="none" w:sz="0" w:space="0" w:color="auto"/>
                <w:bottom w:val="none" w:sz="0" w:space="0" w:color="auto"/>
                <w:right w:val="none" w:sz="0" w:space="0" w:color="auto"/>
              </w:divBdr>
              <w:divsChild>
                <w:div w:id="212038008">
                  <w:marLeft w:val="0"/>
                  <w:marRight w:val="0"/>
                  <w:marTop w:val="0"/>
                  <w:marBottom w:val="0"/>
                  <w:divBdr>
                    <w:top w:val="none" w:sz="0" w:space="0" w:color="auto"/>
                    <w:left w:val="none" w:sz="0" w:space="0" w:color="auto"/>
                    <w:bottom w:val="none" w:sz="0" w:space="0" w:color="auto"/>
                    <w:right w:val="none" w:sz="0" w:space="0" w:color="auto"/>
                  </w:divBdr>
                </w:div>
              </w:divsChild>
            </w:div>
            <w:div w:id="1072655148">
              <w:marLeft w:val="0"/>
              <w:marRight w:val="0"/>
              <w:marTop w:val="0"/>
              <w:marBottom w:val="0"/>
              <w:divBdr>
                <w:top w:val="none" w:sz="0" w:space="0" w:color="auto"/>
                <w:left w:val="none" w:sz="0" w:space="0" w:color="auto"/>
                <w:bottom w:val="none" w:sz="0" w:space="0" w:color="auto"/>
                <w:right w:val="none" w:sz="0" w:space="0" w:color="auto"/>
              </w:divBdr>
              <w:divsChild>
                <w:div w:id="880283807">
                  <w:marLeft w:val="0"/>
                  <w:marRight w:val="0"/>
                  <w:marTop w:val="0"/>
                  <w:marBottom w:val="0"/>
                  <w:divBdr>
                    <w:top w:val="none" w:sz="0" w:space="0" w:color="auto"/>
                    <w:left w:val="none" w:sz="0" w:space="0" w:color="auto"/>
                    <w:bottom w:val="none" w:sz="0" w:space="0" w:color="auto"/>
                    <w:right w:val="none" w:sz="0" w:space="0" w:color="auto"/>
                  </w:divBdr>
                </w:div>
              </w:divsChild>
            </w:div>
            <w:div w:id="1147239079">
              <w:marLeft w:val="0"/>
              <w:marRight w:val="0"/>
              <w:marTop w:val="0"/>
              <w:marBottom w:val="0"/>
              <w:divBdr>
                <w:top w:val="none" w:sz="0" w:space="0" w:color="auto"/>
                <w:left w:val="none" w:sz="0" w:space="0" w:color="auto"/>
                <w:bottom w:val="none" w:sz="0" w:space="0" w:color="auto"/>
                <w:right w:val="none" w:sz="0" w:space="0" w:color="auto"/>
              </w:divBdr>
              <w:divsChild>
                <w:div w:id="755176244">
                  <w:marLeft w:val="0"/>
                  <w:marRight w:val="0"/>
                  <w:marTop w:val="0"/>
                  <w:marBottom w:val="0"/>
                  <w:divBdr>
                    <w:top w:val="none" w:sz="0" w:space="0" w:color="auto"/>
                    <w:left w:val="none" w:sz="0" w:space="0" w:color="auto"/>
                    <w:bottom w:val="none" w:sz="0" w:space="0" w:color="auto"/>
                    <w:right w:val="none" w:sz="0" w:space="0" w:color="auto"/>
                  </w:divBdr>
                </w:div>
              </w:divsChild>
            </w:div>
            <w:div w:id="1161315943">
              <w:marLeft w:val="0"/>
              <w:marRight w:val="0"/>
              <w:marTop w:val="0"/>
              <w:marBottom w:val="0"/>
              <w:divBdr>
                <w:top w:val="none" w:sz="0" w:space="0" w:color="auto"/>
                <w:left w:val="none" w:sz="0" w:space="0" w:color="auto"/>
                <w:bottom w:val="none" w:sz="0" w:space="0" w:color="auto"/>
                <w:right w:val="none" w:sz="0" w:space="0" w:color="auto"/>
              </w:divBdr>
              <w:divsChild>
                <w:div w:id="1392731058">
                  <w:marLeft w:val="0"/>
                  <w:marRight w:val="0"/>
                  <w:marTop w:val="0"/>
                  <w:marBottom w:val="0"/>
                  <w:divBdr>
                    <w:top w:val="none" w:sz="0" w:space="0" w:color="auto"/>
                    <w:left w:val="none" w:sz="0" w:space="0" w:color="auto"/>
                    <w:bottom w:val="none" w:sz="0" w:space="0" w:color="auto"/>
                    <w:right w:val="none" w:sz="0" w:space="0" w:color="auto"/>
                  </w:divBdr>
                </w:div>
              </w:divsChild>
            </w:div>
            <w:div w:id="1255360935">
              <w:marLeft w:val="0"/>
              <w:marRight w:val="0"/>
              <w:marTop w:val="0"/>
              <w:marBottom w:val="0"/>
              <w:divBdr>
                <w:top w:val="none" w:sz="0" w:space="0" w:color="auto"/>
                <w:left w:val="none" w:sz="0" w:space="0" w:color="auto"/>
                <w:bottom w:val="none" w:sz="0" w:space="0" w:color="auto"/>
                <w:right w:val="none" w:sz="0" w:space="0" w:color="auto"/>
              </w:divBdr>
              <w:divsChild>
                <w:div w:id="1114714184">
                  <w:marLeft w:val="0"/>
                  <w:marRight w:val="0"/>
                  <w:marTop w:val="0"/>
                  <w:marBottom w:val="0"/>
                  <w:divBdr>
                    <w:top w:val="none" w:sz="0" w:space="0" w:color="auto"/>
                    <w:left w:val="none" w:sz="0" w:space="0" w:color="auto"/>
                    <w:bottom w:val="none" w:sz="0" w:space="0" w:color="auto"/>
                    <w:right w:val="none" w:sz="0" w:space="0" w:color="auto"/>
                  </w:divBdr>
                </w:div>
              </w:divsChild>
            </w:div>
            <w:div w:id="1267495308">
              <w:marLeft w:val="0"/>
              <w:marRight w:val="0"/>
              <w:marTop w:val="0"/>
              <w:marBottom w:val="0"/>
              <w:divBdr>
                <w:top w:val="none" w:sz="0" w:space="0" w:color="auto"/>
                <w:left w:val="none" w:sz="0" w:space="0" w:color="auto"/>
                <w:bottom w:val="none" w:sz="0" w:space="0" w:color="auto"/>
                <w:right w:val="none" w:sz="0" w:space="0" w:color="auto"/>
              </w:divBdr>
              <w:divsChild>
                <w:div w:id="996692406">
                  <w:marLeft w:val="0"/>
                  <w:marRight w:val="0"/>
                  <w:marTop w:val="0"/>
                  <w:marBottom w:val="0"/>
                  <w:divBdr>
                    <w:top w:val="none" w:sz="0" w:space="0" w:color="auto"/>
                    <w:left w:val="none" w:sz="0" w:space="0" w:color="auto"/>
                    <w:bottom w:val="none" w:sz="0" w:space="0" w:color="auto"/>
                    <w:right w:val="none" w:sz="0" w:space="0" w:color="auto"/>
                  </w:divBdr>
                </w:div>
              </w:divsChild>
            </w:div>
            <w:div w:id="1273898294">
              <w:marLeft w:val="0"/>
              <w:marRight w:val="0"/>
              <w:marTop w:val="0"/>
              <w:marBottom w:val="0"/>
              <w:divBdr>
                <w:top w:val="none" w:sz="0" w:space="0" w:color="auto"/>
                <w:left w:val="none" w:sz="0" w:space="0" w:color="auto"/>
                <w:bottom w:val="none" w:sz="0" w:space="0" w:color="auto"/>
                <w:right w:val="none" w:sz="0" w:space="0" w:color="auto"/>
              </w:divBdr>
              <w:divsChild>
                <w:div w:id="943003651">
                  <w:marLeft w:val="0"/>
                  <w:marRight w:val="0"/>
                  <w:marTop w:val="0"/>
                  <w:marBottom w:val="0"/>
                  <w:divBdr>
                    <w:top w:val="none" w:sz="0" w:space="0" w:color="auto"/>
                    <w:left w:val="none" w:sz="0" w:space="0" w:color="auto"/>
                    <w:bottom w:val="none" w:sz="0" w:space="0" w:color="auto"/>
                    <w:right w:val="none" w:sz="0" w:space="0" w:color="auto"/>
                  </w:divBdr>
                </w:div>
              </w:divsChild>
            </w:div>
            <w:div w:id="1289817520">
              <w:marLeft w:val="0"/>
              <w:marRight w:val="0"/>
              <w:marTop w:val="0"/>
              <w:marBottom w:val="0"/>
              <w:divBdr>
                <w:top w:val="none" w:sz="0" w:space="0" w:color="auto"/>
                <w:left w:val="none" w:sz="0" w:space="0" w:color="auto"/>
                <w:bottom w:val="none" w:sz="0" w:space="0" w:color="auto"/>
                <w:right w:val="none" w:sz="0" w:space="0" w:color="auto"/>
              </w:divBdr>
              <w:divsChild>
                <w:div w:id="1800492904">
                  <w:marLeft w:val="0"/>
                  <w:marRight w:val="0"/>
                  <w:marTop w:val="0"/>
                  <w:marBottom w:val="0"/>
                  <w:divBdr>
                    <w:top w:val="none" w:sz="0" w:space="0" w:color="auto"/>
                    <w:left w:val="none" w:sz="0" w:space="0" w:color="auto"/>
                    <w:bottom w:val="none" w:sz="0" w:space="0" w:color="auto"/>
                    <w:right w:val="none" w:sz="0" w:space="0" w:color="auto"/>
                  </w:divBdr>
                </w:div>
              </w:divsChild>
            </w:div>
            <w:div w:id="1302812176">
              <w:marLeft w:val="0"/>
              <w:marRight w:val="0"/>
              <w:marTop w:val="0"/>
              <w:marBottom w:val="0"/>
              <w:divBdr>
                <w:top w:val="none" w:sz="0" w:space="0" w:color="auto"/>
                <w:left w:val="none" w:sz="0" w:space="0" w:color="auto"/>
                <w:bottom w:val="none" w:sz="0" w:space="0" w:color="auto"/>
                <w:right w:val="none" w:sz="0" w:space="0" w:color="auto"/>
              </w:divBdr>
              <w:divsChild>
                <w:div w:id="771778769">
                  <w:marLeft w:val="0"/>
                  <w:marRight w:val="0"/>
                  <w:marTop w:val="0"/>
                  <w:marBottom w:val="0"/>
                  <w:divBdr>
                    <w:top w:val="none" w:sz="0" w:space="0" w:color="auto"/>
                    <w:left w:val="none" w:sz="0" w:space="0" w:color="auto"/>
                    <w:bottom w:val="none" w:sz="0" w:space="0" w:color="auto"/>
                    <w:right w:val="none" w:sz="0" w:space="0" w:color="auto"/>
                  </w:divBdr>
                </w:div>
              </w:divsChild>
            </w:div>
            <w:div w:id="1379090150">
              <w:marLeft w:val="0"/>
              <w:marRight w:val="0"/>
              <w:marTop w:val="0"/>
              <w:marBottom w:val="0"/>
              <w:divBdr>
                <w:top w:val="none" w:sz="0" w:space="0" w:color="auto"/>
                <w:left w:val="none" w:sz="0" w:space="0" w:color="auto"/>
                <w:bottom w:val="none" w:sz="0" w:space="0" w:color="auto"/>
                <w:right w:val="none" w:sz="0" w:space="0" w:color="auto"/>
              </w:divBdr>
              <w:divsChild>
                <w:div w:id="434249392">
                  <w:marLeft w:val="0"/>
                  <w:marRight w:val="0"/>
                  <w:marTop w:val="0"/>
                  <w:marBottom w:val="0"/>
                  <w:divBdr>
                    <w:top w:val="none" w:sz="0" w:space="0" w:color="auto"/>
                    <w:left w:val="none" w:sz="0" w:space="0" w:color="auto"/>
                    <w:bottom w:val="none" w:sz="0" w:space="0" w:color="auto"/>
                    <w:right w:val="none" w:sz="0" w:space="0" w:color="auto"/>
                  </w:divBdr>
                </w:div>
              </w:divsChild>
            </w:div>
            <w:div w:id="1394308614">
              <w:marLeft w:val="0"/>
              <w:marRight w:val="0"/>
              <w:marTop w:val="0"/>
              <w:marBottom w:val="0"/>
              <w:divBdr>
                <w:top w:val="none" w:sz="0" w:space="0" w:color="auto"/>
                <w:left w:val="none" w:sz="0" w:space="0" w:color="auto"/>
                <w:bottom w:val="none" w:sz="0" w:space="0" w:color="auto"/>
                <w:right w:val="none" w:sz="0" w:space="0" w:color="auto"/>
              </w:divBdr>
              <w:divsChild>
                <w:div w:id="1367680565">
                  <w:marLeft w:val="0"/>
                  <w:marRight w:val="0"/>
                  <w:marTop w:val="0"/>
                  <w:marBottom w:val="0"/>
                  <w:divBdr>
                    <w:top w:val="none" w:sz="0" w:space="0" w:color="auto"/>
                    <w:left w:val="none" w:sz="0" w:space="0" w:color="auto"/>
                    <w:bottom w:val="none" w:sz="0" w:space="0" w:color="auto"/>
                    <w:right w:val="none" w:sz="0" w:space="0" w:color="auto"/>
                  </w:divBdr>
                </w:div>
              </w:divsChild>
            </w:div>
            <w:div w:id="1406953992">
              <w:marLeft w:val="0"/>
              <w:marRight w:val="0"/>
              <w:marTop w:val="0"/>
              <w:marBottom w:val="0"/>
              <w:divBdr>
                <w:top w:val="none" w:sz="0" w:space="0" w:color="auto"/>
                <w:left w:val="none" w:sz="0" w:space="0" w:color="auto"/>
                <w:bottom w:val="none" w:sz="0" w:space="0" w:color="auto"/>
                <w:right w:val="none" w:sz="0" w:space="0" w:color="auto"/>
              </w:divBdr>
              <w:divsChild>
                <w:div w:id="2145271341">
                  <w:marLeft w:val="0"/>
                  <w:marRight w:val="0"/>
                  <w:marTop w:val="0"/>
                  <w:marBottom w:val="0"/>
                  <w:divBdr>
                    <w:top w:val="none" w:sz="0" w:space="0" w:color="auto"/>
                    <w:left w:val="none" w:sz="0" w:space="0" w:color="auto"/>
                    <w:bottom w:val="none" w:sz="0" w:space="0" w:color="auto"/>
                    <w:right w:val="none" w:sz="0" w:space="0" w:color="auto"/>
                  </w:divBdr>
                </w:div>
              </w:divsChild>
            </w:div>
            <w:div w:id="1458914532">
              <w:marLeft w:val="0"/>
              <w:marRight w:val="0"/>
              <w:marTop w:val="0"/>
              <w:marBottom w:val="0"/>
              <w:divBdr>
                <w:top w:val="none" w:sz="0" w:space="0" w:color="auto"/>
                <w:left w:val="none" w:sz="0" w:space="0" w:color="auto"/>
                <w:bottom w:val="none" w:sz="0" w:space="0" w:color="auto"/>
                <w:right w:val="none" w:sz="0" w:space="0" w:color="auto"/>
              </w:divBdr>
              <w:divsChild>
                <w:div w:id="224412095">
                  <w:marLeft w:val="0"/>
                  <w:marRight w:val="0"/>
                  <w:marTop w:val="0"/>
                  <w:marBottom w:val="0"/>
                  <w:divBdr>
                    <w:top w:val="none" w:sz="0" w:space="0" w:color="auto"/>
                    <w:left w:val="none" w:sz="0" w:space="0" w:color="auto"/>
                    <w:bottom w:val="none" w:sz="0" w:space="0" w:color="auto"/>
                    <w:right w:val="none" w:sz="0" w:space="0" w:color="auto"/>
                  </w:divBdr>
                </w:div>
              </w:divsChild>
            </w:div>
            <w:div w:id="1523864246">
              <w:marLeft w:val="0"/>
              <w:marRight w:val="0"/>
              <w:marTop w:val="0"/>
              <w:marBottom w:val="0"/>
              <w:divBdr>
                <w:top w:val="none" w:sz="0" w:space="0" w:color="auto"/>
                <w:left w:val="none" w:sz="0" w:space="0" w:color="auto"/>
                <w:bottom w:val="none" w:sz="0" w:space="0" w:color="auto"/>
                <w:right w:val="none" w:sz="0" w:space="0" w:color="auto"/>
              </w:divBdr>
              <w:divsChild>
                <w:div w:id="57561379">
                  <w:marLeft w:val="0"/>
                  <w:marRight w:val="0"/>
                  <w:marTop w:val="0"/>
                  <w:marBottom w:val="0"/>
                  <w:divBdr>
                    <w:top w:val="none" w:sz="0" w:space="0" w:color="auto"/>
                    <w:left w:val="none" w:sz="0" w:space="0" w:color="auto"/>
                    <w:bottom w:val="none" w:sz="0" w:space="0" w:color="auto"/>
                    <w:right w:val="none" w:sz="0" w:space="0" w:color="auto"/>
                  </w:divBdr>
                </w:div>
              </w:divsChild>
            </w:div>
            <w:div w:id="1533565885">
              <w:marLeft w:val="0"/>
              <w:marRight w:val="0"/>
              <w:marTop w:val="0"/>
              <w:marBottom w:val="0"/>
              <w:divBdr>
                <w:top w:val="none" w:sz="0" w:space="0" w:color="auto"/>
                <w:left w:val="none" w:sz="0" w:space="0" w:color="auto"/>
                <w:bottom w:val="none" w:sz="0" w:space="0" w:color="auto"/>
                <w:right w:val="none" w:sz="0" w:space="0" w:color="auto"/>
              </w:divBdr>
              <w:divsChild>
                <w:div w:id="205411103">
                  <w:marLeft w:val="0"/>
                  <w:marRight w:val="0"/>
                  <w:marTop w:val="0"/>
                  <w:marBottom w:val="0"/>
                  <w:divBdr>
                    <w:top w:val="none" w:sz="0" w:space="0" w:color="auto"/>
                    <w:left w:val="none" w:sz="0" w:space="0" w:color="auto"/>
                    <w:bottom w:val="none" w:sz="0" w:space="0" w:color="auto"/>
                    <w:right w:val="none" w:sz="0" w:space="0" w:color="auto"/>
                  </w:divBdr>
                </w:div>
              </w:divsChild>
            </w:div>
            <w:div w:id="1586960036">
              <w:marLeft w:val="0"/>
              <w:marRight w:val="0"/>
              <w:marTop w:val="0"/>
              <w:marBottom w:val="0"/>
              <w:divBdr>
                <w:top w:val="none" w:sz="0" w:space="0" w:color="auto"/>
                <w:left w:val="none" w:sz="0" w:space="0" w:color="auto"/>
                <w:bottom w:val="none" w:sz="0" w:space="0" w:color="auto"/>
                <w:right w:val="none" w:sz="0" w:space="0" w:color="auto"/>
              </w:divBdr>
              <w:divsChild>
                <w:div w:id="1433938239">
                  <w:marLeft w:val="0"/>
                  <w:marRight w:val="0"/>
                  <w:marTop w:val="0"/>
                  <w:marBottom w:val="0"/>
                  <w:divBdr>
                    <w:top w:val="none" w:sz="0" w:space="0" w:color="auto"/>
                    <w:left w:val="none" w:sz="0" w:space="0" w:color="auto"/>
                    <w:bottom w:val="none" w:sz="0" w:space="0" w:color="auto"/>
                    <w:right w:val="none" w:sz="0" w:space="0" w:color="auto"/>
                  </w:divBdr>
                </w:div>
              </w:divsChild>
            </w:div>
            <w:div w:id="1594968506">
              <w:marLeft w:val="0"/>
              <w:marRight w:val="0"/>
              <w:marTop w:val="0"/>
              <w:marBottom w:val="0"/>
              <w:divBdr>
                <w:top w:val="none" w:sz="0" w:space="0" w:color="auto"/>
                <w:left w:val="none" w:sz="0" w:space="0" w:color="auto"/>
                <w:bottom w:val="none" w:sz="0" w:space="0" w:color="auto"/>
                <w:right w:val="none" w:sz="0" w:space="0" w:color="auto"/>
              </w:divBdr>
              <w:divsChild>
                <w:div w:id="252710198">
                  <w:marLeft w:val="0"/>
                  <w:marRight w:val="0"/>
                  <w:marTop w:val="0"/>
                  <w:marBottom w:val="0"/>
                  <w:divBdr>
                    <w:top w:val="none" w:sz="0" w:space="0" w:color="auto"/>
                    <w:left w:val="none" w:sz="0" w:space="0" w:color="auto"/>
                    <w:bottom w:val="none" w:sz="0" w:space="0" w:color="auto"/>
                    <w:right w:val="none" w:sz="0" w:space="0" w:color="auto"/>
                  </w:divBdr>
                </w:div>
              </w:divsChild>
            </w:div>
            <w:div w:id="1616793468">
              <w:marLeft w:val="0"/>
              <w:marRight w:val="0"/>
              <w:marTop w:val="0"/>
              <w:marBottom w:val="0"/>
              <w:divBdr>
                <w:top w:val="none" w:sz="0" w:space="0" w:color="auto"/>
                <w:left w:val="none" w:sz="0" w:space="0" w:color="auto"/>
                <w:bottom w:val="none" w:sz="0" w:space="0" w:color="auto"/>
                <w:right w:val="none" w:sz="0" w:space="0" w:color="auto"/>
              </w:divBdr>
              <w:divsChild>
                <w:div w:id="1999922549">
                  <w:marLeft w:val="0"/>
                  <w:marRight w:val="0"/>
                  <w:marTop w:val="0"/>
                  <w:marBottom w:val="0"/>
                  <w:divBdr>
                    <w:top w:val="none" w:sz="0" w:space="0" w:color="auto"/>
                    <w:left w:val="none" w:sz="0" w:space="0" w:color="auto"/>
                    <w:bottom w:val="none" w:sz="0" w:space="0" w:color="auto"/>
                    <w:right w:val="none" w:sz="0" w:space="0" w:color="auto"/>
                  </w:divBdr>
                </w:div>
              </w:divsChild>
            </w:div>
            <w:div w:id="1634140646">
              <w:marLeft w:val="0"/>
              <w:marRight w:val="0"/>
              <w:marTop w:val="0"/>
              <w:marBottom w:val="0"/>
              <w:divBdr>
                <w:top w:val="none" w:sz="0" w:space="0" w:color="auto"/>
                <w:left w:val="none" w:sz="0" w:space="0" w:color="auto"/>
                <w:bottom w:val="none" w:sz="0" w:space="0" w:color="auto"/>
                <w:right w:val="none" w:sz="0" w:space="0" w:color="auto"/>
              </w:divBdr>
              <w:divsChild>
                <w:div w:id="58788984">
                  <w:marLeft w:val="0"/>
                  <w:marRight w:val="0"/>
                  <w:marTop w:val="0"/>
                  <w:marBottom w:val="0"/>
                  <w:divBdr>
                    <w:top w:val="none" w:sz="0" w:space="0" w:color="auto"/>
                    <w:left w:val="none" w:sz="0" w:space="0" w:color="auto"/>
                    <w:bottom w:val="none" w:sz="0" w:space="0" w:color="auto"/>
                    <w:right w:val="none" w:sz="0" w:space="0" w:color="auto"/>
                  </w:divBdr>
                </w:div>
              </w:divsChild>
            </w:div>
            <w:div w:id="1654093880">
              <w:marLeft w:val="0"/>
              <w:marRight w:val="0"/>
              <w:marTop w:val="0"/>
              <w:marBottom w:val="0"/>
              <w:divBdr>
                <w:top w:val="none" w:sz="0" w:space="0" w:color="auto"/>
                <w:left w:val="none" w:sz="0" w:space="0" w:color="auto"/>
                <w:bottom w:val="none" w:sz="0" w:space="0" w:color="auto"/>
                <w:right w:val="none" w:sz="0" w:space="0" w:color="auto"/>
              </w:divBdr>
              <w:divsChild>
                <w:div w:id="1982692820">
                  <w:marLeft w:val="0"/>
                  <w:marRight w:val="0"/>
                  <w:marTop w:val="0"/>
                  <w:marBottom w:val="0"/>
                  <w:divBdr>
                    <w:top w:val="none" w:sz="0" w:space="0" w:color="auto"/>
                    <w:left w:val="none" w:sz="0" w:space="0" w:color="auto"/>
                    <w:bottom w:val="none" w:sz="0" w:space="0" w:color="auto"/>
                    <w:right w:val="none" w:sz="0" w:space="0" w:color="auto"/>
                  </w:divBdr>
                </w:div>
              </w:divsChild>
            </w:div>
            <w:div w:id="1659570997">
              <w:marLeft w:val="0"/>
              <w:marRight w:val="0"/>
              <w:marTop w:val="0"/>
              <w:marBottom w:val="0"/>
              <w:divBdr>
                <w:top w:val="none" w:sz="0" w:space="0" w:color="auto"/>
                <w:left w:val="none" w:sz="0" w:space="0" w:color="auto"/>
                <w:bottom w:val="none" w:sz="0" w:space="0" w:color="auto"/>
                <w:right w:val="none" w:sz="0" w:space="0" w:color="auto"/>
              </w:divBdr>
              <w:divsChild>
                <w:div w:id="896208386">
                  <w:marLeft w:val="0"/>
                  <w:marRight w:val="0"/>
                  <w:marTop w:val="0"/>
                  <w:marBottom w:val="0"/>
                  <w:divBdr>
                    <w:top w:val="none" w:sz="0" w:space="0" w:color="auto"/>
                    <w:left w:val="none" w:sz="0" w:space="0" w:color="auto"/>
                    <w:bottom w:val="none" w:sz="0" w:space="0" w:color="auto"/>
                    <w:right w:val="none" w:sz="0" w:space="0" w:color="auto"/>
                  </w:divBdr>
                </w:div>
              </w:divsChild>
            </w:div>
            <w:div w:id="1663125259">
              <w:marLeft w:val="0"/>
              <w:marRight w:val="0"/>
              <w:marTop w:val="0"/>
              <w:marBottom w:val="0"/>
              <w:divBdr>
                <w:top w:val="none" w:sz="0" w:space="0" w:color="auto"/>
                <w:left w:val="none" w:sz="0" w:space="0" w:color="auto"/>
                <w:bottom w:val="none" w:sz="0" w:space="0" w:color="auto"/>
                <w:right w:val="none" w:sz="0" w:space="0" w:color="auto"/>
              </w:divBdr>
              <w:divsChild>
                <w:div w:id="805971833">
                  <w:marLeft w:val="0"/>
                  <w:marRight w:val="0"/>
                  <w:marTop w:val="0"/>
                  <w:marBottom w:val="0"/>
                  <w:divBdr>
                    <w:top w:val="none" w:sz="0" w:space="0" w:color="auto"/>
                    <w:left w:val="none" w:sz="0" w:space="0" w:color="auto"/>
                    <w:bottom w:val="none" w:sz="0" w:space="0" w:color="auto"/>
                    <w:right w:val="none" w:sz="0" w:space="0" w:color="auto"/>
                  </w:divBdr>
                </w:div>
              </w:divsChild>
            </w:div>
            <w:div w:id="1680616139">
              <w:marLeft w:val="0"/>
              <w:marRight w:val="0"/>
              <w:marTop w:val="0"/>
              <w:marBottom w:val="0"/>
              <w:divBdr>
                <w:top w:val="none" w:sz="0" w:space="0" w:color="auto"/>
                <w:left w:val="none" w:sz="0" w:space="0" w:color="auto"/>
                <w:bottom w:val="none" w:sz="0" w:space="0" w:color="auto"/>
                <w:right w:val="none" w:sz="0" w:space="0" w:color="auto"/>
              </w:divBdr>
              <w:divsChild>
                <w:div w:id="15936224">
                  <w:marLeft w:val="0"/>
                  <w:marRight w:val="0"/>
                  <w:marTop w:val="0"/>
                  <w:marBottom w:val="0"/>
                  <w:divBdr>
                    <w:top w:val="none" w:sz="0" w:space="0" w:color="auto"/>
                    <w:left w:val="none" w:sz="0" w:space="0" w:color="auto"/>
                    <w:bottom w:val="none" w:sz="0" w:space="0" w:color="auto"/>
                    <w:right w:val="none" w:sz="0" w:space="0" w:color="auto"/>
                  </w:divBdr>
                </w:div>
              </w:divsChild>
            </w:div>
            <w:div w:id="1688749597">
              <w:marLeft w:val="0"/>
              <w:marRight w:val="0"/>
              <w:marTop w:val="0"/>
              <w:marBottom w:val="0"/>
              <w:divBdr>
                <w:top w:val="none" w:sz="0" w:space="0" w:color="auto"/>
                <w:left w:val="none" w:sz="0" w:space="0" w:color="auto"/>
                <w:bottom w:val="none" w:sz="0" w:space="0" w:color="auto"/>
                <w:right w:val="none" w:sz="0" w:space="0" w:color="auto"/>
              </w:divBdr>
              <w:divsChild>
                <w:div w:id="1180973903">
                  <w:marLeft w:val="0"/>
                  <w:marRight w:val="0"/>
                  <w:marTop w:val="0"/>
                  <w:marBottom w:val="0"/>
                  <w:divBdr>
                    <w:top w:val="none" w:sz="0" w:space="0" w:color="auto"/>
                    <w:left w:val="none" w:sz="0" w:space="0" w:color="auto"/>
                    <w:bottom w:val="none" w:sz="0" w:space="0" w:color="auto"/>
                    <w:right w:val="none" w:sz="0" w:space="0" w:color="auto"/>
                  </w:divBdr>
                </w:div>
              </w:divsChild>
            </w:div>
            <w:div w:id="1701734270">
              <w:marLeft w:val="0"/>
              <w:marRight w:val="0"/>
              <w:marTop w:val="0"/>
              <w:marBottom w:val="0"/>
              <w:divBdr>
                <w:top w:val="none" w:sz="0" w:space="0" w:color="auto"/>
                <w:left w:val="none" w:sz="0" w:space="0" w:color="auto"/>
                <w:bottom w:val="none" w:sz="0" w:space="0" w:color="auto"/>
                <w:right w:val="none" w:sz="0" w:space="0" w:color="auto"/>
              </w:divBdr>
              <w:divsChild>
                <w:div w:id="297222164">
                  <w:marLeft w:val="0"/>
                  <w:marRight w:val="0"/>
                  <w:marTop w:val="0"/>
                  <w:marBottom w:val="0"/>
                  <w:divBdr>
                    <w:top w:val="none" w:sz="0" w:space="0" w:color="auto"/>
                    <w:left w:val="none" w:sz="0" w:space="0" w:color="auto"/>
                    <w:bottom w:val="none" w:sz="0" w:space="0" w:color="auto"/>
                    <w:right w:val="none" w:sz="0" w:space="0" w:color="auto"/>
                  </w:divBdr>
                </w:div>
              </w:divsChild>
            </w:div>
            <w:div w:id="1704019453">
              <w:marLeft w:val="0"/>
              <w:marRight w:val="0"/>
              <w:marTop w:val="0"/>
              <w:marBottom w:val="0"/>
              <w:divBdr>
                <w:top w:val="none" w:sz="0" w:space="0" w:color="auto"/>
                <w:left w:val="none" w:sz="0" w:space="0" w:color="auto"/>
                <w:bottom w:val="none" w:sz="0" w:space="0" w:color="auto"/>
                <w:right w:val="none" w:sz="0" w:space="0" w:color="auto"/>
              </w:divBdr>
              <w:divsChild>
                <w:div w:id="461118021">
                  <w:marLeft w:val="0"/>
                  <w:marRight w:val="0"/>
                  <w:marTop w:val="0"/>
                  <w:marBottom w:val="0"/>
                  <w:divBdr>
                    <w:top w:val="none" w:sz="0" w:space="0" w:color="auto"/>
                    <w:left w:val="none" w:sz="0" w:space="0" w:color="auto"/>
                    <w:bottom w:val="none" w:sz="0" w:space="0" w:color="auto"/>
                    <w:right w:val="none" w:sz="0" w:space="0" w:color="auto"/>
                  </w:divBdr>
                </w:div>
              </w:divsChild>
            </w:div>
            <w:div w:id="1938052975">
              <w:marLeft w:val="0"/>
              <w:marRight w:val="0"/>
              <w:marTop w:val="0"/>
              <w:marBottom w:val="0"/>
              <w:divBdr>
                <w:top w:val="none" w:sz="0" w:space="0" w:color="auto"/>
                <w:left w:val="none" w:sz="0" w:space="0" w:color="auto"/>
                <w:bottom w:val="none" w:sz="0" w:space="0" w:color="auto"/>
                <w:right w:val="none" w:sz="0" w:space="0" w:color="auto"/>
              </w:divBdr>
              <w:divsChild>
                <w:div w:id="877206182">
                  <w:marLeft w:val="0"/>
                  <w:marRight w:val="0"/>
                  <w:marTop w:val="0"/>
                  <w:marBottom w:val="0"/>
                  <w:divBdr>
                    <w:top w:val="none" w:sz="0" w:space="0" w:color="auto"/>
                    <w:left w:val="none" w:sz="0" w:space="0" w:color="auto"/>
                    <w:bottom w:val="none" w:sz="0" w:space="0" w:color="auto"/>
                    <w:right w:val="none" w:sz="0" w:space="0" w:color="auto"/>
                  </w:divBdr>
                </w:div>
              </w:divsChild>
            </w:div>
            <w:div w:id="1945767077">
              <w:marLeft w:val="0"/>
              <w:marRight w:val="0"/>
              <w:marTop w:val="0"/>
              <w:marBottom w:val="0"/>
              <w:divBdr>
                <w:top w:val="none" w:sz="0" w:space="0" w:color="auto"/>
                <w:left w:val="none" w:sz="0" w:space="0" w:color="auto"/>
                <w:bottom w:val="none" w:sz="0" w:space="0" w:color="auto"/>
                <w:right w:val="none" w:sz="0" w:space="0" w:color="auto"/>
              </w:divBdr>
              <w:divsChild>
                <w:div w:id="243494285">
                  <w:marLeft w:val="0"/>
                  <w:marRight w:val="0"/>
                  <w:marTop w:val="0"/>
                  <w:marBottom w:val="0"/>
                  <w:divBdr>
                    <w:top w:val="none" w:sz="0" w:space="0" w:color="auto"/>
                    <w:left w:val="none" w:sz="0" w:space="0" w:color="auto"/>
                    <w:bottom w:val="none" w:sz="0" w:space="0" w:color="auto"/>
                    <w:right w:val="none" w:sz="0" w:space="0" w:color="auto"/>
                  </w:divBdr>
                </w:div>
              </w:divsChild>
            </w:div>
            <w:div w:id="1962031766">
              <w:marLeft w:val="0"/>
              <w:marRight w:val="0"/>
              <w:marTop w:val="0"/>
              <w:marBottom w:val="0"/>
              <w:divBdr>
                <w:top w:val="none" w:sz="0" w:space="0" w:color="auto"/>
                <w:left w:val="none" w:sz="0" w:space="0" w:color="auto"/>
                <w:bottom w:val="none" w:sz="0" w:space="0" w:color="auto"/>
                <w:right w:val="none" w:sz="0" w:space="0" w:color="auto"/>
              </w:divBdr>
              <w:divsChild>
                <w:div w:id="1702511483">
                  <w:marLeft w:val="0"/>
                  <w:marRight w:val="0"/>
                  <w:marTop w:val="0"/>
                  <w:marBottom w:val="0"/>
                  <w:divBdr>
                    <w:top w:val="none" w:sz="0" w:space="0" w:color="auto"/>
                    <w:left w:val="none" w:sz="0" w:space="0" w:color="auto"/>
                    <w:bottom w:val="none" w:sz="0" w:space="0" w:color="auto"/>
                    <w:right w:val="none" w:sz="0" w:space="0" w:color="auto"/>
                  </w:divBdr>
                </w:div>
              </w:divsChild>
            </w:div>
            <w:div w:id="2014260611">
              <w:marLeft w:val="0"/>
              <w:marRight w:val="0"/>
              <w:marTop w:val="0"/>
              <w:marBottom w:val="0"/>
              <w:divBdr>
                <w:top w:val="none" w:sz="0" w:space="0" w:color="auto"/>
                <w:left w:val="none" w:sz="0" w:space="0" w:color="auto"/>
                <w:bottom w:val="none" w:sz="0" w:space="0" w:color="auto"/>
                <w:right w:val="none" w:sz="0" w:space="0" w:color="auto"/>
              </w:divBdr>
              <w:divsChild>
                <w:div w:id="1244949855">
                  <w:marLeft w:val="0"/>
                  <w:marRight w:val="0"/>
                  <w:marTop w:val="0"/>
                  <w:marBottom w:val="0"/>
                  <w:divBdr>
                    <w:top w:val="none" w:sz="0" w:space="0" w:color="auto"/>
                    <w:left w:val="none" w:sz="0" w:space="0" w:color="auto"/>
                    <w:bottom w:val="none" w:sz="0" w:space="0" w:color="auto"/>
                    <w:right w:val="none" w:sz="0" w:space="0" w:color="auto"/>
                  </w:divBdr>
                </w:div>
              </w:divsChild>
            </w:div>
            <w:div w:id="2026393907">
              <w:marLeft w:val="0"/>
              <w:marRight w:val="0"/>
              <w:marTop w:val="0"/>
              <w:marBottom w:val="0"/>
              <w:divBdr>
                <w:top w:val="none" w:sz="0" w:space="0" w:color="auto"/>
                <w:left w:val="none" w:sz="0" w:space="0" w:color="auto"/>
                <w:bottom w:val="none" w:sz="0" w:space="0" w:color="auto"/>
                <w:right w:val="none" w:sz="0" w:space="0" w:color="auto"/>
              </w:divBdr>
              <w:divsChild>
                <w:div w:id="440994573">
                  <w:marLeft w:val="0"/>
                  <w:marRight w:val="0"/>
                  <w:marTop w:val="0"/>
                  <w:marBottom w:val="0"/>
                  <w:divBdr>
                    <w:top w:val="none" w:sz="0" w:space="0" w:color="auto"/>
                    <w:left w:val="none" w:sz="0" w:space="0" w:color="auto"/>
                    <w:bottom w:val="none" w:sz="0" w:space="0" w:color="auto"/>
                    <w:right w:val="none" w:sz="0" w:space="0" w:color="auto"/>
                  </w:divBdr>
                </w:div>
              </w:divsChild>
            </w:div>
            <w:div w:id="2146463929">
              <w:marLeft w:val="0"/>
              <w:marRight w:val="0"/>
              <w:marTop w:val="0"/>
              <w:marBottom w:val="0"/>
              <w:divBdr>
                <w:top w:val="none" w:sz="0" w:space="0" w:color="auto"/>
                <w:left w:val="none" w:sz="0" w:space="0" w:color="auto"/>
                <w:bottom w:val="none" w:sz="0" w:space="0" w:color="auto"/>
                <w:right w:val="none" w:sz="0" w:space="0" w:color="auto"/>
              </w:divBdr>
              <w:divsChild>
                <w:div w:id="17473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891477">
          <w:marLeft w:val="0"/>
          <w:marRight w:val="0"/>
          <w:marTop w:val="30"/>
          <w:marBottom w:val="30"/>
          <w:divBdr>
            <w:top w:val="none" w:sz="0" w:space="0" w:color="auto"/>
            <w:left w:val="none" w:sz="0" w:space="0" w:color="auto"/>
            <w:bottom w:val="none" w:sz="0" w:space="0" w:color="auto"/>
            <w:right w:val="none" w:sz="0" w:space="0" w:color="auto"/>
          </w:divBdr>
          <w:divsChild>
            <w:div w:id="4939949">
              <w:marLeft w:val="0"/>
              <w:marRight w:val="0"/>
              <w:marTop w:val="0"/>
              <w:marBottom w:val="0"/>
              <w:divBdr>
                <w:top w:val="none" w:sz="0" w:space="0" w:color="auto"/>
                <w:left w:val="none" w:sz="0" w:space="0" w:color="auto"/>
                <w:bottom w:val="none" w:sz="0" w:space="0" w:color="auto"/>
                <w:right w:val="none" w:sz="0" w:space="0" w:color="auto"/>
              </w:divBdr>
              <w:divsChild>
                <w:div w:id="2092308508">
                  <w:marLeft w:val="0"/>
                  <w:marRight w:val="0"/>
                  <w:marTop w:val="0"/>
                  <w:marBottom w:val="0"/>
                  <w:divBdr>
                    <w:top w:val="none" w:sz="0" w:space="0" w:color="auto"/>
                    <w:left w:val="none" w:sz="0" w:space="0" w:color="auto"/>
                    <w:bottom w:val="none" w:sz="0" w:space="0" w:color="auto"/>
                    <w:right w:val="none" w:sz="0" w:space="0" w:color="auto"/>
                  </w:divBdr>
                </w:div>
              </w:divsChild>
            </w:div>
            <w:div w:id="32468662">
              <w:marLeft w:val="0"/>
              <w:marRight w:val="0"/>
              <w:marTop w:val="0"/>
              <w:marBottom w:val="0"/>
              <w:divBdr>
                <w:top w:val="none" w:sz="0" w:space="0" w:color="auto"/>
                <w:left w:val="none" w:sz="0" w:space="0" w:color="auto"/>
                <w:bottom w:val="none" w:sz="0" w:space="0" w:color="auto"/>
                <w:right w:val="none" w:sz="0" w:space="0" w:color="auto"/>
              </w:divBdr>
              <w:divsChild>
                <w:div w:id="1903902471">
                  <w:marLeft w:val="0"/>
                  <w:marRight w:val="0"/>
                  <w:marTop w:val="0"/>
                  <w:marBottom w:val="0"/>
                  <w:divBdr>
                    <w:top w:val="none" w:sz="0" w:space="0" w:color="auto"/>
                    <w:left w:val="none" w:sz="0" w:space="0" w:color="auto"/>
                    <w:bottom w:val="none" w:sz="0" w:space="0" w:color="auto"/>
                    <w:right w:val="none" w:sz="0" w:space="0" w:color="auto"/>
                  </w:divBdr>
                </w:div>
              </w:divsChild>
            </w:div>
            <w:div w:id="55013977">
              <w:marLeft w:val="0"/>
              <w:marRight w:val="0"/>
              <w:marTop w:val="0"/>
              <w:marBottom w:val="0"/>
              <w:divBdr>
                <w:top w:val="none" w:sz="0" w:space="0" w:color="auto"/>
                <w:left w:val="none" w:sz="0" w:space="0" w:color="auto"/>
                <w:bottom w:val="none" w:sz="0" w:space="0" w:color="auto"/>
                <w:right w:val="none" w:sz="0" w:space="0" w:color="auto"/>
              </w:divBdr>
              <w:divsChild>
                <w:div w:id="195585985">
                  <w:marLeft w:val="0"/>
                  <w:marRight w:val="0"/>
                  <w:marTop w:val="0"/>
                  <w:marBottom w:val="0"/>
                  <w:divBdr>
                    <w:top w:val="none" w:sz="0" w:space="0" w:color="auto"/>
                    <w:left w:val="none" w:sz="0" w:space="0" w:color="auto"/>
                    <w:bottom w:val="none" w:sz="0" w:space="0" w:color="auto"/>
                    <w:right w:val="none" w:sz="0" w:space="0" w:color="auto"/>
                  </w:divBdr>
                </w:div>
              </w:divsChild>
            </w:div>
            <w:div w:id="56831262">
              <w:marLeft w:val="0"/>
              <w:marRight w:val="0"/>
              <w:marTop w:val="0"/>
              <w:marBottom w:val="0"/>
              <w:divBdr>
                <w:top w:val="none" w:sz="0" w:space="0" w:color="auto"/>
                <w:left w:val="none" w:sz="0" w:space="0" w:color="auto"/>
                <w:bottom w:val="none" w:sz="0" w:space="0" w:color="auto"/>
                <w:right w:val="none" w:sz="0" w:space="0" w:color="auto"/>
              </w:divBdr>
              <w:divsChild>
                <w:div w:id="1772361446">
                  <w:marLeft w:val="0"/>
                  <w:marRight w:val="0"/>
                  <w:marTop w:val="0"/>
                  <w:marBottom w:val="0"/>
                  <w:divBdr>
                    <w:top w:val="none" w:sz="0" w:space="0" w:color="auto"/>
                    <w:left w:val="none" w:sz="0" w:space="0" w:color="auto"/>
                    <w:bottom w:val="none" w:sz="0" w:space="0" w:color="auto"/>
                    <w:right w:val="none" w:sz="0" w:space="0" w:color="auto"/>
                  </w:divBdr>
                </w:div>
              </w:divsChild>
            </w:div>
            <w:div w:id="61413536">
              <w:marLeft w:val="0"/>
              <w:marRight w:val="0"/>
              <w:marTop w:val="0"/>
              <w:marBottom w:val="0"/>
              <w:divBdr>
                <w:top w:val="none" w:sz="0" w:space="0" w:color="auto"/>
                <w:left w:val="none" w:sz="0" w:space="0" w:color="auto"/>
                <w:bottom w:val="none" w:sz="0" w:space="0" w:color="auto"/>
                <w:right w:val="none" w:sz="0" w:space="0" w:color="auto"/>
              </w:divBdr>
              <w:divsChild>
                <w:div w:id="183859796">
                  <w:marLeft w:val="0"/>
                  <w:marRight w:val="0"/>
                  <w:marTop w:val="0"/>
                  <w:marBottom w:val="0"/>
                  <w:divBdr>
                    <w:top w:val="none" w:sz="0" w:space="0" w:color="auto"/>
                    <w:left w:val="none" w:sz="0" w:space="0" w:color="auto"/>
                    <w:bottom w:val="none" w:sz="0" w:space="0" w:color="auto"/>
                    <w:right w:val="none" w:sz="0" w:space="0" w:color="auto"/>
                  </w:divBdr>
                </w:div>
              </w:divsChild>
            </w:div>
            <w:div w:id="83500886">
              <w:marLeft w:val="0"/>
              <w:marRight w:val="0"/>
              <w:marTop w:val="0"/>
              <w:marBottom w:val="0"/>
              <w:divBdr>
                <w:top w:val="none" w:sz="0" w:space="0" w:color="auto"/>
                <w:left w:val="none" w:sz="0" w:space="0" w:color="auto"/>
                <w:bottom w:val="none" w:sz="0" w:space="0" w:color="auto"/>
                <w:right w:val="none" w:sz="0" w:space="0" w:color="auto"/>
              </w:divBdr>
              <w:divsChild>
                <w:div w:id="114561749">
                  <w:marLeft w:val="0"/>
                  <w:marRight w:val="0"/>
                  <w:marTop w:val="0"/>
                  <w:marBottom w:val="0"/>
                  <w:divBdr>
                    <w:top w:val="none" w:sz="0" w:space="0" w:color="auto"/>
                    <w:left w:val="none" w:sz="0" w:space="0" w:color="auto"/>
                    <w:bottom w:val="none" w:sz="0" w:space="0" w:color="auto"/>
                    <w:right w:val="none" w:sz="0" w:space="0" w:color="auto"/>
                  </w:divBdr>
                </w:div>
              </w:divsChild>
            </w:div>
            <w:div w:id="107967651">
              <w:marLeft w:val="0"/>
              <w:marRight w:val="0"/>
              <w:marTop w:val="0"/>
              <w:marBottom w:val="0"/>
              <w:divBdr>
                <w:top w:val="none" w:sz="0" w:space="0" w:color="auto"/>
                <w:left w:val="none" w:sz="0" w:space="0" w:color="auto"/>
                <w:bottom w:val="none" w:sz="0" w:space="0" w:color="auto"/>
                <w:right w:val="none" w:sz="0" w:space="0" w:color="auto"/>
              </w:divBdr>
              <w:divsChild>
                <w:div w:id="188641768">
                  <w:marLeft w:val="0"/>
                  <w:marRight w:val="0"/>
                  <w:marTop w:val="0"/>
                  <w:marBottom w:val="0"/>
                  <w:divBdr>
                    <w:top w:val="none" w:sz="0" w:space="0" w:color="auto"/>
                    <w:left w:val="none" w:sz="0" w:space="0" w:color="auto"/>
                    <w:bottom w:val="none" w:sz="0" w:space="0" w:color="auto"/>
                    <w:right w:val="none" w:sz="0" w:space="0" w:color="auto"/>
                  </w:divBdr>
                </w:div>
              </w:divsChild>
            </w:div>
            <w:div w:id="125438780">
              <w:marLeft w:val="0"/>
              <w:marRight w:val="0"/>
              <w:marTop w:val="0"/>
              <w:marBottom w:val="0"/>
              <w:divBdr>
                <w:top w:val="none" w:sz="0" w:space="0" w:color="auto"/>
                <w:left w:val="none" w:sz="0" w:space="0" w:color="auto"/>
                <w:bottom w:val="none" w:sz="0" w:space="0" w:color="auto"/>
                <w:right w:val="none" w:sz="0" w:space="0" w:color="auto"/>
              </w:divBdr>
              <w:divsChild>
                <w:div w:id="1877547727">
                  <w:marLeft w:val="0"/>
                  <w:marRight w:val="0"/>
                  <w:marTop w:val="0"/>
                  <w:marBottom w:val="0"/>
                  <w:divBdr>
                    <w:top w:val="none" w:sz="0" w:space="0" w:color="auto"/>
                    <w:left w:val="none" w:sz="0" w:space="0" w:color="auto"/>
                    <w:bottom w:val="none" w:sz="0" w:space="0" w:color="auto"/>
                    <w:right w:val="none" w:sz="0" w:space="0" w:color="auto"/>
                  </w:divBdr>
                </w:div>
              </w:divsChild>
            </w:div>
            <w:div w:id="147333993">
              <w:marLeft w:val="0"/>
              <w:marRight w:val="0"/>
              <w:marTop w:val="0"/>
              <w:marBottom w:val="0"/>
              <w:divBdr>
                <w:top w:val="none" w:sz="0" w:space="0" w:color="auto"/>
                <w:left w:val="none" w:sz="0" w:space="0" w:color="auto"/>
                <w:bottom w:val="none" w:sz="0" w:space="0" w:color="auto"/>
                <w:right w:val="none" w:sz="0" w:space="0" w:color="auto"/>
              </w:divBdr>
              <w:divsChild>
                <w:div w:id="611058972">
                  <w:marLeft w:val="0"/>
                  <w:marRight w:val="0"/>
                  <w:marTop w:val="0"/>
                  <w:marBottom w:val="0"/>
                  <w:divBdr>
                    <w:top w:val="none" w:sz="0" w:space="0" w:color="auto"/>
                    <w:left w:val="none" w:sz="0" w:space="0" w:color="auto"/>
                    <w:bottom w:val="none" w:sz="0" w:space="0" w:color="auto"/>
                    <w:right w:val="none" w:sz="0" w:space="0" w:color="auto"/>
                  </w:divBdr>
                </w:div>
              </w:divsChild>
            </w:div>
            <w:div w:id="171799489">
              <w:marLeft w:val="0"/>
              <w:marRight w:val="0"/>
              <w:marTop w:val="0"/>
              <w:marBottom w:val="0"/>
              <w:divBdr>
                <w:top w:val="none" w:sz="0" w:space="0" w:color="auto"/>
                <w:left w:val="none" w:sz="0" w:space="0" w:color="auto"/>
                <w:bottom w:val="none" w:sz="0" w:space="0" w:color="auto"/>
                <w:right w:val="none" w:sz="0" w:space="0" w:color="auto"/>
              </w:divBdr>
              <w:divsChild>
                <w:div w:id="1913735367">
                  <w:marLeft w:val="0"/>
                  <w:marRight w:val="0"/>
                  <w:marTop w:val="0"/>
                  <w:marBottom w:val="0"/>
                  <w:divBdr>
                    <w:top w:val="none" w:sz="0" w:space="0" w:color="auto"/>
                    <w:left w:val="none" w:sz="0" w:space="0" w:color="auto"/>
                    <w:bottom w:val="none" w:sz="0" w:space="0" w:color="auto"/>
                    <w:right w:val="none" w:sz="0" w:space="0" w:color="auto"/>
                  </w:divBdr>
                </w:div>
              </w:divsChild>
            </w:div>
            <w:div w:id="184054657">
              <w:marLeft w:val="0"/>
              <w:marRight w:val="0"/>
              <w:marTop w:val="0"/>
              <w:marBottom w:val="0"/>
              <w:divBdr>
                <w:top w:val="none" w:sz="0" w:space="0" w:color="auto"/>
                <w:left w:val="none" w:sz="0" w:space="0" w:color="auto"/>
                <w:bottom w:val="none" w:sz="0" w:space="0" w:color="auto"/>
                <w:right w:val="none" w:sz="0" w:space="0" w:color="auto"/>
              </w:divBdr>
              <w:divsChild>
                <w:div w:id="1417097179">
                  <w:marLeft w:val="0"/>
                  <w:marRight w:val="0"/>
                  <w:marTop w:val="0"/>
                  <w:marBottom w:val="0"/>
                  <w:divBdr>
                    <w:top w:val="none" w:sz="0" w:space="0" w:color="auto"/>
                    <w:left w:val="none" w:sz="0" w:space="0" w:color="auto"/>
                    <w:bottom w:val="none" w:sz="0" w:space="0" w:color="auto"/>
                    <w:right w:val="none" w:sz="0" w:space="0" w:color="auto"/>
                  </w:divBdr>
                </w:div>
              </w:divsChild>
            </w:div>
            <w:div w:id="203833029">
              <w:marLeft w:val="0"/>
              <w:marRight w:val="0"/>
              <w:marTop w:val="0"/>
              <w:marBottom w:val="0"/>
              <w:divBdr>
                <w:top w:val="none" w:sz="0" w:space="0" w:color="auto"/>
                <w:left w:val="none" w:sz="0" w:space="0" w:color="auto"/>
                <w:bottom w:val="none" w:sz="0" w:space="0" w:color="auto"/>
                <w:right w:val="none" w:sz="0" w:space="0" w:color="auto"/>
              </w:divBdr>
              <w:divsChild>
                <w:div w:id="591863934">
                  <w:marLeft w:val="0"/>
                  <w:marRight w:val="0"/>
                  <w:marTop w:val="0"/>
                  <w:marBottom w:val="0"/>
                  <w:divBdr>
                    <w:top w:val="none" w:sz="0" w:space="0" w:color="auto"/>
                    <w:left w:val="none" w:sz="0" w:space="0" w:color="auto"/>
                    <w:bottom w:val="none" w:sz="0" w:space="0" w:color="auto"/>
                    <w:right w:val="none" w:sz="0" w:space="0" w:color="auto"/>
                  </w:divBdr>
                </w:div>
              </w:divsChild>
            </w:div>
            <w:div w:id="257181947">
              <w:marLeft w:val="0"/>
              <w:marRight w:val="0"/>
              <w:marTop w:val="0"/>
              <w:marBottom w:val="0"/>
              <w:divBdr>
                <w:top w:val="none" w:sz="0" w:space="0" w:color="auto"/>
                <w:left w:val="none" w:sz="0" w:space="0" w:color="auto"/>
                <w:bottom w:val="none" w:sz="0" w:space="0" w:color="auto"/>
                <w:right w:val="none" w:sz="0" w:space="0" w:color="auto"/>
              </w:divBdr>
              <w:divsChild>
                <w:div w:id="2033335424">
                  <w:marLeft w:val="0"/>
                  <w:marRight w:val="0"/>
                  <w:marTop w:val="0"/>
                  <w:marBottom w:val="0"/>
                  <w:divBdr>
                    <w:top w:val="none" w:sz="0" w:space="0" w:color="auto"/>
                    <w:left w:val="none" w:sz="0" w:space="0" w:color="auto"/>
                    <w:bottom w:val="none" w:sz="0" w:space="0" w:color="auto"/>
                    <w:right w:val="none" w:sz="0" w:space="0" w:color="auto"/>
                  </w:divBdr>
                </w:div>
              </w:divsChild>
            </w:div>
            <w:div w:id="259725820">
              <w:marLeft w:val="0"/>
              <w:marRight w:val="0"/>
              <w:marTop w:val="0"/>
              <w:marBottom w:val="0"/>
              <w:divBdr>
                <w:top w:val="none" w:sz="0" w:space="0" w:color="auto"/>
                <w:left w:val="none" w:sz="0" w:space="0" w:color="auto"/>
                <w:bottom w:val="none" w:sz="0" w:space="0" w:color="auto"/>
                <w:right w:val="none" w:sz="0" w:space="0" w:color="auto"/>
              </w:divBdr>
              <w:divsChild>
                <w:div w:id="1372219103">
                  <w:marLeft w:val="0"/>
                  <w:marRight w:val="0"/>
                  <w:marTop w:val="0"/>
                  <w:marBottom w:val="0"/>
                  <w:divBdr>
                    <w:top w:val="none" w:sz="0" w:space="0" w:color="auto"/>
                    <w:left w:val="none" w:sz="0" w:space="0" w:color="auto"/>
                    <w:bottom w:val="none" w:sz="0" w:space="0" w:color="auto"/>
                    <w:right w:val="none" w:sz="0" w:space="0" w:color="auto"/>
                  </w:divBdr>
                </w:div>
              </w:divsChild>
            </w:div>
            <w:div w:id="273444025">
              <w:marLeft w:val="0"/>
              <w:marRight w:val="0"/>
              <w:marTop w:val="0"/>
              <w:marBottom w:val="0"/>
              <w:divBdr>
                <w:top w:val="none" w:sz="0" w:space="0" w:color="auto"/>
                <w:left w:val="none" w:sz="0" w:space="0" w:color="auto"/>
                <w:bottom w:val="none" w:sz="0" w:space="0" w:color="auto"/>
                <w:right w:val="none" w:sz="0" w:space="0" w:color="auto"/>
              </w:divBdr>
              <w:divsChild>
                <w:div w:id="1794517903">
                  <w:marLeft w:val="0"/>
                  <w:marRight w:val="0"/>
                  <w:marTop w:val="0"/>
                  <w:marBottom w:val="0"/>
                  <w:divBdr>
                    <w:top w:val="none" w:sz="0" w:space="0" w:color="auto"/>
                    <w:left w:val="none" w:sz="0" w:space="0" w:color="auto"/>
                    <w:bottom w:val="none" w:sz="0" w:space="0" w:color="auto"/>
                    <w:right w:val="none" w:sz="0" w:space="0" w:color="auto"/>
                  </w:divBdr>
                </w:div>
              </w:divsChild>
            </w:div>
            <w:div w:id="300769408">
              <w:marLeft w:val="0"/>
              <w:marRight w:val="0"/>
              <w:marTop w:val="0"/>
              <w:marBottom w:val="0"/>
              <w:divBdr>
                <w:top w:val="none" w:sz="0" w:space="0" w:color="auto"/>
                <w:left w:val="none" w:sz="0" w:space="0" w:color="auto"/>
                <w:bottom w:val="none" w:sz="0" w:space="0" w:color="auto"/>
                <w:right w:val="none" w:sz="0" w:space="0" w:color="auto"/>
              </w:divBdr>
              <w:divsChild>
                <w:div w:id="1617902536">
                  <w:marLeft w:val="0"/>
                  <w:marRight w:val="0"/>
                  <w:marTop w:val="0"/>
                  <w:marBottom w:val="0"/>
                  <w:divBdr>
                    <w:top w:val="none" w:sz="0" w:space="0" w:color="auto"/>
                    <w:left w:val="none" w:sz="0" w:space="0" w:color="auto"/>
                    <w:bottom w:val="none" w:sz="0" w:space="0" w:color="auto"/>
                    <w:right w:val="none" w:sz="0" w:space="0" w:color="auto"/>
                  </w:divBdr>
                </w:div>
              </w:divsChild>
            </w:div>
            <w:div w:id="321859577">
              <w:marLeft w:val="0"/>
              <w:marRight w:val="0"/>
              <w:marTop w:val="0"/>
              <w:marBottom w:val="0"/>
              <w:divBdr>
                <w:top w:val="none" w:sz="0" w:space="0" w:color="auto"/>
                <w:left w:val="none" w:sz="0" w:space="0" w:color="auto"/>
                <w:bottom w:val="none" w:sz="0" w:space="0" w:color="auto"/>
                <w:right w:val="none" w:sz="0" w:space="0" w:color="auto"/>
              </w:divBdr>
              <w:divsChild>
                <w:div w:id="2082210493">
                  <w:marLeft w:val="0"/>
                  <w:marRight w:val="0"/>
                  <w:marTop w:val="0"/>
                  <w:marBottom w:val="0"/>
                  <w:divBdr>
                    <w:top w:val="none" w:sz="0" w:space="0" w:color="auto"/>
                    <w:left w:val="none" w:sz="0" w:space="0" w:color="auto"/>
                    <w:bottom w:val="none" w:sz="0" w:space="0" w:color="auto"/>
                    <w:right w:val="none" w:sz="0" w:space="0" w:color="auto"/>
                  </w:divBdr>
                </w:div>
              </w:divsChild>
            </w:div>
            <w:div w:id="326791890">
              <w:marLeft w:val="0"/>
              <w:marRight w:val="0"/>
              <w:marTop w:val="0"/>
              <w:marBottom w:val="0"/>
              <w:divBdr>
                <w:top w:val="none" w:sz="0" w:space="0" w:color="auto"/>
                <w:left w:val="none" w:sz="0" w:space="0" w:color="auto"/>
                <w:bottom w:val="none" w:sz="0" w:space="0" w:color="auto"/>
                <w:right w:val="none" w:sz="0" w:space="0" w:color="auto"/>
              </w:divBdr>
              <w:divsChild>
                <w:div w:id="1105618448">
                  <w:marLeft w:val="0"/>
                  <w:marRight w:val="0"/>
                  <w:marTop w:val="0"/>
                  <w:marBottom w:val="0"/>
                  <w:divBdr>
                    <w:top w:val="none" w:sz="0" w:space="0" w:color="auto"/>
                    <w:left w:val="none" w:sz="0" w:space="0" w:color="auto"/>
                    <w:bottom w:val="none" w:sz="0" w:space="0" w:color="auto"/>
                    <w:right w:val="none" w:sz="0" w:space="0" w:color="auto"/>
                  </w:divBdr>
                </w:div>
              </w:divsChild>
            </w:div>
            <w:div w:id="332613974">
              <w:marLeft w:val="0"/>
              <w:marRight w:val="0"/>
              <w:marTop w:val="0"/>
              <w:marBottom w:val="0"/>
              <w:divBdr>
                <w:top w:val="none" w:sz="0" w:space="0" w:color="auto"/>
                <w:left w:val="none" w:sz="0" w:space="0" w:color="auto"/>
                <w:bottom w:val="none" w:sz="0" w:space="0" w:color="auto"/>
                <w:right w:val="none" w:sz="0" w:space="0" w:color="auto"/>
              </w:divBdr>
              <w:divsChild>
                <w:div w:id="159737764">
                  <w:marLeft w:val="0"/>
                  <w:marRight w:val="0"/>
                  <w:marTop w:val="0"/>
                  <w:marBottom w:val="0"/>
                  <w:divBdr>
                    <w:top w:val="none" w:sz="0" w:space="0" w:color="auto"/>
                    <w:left w:val="none" w:sz="0" w:space="0" w:color="auto"/>
                    <w:bottom w:val="none" w:sz="0" w:space="0" w:color="auto"/>
                    <w:right w:val="none" w:sz="0" w:space="0" w:color="auto"/>
                  </w:divBdr>
                </w:div>
              </w:divsChild>
            </w:div>
            <w:div w:id="333922888">
              <w:marLeft w:val="0"/>
              <w:marRight w:val="0"/>
              <w:marTop w:val="0"/>
              <w:marBottom w:val="0"/>
              <w:divBdr>
                <w:top w:val="none" w:sz="0" w:space="0" w:color="auto"/>
                <w:left w:val="none" w:sz="0" w:space="0" w:color="auto"/>
                <w:bottom w:val="none" w:sz="0" w:space="0" w:color="auto"/>
                <w:right w:val="none" w:sz="0" w:space="0" w:color="auto"/>
              </w:divBdr>
              <w:divsChild>
                <w:div w:id="1111819081">
                  <w:marLeft w:val="0"/>
                  <w:marRight w:val="0"/>
                  <w:marTop w:val="0"/>
                  <w:marBottom w:val="0"/>
                  <w:divBdr>
                    <w:top w:val="none" w:sz="0" w:space="0" w:color="auto"/>
                    <w:left w:val="none" w:sz="0" w:space="0" w:color="auto"/>
                    <w:bottom w:val="none" w:sz="0" w:space="0" w:color="auto"/>
                    <w:right w:val="none" w:sz="0" w:space="0" w:color="auto"/>
                  </w:divBdr>
                </w:div>
              </w:divsChild>
            </w:div>
            <w:div w:id="358089717">
              <w:marLeft w:val="0"/>
              <w:marRight w:val="0"/>
              <w:marTop w:val="0"/>
              <w:marBottom w:val="0"/>
              <w:divBdr>
                <w:top w:val="none" w:sz="0" w:space="0" w:color="auto"/>
                <w:left w:val="none" w:sz="0" w:space="0" w:color="auto"/>
                <w:bottom w:val="none" w:sz="0" w:space="0" w:color="auto"/>
                <w:right w:val="none" w:sz="0" w:space="0" w:color="auto"/>
              </w:divBdr>
              <w:divsChild>
                <w:div w:id="1670984768">
                  <w:marLeft w:val="0"/>
                  <w:marRight w:val="0"/>
                  <w:marTop w:val="0"/>
                  <w:marBottom w:val="0"/>
                  <w:divBdr>
                    <w:top w:val="none" w:sz="0" w:space="0" w:color="auto"/>
                    <w:left w:val="none" w:sz="0" w:space="0" w:color="auto"/>
                    <w:bottom w:val="none" w:sz="0" w:space="0" w:color="auto"/>
                    <w:right w:val="none" w:sz="0" w:space="0" w:color="auto"/>
                  </w:divBdr>
                </w:div>
              </w:divsChild>
            </w:div>
            <w:div w:id="426537717">
              <w:marLeft w:val="0"/>
              <w:marRight w:val="0"/>
              <w:marTop w:val="0"/>
              <w:marBottom w:val="0"/>
              <w:divBdr>
                <w:top w:val="none" w:sz="0" w:space="0" w:color="auto"/>
                <w:left w:val="none" w:sz="0" w:space="0" w:color="auto"/>
                <w:bottom w:val="none" w:sz="0" w:space="0" w:color="auto"/>
                <w:right w:val="none" w:sz="0" w:space="0" w:color="auto"/>
              </w:divBdr>
              <w:divsChild>
                <w:div w:id="1457486690">
                  <w:marLeft w:val="0"/>
                  <w:marRight w:val="0"/>
                  <w:marTop w:val="0"/>
                  <w:marBottom w:val="0"/>
                  <w:divBdr>
                    <w:top w:val="none" w:sz="0" w:space="0" w:color="auto"/>
                    <w:left w:val="none" w:sz="0" w:space="0" w:color="auto"/>
                    <w:bottom w:val="none" w:sz="0" w:space="0" w:color="auto"/>
                    <w:right w:val="none" w:sz="0" w:space="0" w:color="auto"/>
                  </w:divBdr>
                </w:div>
              </w:divsChild>
            </w:div>
            <w:div w:id="436213188">
              <w:marLeft w:val="0"/>
              <w:marRight w:val="0"/>
              <w:marTop w:val="0"/>
              <w:marBottom w:val="0"/>
              <w:divBdr>
                <w:top w:val="none" w:sz="0" w:space="0" w:color="auto"/>
                <w:left w:val="none" w:sz="0" w:space="0" w:color="auto"/>
                <w:bottom w:val="none" w:sz="0" w:space="0" w:color="auto"/>
                <w:right w:val="none" w:sz="0" w:space="0" w:color="auto"/>
              </w:divBdr>
              <w:divsChild>
                <w:div w:id="455830563">
                  <w:marLeft w:val="0"/>
                  <w:marRight w:val="0"/>
                  <w:marTop w:val="0"/>
                  <w:marBottom w:val="0"/>
                  <w:divBdr>
                    <w:top w:val="none" w:sz="0" w:space="0" w:color="auto"/>
                    <w:left w:val="none" w:sz="0" w:space="0" w:color="auto"/>
                    <w:bottom w:val="none" w:sz="0" w:space="0" w:color="auto"/>
                    <w:right w:val="none" w:sz="0" w:space="0" w:color="auto"/>
                  </w:divBdr>
                </w:div>
              </w:divsChild>
            </w:div>
            <w:div w:id="440534006">
              <w:marLeft w:val="0"/>
              <w:marRight w:val="0"/>
              <w:marTop w:val="0"/>
              <w:marBottom w:val="0"/>
              <w:divBdr>
                <w:top w:val="none" w:sz="0" w:space="0" w:color="auto"/>
                <w:left w:val="none" w:sz="0" w:space="0" w:color="auto"/>
                <w:bottom w:val="none" w:sz="0" w:space="0" w:color="auto"/>
                <w:right w:val="none" w:sz="0" w:space="0" w:color="auto"/>
              </w:divBdr>
              <w:divsChild>
                <w:div w:id="53966593">
                  <w:marLeft w:val="0"/>
                  <w:marRight w:val="0"/>
                  <w:marTop w:val="0"/>
                  <w:marBottom w:val="0"/>
                  <w:divBdr>
                    <w:top w:val="none" w:sz="0" w:space="0" w:color="auto"/>
                    <w:left w:val="none" w:sz="0" w:space="0" w:color="auto"/>
                    <w:bottom w:val="none" w:sz="0" w:space="0" w:color="auto"/>
                    <w:right w:val="none" w:sz="0" w:space="0" w:color="auto"/>
                  </w:divBdr>
                </w:div>
              </w:divsChild>
            </w:div>
            <w:div w:id="479659740">
              <w:marLeft w:val="0"/>
              <w:marRight w:val="0"/>
              <w:marTop w:val="0"/>
              <w:marBottom w:val="0"/>
              <w:divBdr>
                <w:top w:val="none" w:sz="0" w:space="0" w:color="auto"/>
                <w:left w:val="none" w:sz="0" w:space="0" w:color="auto"/>
                <w:bottom w:val="none" w:sz="0" w:space="0" w:color="auto"/>
                <w:right w:val="none" w:sz="0" w:space="0" w:color="auto"/>
              </w:divBdr>
              <w:divsChild>
                <w:div w:id="1997024787">
                  <w:marLeft w:val="0"/>
                  <w:marRight w:val="0"/>
                  <w:marTop w:val="0"/>
                  <w:marBottom w:val="0"/>
                  <w:divBdr>
                    <w:top w:val="none" w:sz="0" w:space="0" w:color="auto"/>
                    <w:left w:val="none" w:sz="0" w:space="0" w:color="auto"/>
                    <w:bottom w:val="none" w:sz="0" w:space="0" w:color="auto"/>
                    <w:right w:val="none" w:sz="0" w:space="0" w:color="auto"/>
                  </w:divBdr>
                </w:div>
              </w:divsChild>
            </w:div>
            <w:div w:id="493835222">
              <w:marLeft w:val="0"/>
              <w:marRight w:val="0"/>
              <w:marTop w:val="0"/>
              <w:marBottom w:val="0"/>
              <w:divBdr>
                <w:top w:val="none" w:sz="0" w:space="0" w:color="auto"/>
                <w:left w:val="none" w:sz="0" w:space="0" w:color="auto"/>
                <w:bottom w:val="none" w:sz="0" w:space="0" w:color="auto"/>
                <w:right w:val="none" w:sz="0" w:space="0" w:color="auto"/>
              </w:divBdr>
              <w:divsChild>
                <w:div w:id="665941184">
                  <w:marLeft w:val="0"/>
                  <w:marRight w:val="0"/>
                  <w:marTop w:val="0"/>
                  <w:marBottom w:val="0"/>
                  <w:divBdr>
                    <w:top w:val="none" w:sz="0" w:space="0" w:color="auto"/>
                    <w:left w:val="none" w:sz="0" w:space="0" w:color="auto"/>
                    <w:bottom w:val="none" w:sz="0" w:space="0" w:color="auto"/>
                    <w:right w:val="none" w:sz="0" w:space="0" w:color="auto"/>
                  </w:divBdr>
                </w:div>
              </w:divsChild>
            </w:div>
            <w:div w:id="497577611">
              <w:marLeft w:val="0"/>
              <w:marRight w:val="0"/>
              <w:marTop w:val="0"/>
              <w:marBottom w:val="0"/>
              <w:divBdr>
                <w:top w:val="none" w:sz="0" w:space="0" w:color="auto"/>
                <w:left w:val="none" w:sz="0" w:space="0" w:color="auto"/>
                <w:bottom w:val="none" w:sz="0" w:space="0" w:color="auto"/>
                <w:right w:val="none" w:sz="0" w:space="0" w:color="auto"/>
              </w:divBdr>
              <w:divsChild>
                <w:div w:id="1067220698">
                  <w:marLeft w:val="0"/>
                  <w:marRight w:val="0"/>
                  <w:marTop w:val="0"/>
                  <w:marBottom w:val="0"/>
                  <w:divBdr>
                    <w:top w:val="none" w:sz="0" w:space="0" w:color="auto"/>
                    <w:left w:val="none" w:sz="0" w:space="0" w:color="auto"/>
                    <w:bottom w:val="none" w:sz="0" w:space="0" w:color="auto"/>
                    <w:right w:val="none" w:sz="0" w:space="0" w:color="auto"/>
                  </w:divBdr>
                </w:div>
              </w:divsChild>
            </w:div>
            <w:div w:id="513151987">
              <w:marLeft w:val="0"/>
              <w:marRight w:val="0"/>
              <w:marTop w:val="0"/>
              <w:marBottom w:val="0"/>
              <w:divBdr>
                <w:top w:val="none" w:sz="0" w:space="0" w:color="auto"/>
                <w:left w:val="none" w:sz="0" w:space="0" w:color="auto"/>
                <w:bottom w:val="none" w:sz="0" w:space="0" w:color="auto"/>
                <w:right w:val="none" w:sz="0" w:space="0" w:color="auto"/>
              </w:divBdr>
              <w:divsChild>
                <w:div w:id="705522346">
                  <w:marLeft w:val="0"/>
                  <w:marRight w:val="0"/>
                  <w:marTop w:val="0"/>
                  <w:marBottom w:val="0"/>
                  <w:divBdr>
                    <w:top w:val="none" w:sz="0" w:space="0" w:color="auto"/>
                    <w:left w:val="none" w:sz="0" w:space="0" w:color="auto"/>
                    <w:bottom w:val="none" w:sz="0" w:space="0" w:color="auto"/>
                    <w:right w:val="none" w:sz="0" w:space="0" w:color="auto"/>
                  </w:divBdr>
                </w:div>
              </w:divsChild>
            </w:div>
            <w:div w:id="522473100">
              <w:marLeft w:val="0"/>
              <w:marRight w:val="0"/>
              <w:marTop w:val="0"/>
              <w:marBottom w:val="0"/>
              <w:divBdr>
                <w:top w:val="none" w:sz="0" w:space="0" w:color="auto"/>
                <w:left w:val="none" w:sz="0" w:space="0" w:color="auto"/>
                <w:bottom w:val="none" w:sz="0" w:space="0" w:color="auto"/>
                <w:right w:val="none" w:sz="0" w:space="0" w:color="auto"/>
              </w:divBdr>
              <w:divsChild>
                <w:div w:id="1555507123">
                  <w:marLeft w:val="0"/>
                  <w:marRight w:val="0"/>
                  <w:marTop w:val="0"/>
                  <w:marBottom w:val="0"/>
                  <w:divBdr>
                    <w:top w:val="none" w:sz="0" w:space="0" w:color="auto"/>
                    <w:left w:val="none" w:sz="0" w:space="0" w:color="auto"/>
                    <w:bottom w:val="none" w:sz="0" w:space="0" w:color="auto"/>
                    <w:right w:val="none" w:sz="0" w:space="0" w:color="auto"/>
                  </w:divBdr>
                </w:div>
              </w:divsChild>
            </w:div>
            <w:div w:id="528838778">
              <w:marLeft w:val="0"/>
              <w:marRight w:val="0"/>
              <w:marTop w:val="0"/>
              <w:marBottom w:val="0"/>
              <w:divBdr>
                <w:top w:val="none" w:sz="0" w:space="0" w:color="auto"/>
                <w:left w:val="none" w:sz="0" w:space="0" w:color="auto"/>
                <w:bottom w:val="none" w:sz="0" w:space="0" w:color="auto"/>
                <w:right w:val="none" w:sz="0" w:space="0" w:color="auto"/>
              </w:divBdr>
              <w:divsChild>
                <w:div w:id="498621097">
                  <w:marLeft w:val="0"/>
                  <w:marRight w:val="0"/>
                  <w:marTop w:val="0"/>
                  <w:marBottom w:val="0"/>
                  <w:divBdr>
                    <w:top w:val="none" w:sz="0" w:space="0" w:color="auto"/>
                    <w:left w:val="none" w:sz="0" w:space="0" w:color="auto"/>
                    <w:bottom w:val="none" w:sz="0" w:space="0" w:color="auto"/>
                    <w:right w:val="none" w:sz="0" w:space="0" w:color="auto"/>
                  </w:divBdr>
                </w:div>
              </w:divsChild>
            </w:div>
            <w:div w:id="564799491">
              <w:marLeft w:val="0"/>
              <w:marRight w:val="0"/>
              <w:marTop w:val="0"/>
              <w:marBottom w:val="0"/>
              <w:divBdr>
                <w:top w:val="none" w:sz="0" w:space="0" w:color="auto"/>
                <w:left w:val="none" w:sz="0" w:space="0" w:color="auto"/>
                <w:bottom w:val="none" w:sz="0" w:space="0" w:color="auto"/>
                <w:right w:val="none" w:sz="0" w:space="0" w:color="auto"/>
              </w:divBdr>
              <w:divsChild>
                <w:div w:id="1069960495">
                  <w:marLeft w:val="0"/>
                  <w:marRight w:val="0"/>
                  <w:marTop w:val="0"/>
                  <w:marBottom w:val="0"/>
                  <w:divBdr>
                    <w:top w:val="none" w:sz="0" w:space="0" w:color="auto"/>
                    <w:left w:val="none" w:sz="0" w:space="0" w:color="auto"/>
                    <w:bottom w:val="none" w:sz="0" w:space="0" w:color="auto"/>
                    <w:right w:val="none" w:sz="0" w:space="0" w:color="auto"/>
                  </w:divBdr>
                </w:div>
              </w:divsChild>
            </w:div>
            <w:div w:id="565846722">
              <w:marLeft w:val="0"/>
              <w:marRight w:val="0"/>
              <w:marTop w:val="0"/>
              <w:marBottom w:val="0"/>
              <w:divBdr>
                <w:top w:val="none" w:sz="0" w:space="0" w:color="auto"/>
                <w:left w:val="none" w:sz="0" w:space="0" w:color="auto"/>
                <w:bottom w:val="none" w:sz="0" w:space="0" w:color="auto"/>
                <w:right w:val="none" w:sz="0" w:space="0" w:color="auto"/>
              </w:divBdr>
              <w:divsChild>
                <w:div w:id="1184392744">
                  <w:marLeft w:val="0"/>
                  <w:marRight w:val="0"/>
                  <w:marTop w:val="0"/>
                  <w:marBottom w:val="0"/>
                  <w:divBdr>
                    <w:top w:val="none" w:sz="0" w:space="0" w:color="auto"/>
                    <w:left w:val="none" w:sz="0" w:space="0" w:color="auto"/>
                    <w:bottom w:val="none" w:sz="0" w:space="0" w:color="auto"/>
                    <w:right w:val="none" w:sz="0" w:space="0" w:color="auto"/>
                  </w:divBdr>
                </w:div>
              </w:divsChild>
            </w:div>
            <w:div w:id="611786615">
              <w:marLeft w:val="0"/>
              <w:marRight w:val="0"/>
              <w:marTop w:val="0"/>
              <w:marBottom w:val="0"/>
              <w:divBdr>
                <w:top w:val="none" w:sz="0" w:space="0" w:color="auto"/>
                <w:left w:val="none" w:sz="0" w:space="0" w:color="auto"/>
                <w:bottom w:val="none" w:sz="0" w:space="0" w:color="auto"/>
                <w:right w:val="none" w:sz="0" w:space="0" w:color="auto"/>
              </w:divBdr>
              <w:divsChild>
                <w:div w:id="1993243721">
                  <w:marLeft w:val="0"/>
                  <w:marRight w:val="0"/>
                  <w:marTop w:val="0"/>
                  <w:marBottom w:val="0"/>
                  <w:divBdr>
                    <w:top w:val="none" w:sz="0" w:space="0" w:color="auto"/>
                    <w:left w:val="none" w:sz="0" w:space="0" w:color="auto"/>
                    <w:bottom w:val="none" w:sz="0" w:space="0" w:color="auto"/>
                    <w:right w:val="none" w:sz="0" w:space="0" w:color="auto"/>
                  </w:divBdr>
                </w:div>
              </w:divsChild>
            </w:div>
            <w:div w:id="614485454">
              <w:marLeft w:val="0"/>
              <w:marRight w:val="0"/>
              <w:marTop w:val="0"/>
              <w:marBottom w:val="0"/>
              <w:divBdr>
                <w:top w:val="none" w:sz="0" w:space="0" w:color="auto"/>
                <w:left w:val="none" w:sz="0" w:space="0" w:color="auto"/>
                <w:bottom w:val="none" w:sz="0" w:space="0" w:color="auto"/>
                <w:right w:val="none" w:sz="0" w:space="0" w:color="auto"/>
              </w:divBdr>
              <w:divsChild>
                <w:div w:id="1190143643">
                  <w:marLeft w:val="0"/>
                  <w:marRight w:val="0"/>
                  <w:marTop w:val="0"/>
                  <w:marBottom w:val="0"/>
                  <w:divBdr>
                    <w:top w:val="none" w:sz="0" w:space="0" w:color="auto"/>
                    <w:left w:val="none" w:sz="0" w:space="0" w:color="auto"/>
                    <w:bottom w:val="none" w:sz="0" w:space="0" w:color="auto"/>
                    <w:right w:val="none" w:sz="0" w:space="0" w:color="auto"/>
                  </w:divBdr>
                </w:div>
              </w:divsChild>
            </w:div>
            <w:div w:id="618418065">
              <w:marLeft w:val="0"/>
              <w:marRight w:val="0"/>
              <w:marTop w:val="0"/>
              <w:marBottom w:val="0"/>
              <w:divBdr>
                <w:top w:val="none" w:sz="0" w:space="0" w:color="auto"/>
                <w:left w:val="none" w:sz="0" w:space="0" w:color="auto"/>
                <w:bottom w:val="none" w:sz="0" w:space="0" w:color="auto"/>
                <w:right w:val="none" w:sz="0" w:space="0" w:color="auto"/>
              </w:divBdr>
              <w:divsChild>
                <w:div w:id="2106608806">
                  <w:marLeft w:val="0"/>
                  <w:marRight w:val="0"/>
                  <w:marTop w:val="0"/>
                  <w:marBottom w:val="0"/>
                  <w:divBdr>
                    <w:top w:val="none" w:sz="0" w:space="0" w:color="auto"/>
                    <w:left w:val="none" w:sz="0" w:space="0" w:color="auto"/>
                    <w:bottom w:val="none" w:sz="0" w:space="0" w:color="auto"/>
                    <w:right w:val="none" w:sz="0" w:space="0" w:color="auto"/>
                  </w:divBdr>
                </w:div>
              </w:divsChild>
            </w:div>
            <w:div w:id="641347531">
              <w:marLeft w:val="0"/>
              <w:marRight w:val="0"/>
              <w:marTop w:val="0"/>
              <w:marBottom w:val="0"/>
              <w:divBdr>
                <w:top w:val="none" w:sz="0" w:space="0" w:color="auto"/>
                <w:left w:val="none" w:sz="0" w:space="0" w:color="auto"/>
                <w:bottom w:val="none" w:sz="0" w:space="0" w:color="auto"/>
                <w:right w:val="none" w:sz="0" w:space="0" w:color="auto"/>
              </w:divBdr>
              <w:divsChild>
                <w:div w:id="2107067125">
                  <w:marLeft w:val="0"/>
                  <w:marRight w:val="0"/>
                  <w:marTop w:val="0"/>
                  <w:marBottom w:val="0"/>
                  <w:divBdr>
                    <w:top w:val="none" w:sz="0" w:space="0" w:color="auto"/>
                    <w:left w:val="none" w:sz="0" w:space="0" w:color="auto"/>
                    <w:bottom w:val="none" w:sz="0" w:space="0" w:color="auto"/>
                    <w:right w:val="none" w:sz="0" w:space="0" w:color="auto"/>
                  </w:divBdr>
                </w:div>
              </w:divsChild>
            </w:div>
            <w:div w:id="645817239">
              <w:marLeft w:val="0"/>
              <w:marRight w:val="0"/>
              <w:marTop w:val="0"/>
              <w:marBottom w:val="0"/>
              <w:divBdr>
                <w:top w:val="none" w:sz="0" w:space="0" w:color="auto"/>
                <w:left w:val="none" w:sz="0" w:space="0" w:color="auto"/>
                <w:bottom w:val="none" w:sz="0" w:space="0" w:color="auto"/>
                <w:right w:val="none" w:sz="0" w:space="0" w:color="auto"/>
              </w:divBdr>
              <w:divsChild>
                <w:div w:id="1846749601">
                  <w:marLeft w:val="0"/>
                  <w:marRight w:val="0"/>
                  <w:marTop w:val="0"/>
                  <w:marBottom w:val="0"/>
                  <w:divBdr>
                    <w:top w:val="none" w:sz="0" w:space="0" w:color="auto"/>
                    <w:left w:val="none" w:sz="0" w:space="0" w:color="auto"/>
                    <w:bottom w:val="none" w:sz="0" w:space="0" w:color="auto"/>
                    <w:right w:val="none" w:sz="0" w:space="0" w:color="auto"/>
                  </w:divBdr>
                </w:div>
              </w:divsChild>
            </w:div>
            <w:div w:id="751045544">
              <w:marLeft w:val="0"/>
              <w:marRight w:val="0"/>
              <w:marTop w:val="0"/>
              <w:marBottom w:val="0"/>
              <w:divBdr>
                <w:top w:val="none" w:sz="0" w:space="0" w:color="auto"/>
                <w:left w:val="none" w:sz="0" w:space="0" w:color="auto"/>
                <w:bottom w:val="none" w:sz="0" w:space="0" w:color="auto"/>
                <w:right w:val="none" w:sz="0" w:space="0" w:color="auto"/>
              </w:divBdr>
              <w:divsChild>
                <w:div w:id="430661476">
                  <w:marLeft w:val="0"/>
                  <w:marRight w:val="0"/>
                  <w:marTop w:val="0"/>
                  <w:marBottom w:val="0"/>
                  <w:divBdr>
                    <w:top w:val="none" w:sz="0" w:space="0" w:color="auto"/>
                    <w:left w:val="none" w:sz="0" w:space="0" w:color="auto"/>
                    <w:bottom w:val="none" w:sz="0" w:space="0" w:color="auto"/>
                    <w:right w:val="none" w:sz="0" w:space="0" w:color="auto"/>
                  </w:divBdr>
                </w:div>
              </w:divsChild>
            </w:div>
            <w:div w:id="777876030">
              <w:marLeft w:val="0"/>
              <w:marRight w:val="0"/>
              <w:marTop w:val="0"/>
              <w:marBottom w:val="0"/>
              <w:divBdr>
                <w:top w:val="none" w:sz="0" w:space="0" w:color="auto"/>
                <w:left w:val="none" w:sz="0" w:space="0" w:color="auto"/>
                <w:bottom w:val="none" w:sz="0" w:space="0" w:color="auto"/>
                <w:right w:val="none" w:sz="0" w:space="0" w:color="auto"/>
              </w:divBdr>
              <w:divsChild>
                <w:div w:id="523330398">
                  <w:marLeft w:val="0"/>
                  <w:marRight w:val="0"/>
                  <w:marTop w:val="0"/>
                  <w:marBottom w:val="0"/>
                  <w:divBdr>
                    <w:top w:val="none" w:sz="0" w:space="0" w:color="auto"/>
                    <w:left w:val="none" w:sz="0" w:space="0" w:color="auto"/>
                    <w:bottom w:val="none" w:sz="0" w:space="0" w:color="auto"/>
                    <w:right w:val="none" w:sz="0" w:space="0" w:color="auto"/>
                  </w:divBdr>
                </w:div>
              </w:divsChild>
            </w:div>
            <w:div w:id="863708356">
              <w:marLeft w:val="0"/>
              <w:marRight w:val="0"/>
              <w:marTop w:val="0"/>
              <w:marBottom w:val="0"/>
              <w:divBdr>
                <w:top w:val="none" w:sz="0" w:space="0" w:color="auto"/>
                <w:left w:val="none" w:sz="0" w:space="0" w:color="auto"/>
                <w:bottom w:val="none" w:sz="0" w:space="0" w:color="auto"/>
                <w:right w:val="none" w:sz="0" w:space="0" w:color="auto"/>
              </w:divBdr>
              <w:divsChild>
                <w:div w:id="1707292917">
                  <w:marLeft w:val="0"/>
                  <w:marRight w:val="0"/>
                  <w:marTop w:val="0"/>
                  <w:marBottom w:val="0"/>
                  <w:divBdr>
                    <w:top w:val="none" w:sz="0" w:space="0" w:color="auto"/>
                    <w:left w:val="none" w:sz="0" w:space="0" w:color="auto"/>
                    <w:bottom w:val="none" w:sz="0" w:space="0" w:color="auto"/>
                    <w:right w:val="none" w:sz="0" w:space="0" w:color="auto"/>
                  </w:divBdr>
                </w:div>
              </w:divsChild>
            </w:div>
            <w:div w:id="873270048">
              <w:marLeft w:val="0"/>
              <w:marRight w:val="0"/>
              <w:marTop w:val="0"/>
              <w:marBottom w:val="0"/>
              <w:divBdr>
                <w:top w:val="none" w:sz="0" w:space="0" w:color="auto"/>
                <w:left w:val="none" w:sz="0" w:space="0" w:color="auto"/>
                <w:bottom w:val="none" w:sz="0" w:space="0" w:color="auto"/>
                <w:right w:val="none" w:sz="0" w:space="0" w:color="auto"/>
              </w:divBdr>
              <w:divsChild>
                <w:div w:id="755172640">
                  <w:marLeft w:val="0"/>
                  <w:marRight w:val="0"/>
                  <w:marTop w:val="0"/>
                  <w:marBottom w:val="0"/>
                  <w:divBdr>
                    <w:top w:val="none" w:sz="0" w:space="0" w:color="auto"/>
                    <w:left w:val="none" w:sz="0" w:space="0" w:color="auto"/>
                    <w:bottom w:val="none" w:sz="0" w:space="0" w:color="auto"/>
                    <w:right w:val="none" w:sz="0" w:space="0" w:color="auto"/>
                  </w:divBdr>
                </w:div>
              </w:divsChild>
            </w:div>
            <w:div w:id="879627965">
              <w:marLeft w:val="0"/>
              <w:marRight w:val="0"/>
              <w:marTop w:val="0"/>
              <w:marBottom w:val="0"/>
              <w:divBdr>
                <w:top w:val="none" w:sz="0" w:space="0" w:color="auto"/>
                <w:left w:val="none" w:sz="0" w:space="0" w:color="auto"/>
                <w:bottom w:val="none" w:sz="0" w:space="0" w:color="auto"/>
                <w:right w:val="none" w:sz="0" w:space="0" w:color="auto"/>
              </w:divBdr>
              <w:divsChild>
                <w:div w:id="449251790">
                  <w:marLeft w:val="0"/>
                  <w:marRight w:val="0"/>
                  <w:marTop w:val="0"/>
                  <w:marBottom w:val="0"/>
                  <w:divBdr>
                    <w:top w:val="none" w:sz="0" w:space="0" w:color="auto"/>
                    <w:left w:val="none" w:sz="0" w:space="0" w:color="auto"/>
                    <w:bottom w:val="none" w:sz="0" w:space="0" w:color="auto"/>
                    <w:right w:val="none" w:sz="0" w:space="0" w:color="auto"/>
                  </w:divBdr>
                </w:div>
              </w:divsChild>
            </w:div>
            <w:div w:id="893079058">
              <w:marLeft w:val="0"/>
              <w:marRight w:val="0"/>
              <w:marTop w:val="0"/>
              <w:marBottom w:val="0"/>
              <w:divBdr>
                <w:top w:val="none" w:sz="0" w:space="0" w:color="auto"/>
                <w:left w:val="none" w:sz="0" w:space="0" w:color="auto"/>
                <w:bottom w:val="none" w:sz="0" w:space="0" w:color="auto"/>
                <w:right w:val="none" w:sz="0" w:space="0" w:color="auto"/>
              </w:divBdr>
              <w:divsChild>
                <w:div w:id="13266446">
                  <w:marLeft w:val="0"/>
                  <w:marRight w:val="0"/>
                  <w:marTop w:val="0"/>
                  <w:marBottom w:val="0"/>
                  <w:divBdr>
                    <w:top w:val="none" w:sz="0" w:space="0" w:color="auto"/>
                    <w:left w:val="none" w:sz="0" w:space="0" w:color="auto"/>
                    <w:bottom w:val="none" w:sz="0" w:space="0" w:color="auto"/>
                    <w:right w:val="none" w:sz="0" w:space="0" w:color="auto"/>
                  </w:divBdr>
                </w:div>
              </w:divsChild>
            </w:div>
            <w:div w:id="897979888">
              <w:marLeft w:val="0"/>
              <w:marRight w:val="0"/>
              <w:marTop w:val="0"/>
              <w:marBottom w:val="0"/>
              <w:divBdr>
                <w:top w:val="none" w:sz="0" w:space="0" w:color="auto"/>
                <w:left w:val="none" w:sz="0" w:space="0" w:color="auto"/>
                <w:bottom w:val="none" w:sz="0" w:space="0" w:color="auto"/>
                <w:right w:val="none" w:sz="0" w:space="0" w:color="auto"/>
              </w:divBdr>
              <w:divsChild>
                <w:div w:id="622813012">
                  <w:marLeft w:val="0"/>
                  <w:marRight w:val="0"/>
                  <w:marTop w:val="0"/>
                  <w:marBottom w:val="0"/>
                  <w:divBdr>
                    <w:top w:val="none" w:sz="0" w:space="0" w:color="auto"/>
                    <w:left w:val="none" w:sz="0" w:space="0" w:color="auto"/>
                    <w:bottom w:val="none" w:sz="0" w:space="0" w:color="auto"/>
                    <w:right w:val="none" w:sz="0" w:space="0" w:color="auto"/>
                  </w:divBdr>
                </w:div>
              </w:divsChild>
            </w:div>
            <w:div w:id="905727861">
              <w:marLeft w:val="0"/>
              <w:marRight w:val="0"/>
              <w:marTop w:val="0"/>
              <w:marBottom w:val="0"/>
              <w:divBdr>
                <w:top w:val="none" w:sz="0" w:space="0" w:color="auto"/>
                <w:left w:val="none" w:sz="0" w:space="0" w:color="auto"/>
                <w:bottom w:val="none" w:sz="0" w:space="0" w:color="auto"/>
                <w:right w:val="none" w:sz="0" w:space="0" w:color="auto"/>
              </w:divBdr>
              <w:divsChild>
                <w:div w:id="658774763">
                  <w:marLeft w:val="0"/>
                  <w:marRight w:val="0"/>
                  <w:marTop w:val="0"/>
                  <w:marBottom w:val="0"/>
                  <w:divBdr>
                    <w:top w:val="none" w:sz="0" w:space="0" w:color="auto"/>
                    <w:left w:val="none" w:sz="0" w:space="0" w:color="auto"/>
                    <w:bottom w:val="none" w:sz="0" w:space="0" w:color="auto"/>
                    <w:right w:val="none" w:sz="0" w:space="0" w:color="auto"/>
                  </w:divBdr>
                </w:div>
              </w:divsChild>
            </w:div>
            <w:div w:id="913244724">
              <w:marLeft w:val="0"/>
              <w:marRight w:val="0"/>
              <w:marTop w:val="0"/>
              <w:marBottom w:val="0"/>
              <w:divBdr>
                <w:top w:val="none" w:sz="0" w:space="0" w:color="auto"/>
                <w:left w:val="none" w:sz="0" w:space="0" w:color="auto"/>
                <w:bottom w:val="none" w:sz="0" w:space="0" w:color="auto"/>
                <w:right w:val="none" w:sz="0" w:space="0" w:color="auto"/>
              </w:divBdr>
              <w:divsChild>
                <w:div w:id="2041932839">
                  <w:marLeft w:val="0"/>
                  <w:marRight w:val="0"/>
                  <w:marTop w:val="0"/>
                  <w:marBottom w:val="0"/>
                  <w:divBdr>
                    <w:top w:val="none" w:sz="0" w:space="0" w:color="auto"/>
                    <w:left w:val="none" w:sz="0" w:space="0" w:color="auto"/>
                    <w:bottom w:val="none" w:sz="0" w:space="0" w:color="auto"/>
                    <w:right w:val="none" w:sz="0" w:space="0" w:color="auto"/>
                  </w:divBdr>
                </w:div>
              </w:divsChild>
            </w:div>
            <w:div w:id="923149635">
              <w:marLeft w:val="0"/>
              <w:marRight w:val="0"/>
              <w:marTop w:val="0"/>
              <w:marBottom w:val="0"/>
              <w:divBdr>
                <w:top w:val="none" w:sz="0" w:space="0" w:color="auto"/>
                <w:left w:val="none" w:sz="0" w:space="0" w:color="auto"/>
                <w:bottom w:val="none" w:sz="0" w:space="0" w:color="auto"/>
                <w:right w:val="none" w:sz="0" w:space="0" w:color="auto"/>
              </w:divBdr>
              <w:divsChild>
                <w:div w:id="41443266">
                  <w:marLeft w:val="0"/>
                  <w:marRight w:val="0"/>
                  <w:marTop w:val="0"/>
                  <w:marBottom w:val="0"/>
                  <w:divBdr>
                    <w:top w:val="none" w:sz="0" w:space="0" w:color="auto"/>
                    <w:left w:val="none" w:sz="0" w:space="0" w:color="auto"/>
                    <w:bottom w:val="none" w:sz="0" w:space="0" w:color="auto"/>
                    <w:right w:val="none" w:sz="0" w:space="0" w:color="auto"/>
                  </w:divBdr>
                </w:div>
              </w:divsChild>
            </w:div>
            <w:div w:id="950624787">
              <w:marLeft w:val="0"/>
              <w:marRight w:val="0"/>
              <w:marTop w:val="0"/>
              <w:marBottom w:val="0"/>
              <w:divBdr>
                <w:top w:val="none" w:sz="0" w:space="0" w:color="auto"/>
                <w:left w:val="none" w:sz="0" w:space="0" w:color="auto"/>
                <w:bottom w:val="none" w:sz="0" w:space="0" w:color="auto"/>
                <w:right w:val="none" w:sz="0" w:space="0" w:color="auto"/>
              </w:divBdr>
              <w:divsChild>
                <w:div w:id="1089548062">
                  <w:marLeft w:val="0"/>
                  <w:marRight w:val="0"/>
                  <w:marTop w:val="0"/>
                  <w:marBottom w:val="0"/>
                  <w:divBdr>
                    <w:top w:val="none" w:sz="0" w:space="0" w:color="auto"/>
                    <w:left w:val="none" w:sz="0" w:space="0" w:color="auto"/>
                    <w:bottom w:val="none" w:sz="0" w:space="0" w:color="auto"/>
                    <w:right w:val="none" w:sz="0" w:space="0" w:color="auto"/>
                  </w:divBdr>
                </w:div>
              </w:divsChild>
            </w:div>
            <w:div w:id="995258147">
              <w:marLeft w:val="0"/>
              <w:marRight w:val="0"/>
              <w:marTop w:val="0"/>
              <w:marBottom w:val="0"/>
              <w:divBdr>
                <w:top w:val="none" w:sz="0" w:space="0" w:color="auto"/>
                <w:left w:val="none" w:sz="0" w:space="0" w:color="auto"/>
                <w:bottom w:val="none" w:sz="0" w:space="0" w:color="auto"/>
                <w:right w:val="none" w:sz="0" w:space="0" w:color="auto"/>
              </w:divBdr>
              <w:divsChild>
                <w:div w:id="2041591309">
                  <w:marLeft w:val="0"/>
                  <w:marRight w:val="0"/>
                  <w:marTop w:val="0"/>
                  <w:marBottom w:val="0"/>
                  <w:divBdr>
                    <w:top w:val="none" w:sz="0" w:space="0" w:color="auto"/>
                    <w:left w:val="none" w:sz="0" w:space="0" w:color="auto"/>
                    <w:bottom w:val="none" w:sz="0" w:space="0" w:color="auto"/>
                    <w:right w:val="none" w:sz="0" w:space="0" w:color="auto"/>
                  </w:divBdr>
                </w:div>
              </w:divsChild>
            </w:div>
            <w:div w:id="1006976029">
              <w:marLeft w:val="0"/>
              <w:marRight w:val="0"/>
              <w:marTop w:val="0"/>
              <w:marBottom w:val="0"/>
              <w:divBdr>
                <w:top w:val="none" w:sz="0" w:space="0" w:color="auto"/>
                <w:left w:val="none" w:sz="0" w:space="0" w:color="auto"/>
                <w:bottom w:val="none" w:sz="0" w:space="0" w:color="auto"/>
                <w:right w:val="none" w:sz="0" w:space="0" w:color="auto"/>
              </w:divBdr>
              <w:divsChild>
                <w:div w:id="279917163">
                  <w:marLeft w:val="0"/>
                  <w:marRight w:val="0"/>
                  <w:marTop w:val="0"/>
                  <w:marBottom w:val="0"/>
                  <w:divBdr>
                    <w:top w:val="none" w:sz="0" w:space="0" w:color="auto"/>
                    <w:left w:val="none" w:sz="0" w:space="0" w:color="auto"/>
                    <w:bottom w:val="none" w:sz="0" w:space="0" w:color="auto"/>
                    <w:right w:val="none" w:sz="0" w:space="0" w:color="auto"/>
                  </w:divBdr>
                </w:div>
              </w:divsChild>
            </w:div>
            <w:div w:id="1010793254">
              <w:marLeft w:val="0"/>
              <w:marRight w:val="0"/>
              <w:marTop w:val="0"/>
              <w:marBottom w:val="0"/>
              <w:divBdr>
                <w:top w:val="none" w:sz="0" w:space="0" w:color="auto"/>
                <w:left w:val="none" w:sz="0" w:space="0" w:color="auto"/>
                <w:bottom w:val="none" w:sz="0" w:space="0" w:color="auto"/>
                <w:right w:val="none" w:sz="0" w:space="0" w:color="auto"/>
              </w:divBdr>
              <w:divsChild>
                <w:div w:id="743768499">
                  <w:marLeft w:val="0"/>
                  <w:marRight w:val="0"/>
                  <w:marTop w:val="0"/>
                  <w:marBottom w:val="0"/>
                  <w:divBdr>
                    <w:top w:val="none" w:sz="0" w:space="0" w:color="auto"/>
                    <w:left w:val="none" w:sz="0" w:space="0" w:color="auto"/>
                    <w:bottom w:val="none" w:sz="0" w:space="0" w:color="auto"/>
                    <w:right w:val="none" w:sz="0" w:space="0" w:color="auto"/>
                  </w:divBdr>
                </w:div>
              </w:divsChild>
            </w:div>
            <w:div w:id="1026908990">
              <w:marLeft w:val="0"/>
              <w:marRight w:val="0"/>
              <w:marTop w:val="0"/>
              <w:marBottom w:val="0"/>
              <w:divBdr>
                <w:top w:val="none" w:sz="0" w:space="0" w:color="auto"/>
                <w:left w:val="none" w:sz="0" w:space="0" w:color="auto"/>
                <w:bottom w:val="none" w:sz="0" w:space="0" w:color="auto"/>
                <w:right w:val="none" w:sz="0" w:space="0" w:color="auto"/>
              </w:divBdr>
              <w:divsChild>
                <w:div w:id="1490098439">
                  <w:marLeft w:val="0"/>
                  <w:marRight w:val="0"/>
                  <w:marTop w:val="0"/>
                  <w:marBottom w:val="0"/>
                  <w:divBdr>
                    <w:top w:val="none" w:sz="0" w:space="0" w:color="auto"/>
                    <w:left w:val="none" w:sz="0" w:space="0" w:color="auto"/>
                    <w:bottom w:val="none" w:sz="0" w:space="0" w:color="auto"/>
                    <w:right w:val="none" w:sz="0" w:space="0" w:color="auto"/>
                  </w:divBdr>
                </w:div>
              </w:divsChild>
            </w:div>
            <w:div w:id="1037924308">
              <w:marLeft w:val="0"/>
              <w:marRight w:val="0"/>
              <w:marTop w:val="0"/>
              <w:marBottom w:val="0"/>
              <w:divBdr>
                <w:top w:val="none" w:sz="0" w:space="0" w:color="auto"/>
                <w:left w:val="none" w:sz="0" w:space="0" w:color="auto"/>
                <w:bottom w:val="none" w:sz="0" w:space="0" w:color="auto"/>
                <w:right w:val="none" w:sz="0" w:space="0" w:color="auto"/>
              </w:divBdr>
              <w:divsChild>
                <w:div w:id="281156505">
                  <w:marLeft w:val="0"/>
                  <w:marRight w:val="0"/>
                  <w:marTop w:val="0"/>
                  <w:marBottom w:val="0"/>
                  <w:divBdr>
                    <w:top w:val="none" w:sz="0" w:space="0" w:color="auto"/>
                    <w:left w:val="none" w:sz="0" w:space="0" w:color="auto"/>
                    <w:bottom w:val="none" w:sz="0" w:space="0" w:color="auto"/>
                    <w:right w:val="none" w:sz="0" w:space="0" w:color="auto"/>
                  </w:divBdr>
                </w:div>
              </w:divsChild>
            </w:div>
            <w:div w:id="1042093580">
              <w:marLeft w:val="0"/>
              <w:marRight w:val="0"/>
              <w:marTop w:val="0"/>
              <w:marBottom w:val="0"/>
              <w:divBdr>
                <w:top w:val="none" w:sz="0" w:space="0" w:color="auto"/>
                <w:left w:val="none" w:sz="0" w:space="0" w:color="auto"/>
                <w:bottom w:val="none" w:sz="0" w:space="0" w:color="auto"/>
                <w:right w:val="none" w:sz="0" w:space="0" w:color="auto"/>
              </w:divBdr>
              <w:divsChild>
                <w:div w:id="671881356">
                  <w:marLeft w:val="0"/>
                  <w:marRight w:val="0"/>
                  <w:marTop w:val="0"/>
                  <w:marBottom w:val="0"/>
                  <w:divBdr>
                    <w:top w:val="none" w:sz="0" w:space="0" w:color="auto"/>
                    <w:left w:val="none" w:sz="0" w:space="0" w:color="auto"/>
                    <w:bottom w:val="none" w:sz="0" w:space="0" w:color="auto"/>
                    <w:right w:val="none" w:sz="0" w:space="0" w:color="auto"/>
                  </w:divBdr>
                </w:div>
              </w:divsChild>
            </w:div>
            <w:div w:id="1057625553">
              <w:marLeft w:val="0"/>
              <w:marRight w:val="0"/>
              <w:marTop w:val="0"/>
              <w:marBottom w:val="0"/>
              <w:divBdr>
                <w:top w:val="none" w:sz="0" w:space="0" w:color="auto"/>
                <w:left w:val="none" w:sz="0" w:space="0" w:color="auto"/>
                <w:bottom w:val="none" w:sz="0" w:space="0" w:color="auto"/>
                <w:right w:val="none" w:sz="0" w:space="0" w:color="auto"/>
              </w:divBdr>
              <w:divsChild>
                <w:div w:id="1154491239">
                  <w:marLeft w:val="0"/>
                  <w:marRight w:val="0"/>
                  <w:marTop w:val="0"/>
                  <w:marBottom w:val="0"/>
                  <w:divBdr>
                    <w:top w:val="none" w:sz="0" w:space="0" w:color="auto"/>
                    <w:left w:val="none" w:sz="0" w:space="0" w:color="auto"/>
                    <w:bottom w:val="none" w:sz="0" w:space="0" w:color="auto"/>
                    <w:right w:val="none" w:sz="0" w:space="0" w:color="auto"/>
                  </w:divBdr>
                </w:div>
              </w:divsChild>
            </w:div>
            <w:div w:id="1070733947">
              <w:marLeft w:val="0"/>
              <w:marRight w:val="0"/>
              <w:marTop w:val="0"/>
              <w:marBottom w:val="0"/>
              <w:divBdr>
                <w:top w:val="none" w:sz="0" w:space="0" w:color="auto"/>
                <w:left w:val="none" w:sz="0" w:space="0" w:color="auto"/>
                <w:bottom w:val="none" w:sz="0" w:space="0" w:color="auto"/>
                <w:right w:val="none" w:sz="0" w:space="0" w:color="auto"/>
              </w:divBdr>
              <w:divsChild>
                <w:div w:id="1136949748">
                  <w:marLeft w:val="0"/>
                  <w:marRight w:val="0"/>
                  <w:marTop w:val="0"/>
                  <w:marBottom w:val="0"/>
                  <w:divBdr>
                    <w:top w:val="none" w:sz="0" w:space="0" w:color="auto"/>
                    <w:left w:val="none" w:sz="0" w:space="0" w:color="auto"/>
                    <w:bottom w:val="none" w:sz="0" w:space="0" w:color="auto"/>
                    <w:right w:val="none" w:sz="0" w:space="0" w:color="auto"/>
                  </w:divBdr>
                </w:div>
              </w:divsChild>
            </w:div>
            <w:div w:id="1072198347">
              <w:marLeft w:val="0"/>
              <w:marRight w:val="0"/>
              <w:marTop w:val="0"/>
              <w:marBottom w:val="0"/>
              <w:divBdr>
                <w:top w:val="none" w:sz="0" w:space="0" w:color="auto"/>
                <w:left w:val="none" w:sz="0" w:space="0" w:color="auto"/>
                <w:bottom w:val="none" w:sz="0" w:space="0" w:color="auto"/>
                <w:right w:val="none" w:sz="0" w:space="0" w:color="auto"/>
              </w:divBdr>
              <w:divsChild>
                <w:div w:id="437064060">
                  <w:marLeft w:val="0"/>
                  <w:marRight w:val="0"/>
                  <w:marTop w:val="0"/>
                  <w:marBottom w:val="0"/>
                  <w:divBdr>
                    <w:top w:val="none" w:sz="0" w:space="0" w:color="auto"/>
                    <w:left w:val="none" w:sz="0" w:space="0" w:color="auto"/>
                    <w:bottom w:val="none" w:sz="0" w:space="0" w:color="auto"/>
                    <w:right w:val="none" w:sz="0" w:space="0" w:color="auto"/>
                  </w:divBdr>
                </w:div>
              </w:divsChild>
            </w:div>
            <w:div w:id="1083065199">
              <w:marLeft w:val="0"/>
              <w:marRight w:val="0"/>
              <w:marTop w:val="0"/>
              <w:marBottom w:val="0"/>
              <w:divBdr>
                <w:top w:val="none" w:sz="0" w:space="0" w:color="auto"/>
                <w:left w:val="none" w:sz="0" w:space="0" w:color="auto"/>
                <w:bottom w:val="none" w:sz="0" w:space="0" w:color="auto"/>
                <w:right w:val="none" w:sz="0" w:space="0" w:color="auto"/>
              </w:divBdr>
              <w:divsChild>
                <w:div w:id="558327867">
                  <w:marLeft w:val="0"/>
                  <w:marRight w:val="0"/>
                  <w:marTop w:val="0"/>
                  <w:marBottom w:val="0"/>
                  <w:divBdr>
                    <w:top w:val="none" w:sz="0" w:space="0" w:color="auto"/>
                    <w:left w:val="none" w:sz="0" w:space="0" w:color="auto"/>
                    <w:bottom w:val="none" w:sz="0" w:space="0" w:color="auto"/>
                    <w:right w:val="none" w:sz="0" w:space="0" w:color="auto"/>
                  </w:divBdr>
                </w:div>
              </w:divsChild>
            </w:div>
            <w:div w:id="1117717897">
              <w:marLeft w:val="0"/>
              <w:marRight w:val="0"/>
              <w:marTop w:val="0"/>
              <w:marBottom w:val="0"/>
              <w:divBdr>
                <w:top w:val="none" w:sz="0" w:space="0" w:color="auto"/>
                <w:left w:val="none" w:sz="0" w:space="0" w:color="auto"/>
                <w:bottom w:val="none" w:sz="0" w:space="0" w:color="auto"/>
                <w:right w:val="none" w:sz="0" w:space="0" w:color="auto"/>
              </w:divBdr>
              <w:divsChild>
                <w:div w:id="840318795">
                  <w:marLeft w:val="0"/>
                  <w:marRight w:val="0"/>
                  <w:marTop w:val="0"/>
                  <w:marBottom w:val="0"/>
                  <w:divBdr>
                    <w:top w:val="none" w:sz="0" w:space="0" w:color="auto"/>
                    <w:left w:val="none" w:sz="0" w:space="0" w:color="auto"/>
                    <w:bottom w:val="none" w:sz="0" w:space="0" w:color="auto"/>
                    <w:right w:val="none" w:sz="0" w:space="0" w:color="auto"/>
                  </w:divBdr>
                </w:div>
              </w:divsChild>
            </w:div>
            <w:div w:id="1123040045">
              <w:marLeft w:val="0"/>
              <w:marRight w:val="0"/>
              <w:marTop w:val="0"/>
              <w:marBottom w:val="0"/>
              <w:divBdr>
                <w:top w:val="none" w:sz="0" w:space="0" w:color="auto"/>
                <w:left w:val="none" w:sz="0" w:space="0" w:color="auto"/>
                <w:bottom w:val="none" w:sz="0" w:space="0" w:color="auto"/>
                <w:right w:val="none" w:sz="0" w:space="0" w:color="auto"/>
              </w:divBdr>
              <w:divsChild>
                <w:div w:id="1223518807">
                  <w:marLeft w:val="0"/>
                  <w:marRight w:val="0"/>
                  <w:marTop w:val="0"/>
                  <w:marBottom w:val="0"/>
                  <w:divBdr>
                    <w:top w:val="none" w:sz="0" w:space="0" w:color="auto"/>
                    <w:left w:val="none" w:sz="0" w:space="0" w:color="auto"/>
                    <w:bottom w:val="none" w:sz="0" w:space="0" w:color="auto"/>
                    <w:right w:val="none" w:sz="0" w:space="0" w:color="auto"/>
                  </w:divBdr>
                </w:div>
              </w:divsChild>
            </w:div>
            <w:div w:id="1150099522">
              <w:marLeft w:val="0"/>
              <w:marRight w:val="0"/>
              <w:marTop w:val="0"/>
              <w:marBottom w:val="0"/>
              <w:divBdr>
                <w:top w:val="none" w:sz="0" w:space="0" w:color="auto"/>
                <w:left w:val="none" w:sz="0" w:space="0" w:color="auto"/>
                <w:bottom w:val="none" w:sz="0" w:space="0" w:color="auto"/>
                <w:right w:val="none" w:sz="0" w:space="0" w:color="auto"/>
              </w:divBdr>
              <w:divsChild>
                <w:div w:id="2090612358">
                  <w:marLeft w:val="0"/>
                  <w:marRight w:val="0"/>
                  <w:marTop w:val="0"/>
                  <w:marBottom w:val="0"/>
                  <w:divBdr>
                    <w:top w:val="none" w:sz="0" w:space="0" w:color="auto"/>
                    <w:left w:val="none" w:sz="0" w:space="0" w:color="auto"/>
                    <w:bottom w:val="none" w:sz="0" w:space="0" w:color="auto"/>
                    <w:right w:val="none" w:sz="0" w:space="0" w:color="auto"/>
                  </w:divBdr>
                </w:div>
              </w:divsChild>
            </w:div>
            <w:div w:id="1150898547">
              <w:marLeft w:val="0"/>
              <w:marRight w:val="0"/>
              <w:marTop w:val="0"/>
              <w:marBottom w:val="0"/>
              <w:divBdr>
                <w:top w:val="none" w:sz="0" w:space="0" w:color="auto"/>
                <w:left w:val="none" w:sz="0" w:space="0" w:color="auto"/>
                <w:bottom w:val="none" w:sz="0" w:space="0" w:color="auto"/>
                <w:right w:val="none" w:sz="0" w:space="0" w:color="auto"/>
              </w:divBdr>
              <w:divsChild>
                <w:div w:id="1141532487">
                  <w:marLeft w:val="0"/>
                  <w:marRight w:val="0"/>
                  <w:marTop w:val="0"/>
                  <w:marBottom w:val="0"/>
                  <w:divBdr>
                    <w:top w:val="none" w:sz="0" w:space="0" w:color="auto"/>
                    <w:left w:val="none" w:sz="0" w:space="0" w:color="auto"/>
                    <w:bottom w:val="none" w:sz="0" w:space="0" w:color="auto"/>
                    <w:right w:val="none" w:sz="0" w:space="0" w:color="auto"/>
                  </w:divBdr>
                </w:div>
              </w:divsChild>
            </w:div>
            <w:div w:id="1153833058">
              <w:marLeft w:val="0"/>
              <w:marRight w:val="0"/>
              <w:marTop w:val="0"/>
              <w:marBottom w:val="0"/>
              <w:divBdr>
                <w:top w:val="none" w:sz="0" w:space="0" w:color="auto"/>
                <w:left w:val="none" w:sz="0" w:space="0" w:color="auto"/>
                <w:bottom w:val="none" w:sz="0" w:space="0" w:color="auto"/>
                <w:right w:val="none" w:sz="0" w:space="0" w:color="auto"/>
              </w:divBdr>
              <w:divsChild>
                <w:div w:id="1985425890">
                  <w:marLeft w:val="0"/>
                  <w:marRight w:val="0"/>
                  <w:marTop w:val="0"/>
                  <w:marBottom w:val="0"/>
                  <w:divBdr>
                    <w:top w:val="none" w:sz="0" w:space="0" w:color="auto"/>
                    <w:left w:val="none" w:sz="0" w:space="0" w:color="auto"/>
                    <w:bottom w:val="none" w:sz="0" w:space="0" w:color="auto"/>
                    <w:right w:val="none" w:sz="0" w:space="0" w:color="auto"/>
                  </w:divBdr>
                </w:div>
              </w:divsChild>
            </w:div>
            <w:div w:id="1159004875">
              <w:marLeft w:val="0"/>
              <w:marRight w:val="0"/>
              <w:marTop w:val="0"/>
              <w:marBottom w:val="0"/>
              <w:divBdr>
                <w:top w:val="none" w:sz="0" w:space="0" w:color="auto"/>
                <w:left w:val="none" w:sz="0" w:space="0" w:color="auto"/>
                <w:bottom w:val="none" w:sz="0" w:space="0" w:color="auto"/>
                <w:right w:val="none" w:sz="0" w:space="0" w:color="auto"/>
              </w:divBdr>
              <w:divsChild>
                <w:div w:id="249235265">
                  <w:marLeft w:val="0"/>
                  <w:marRight w:val="0"/>
                  <w:marTop w:val="0"/>
                  <w:marBottom w:val="0"/>
                  <w:divBdr>
                    <w:top w:val="none" w:sz="0" w:space="0" w:color="auto"/>
                    <w:left w:val="none" w:sz="0" w:space="0" w:color="auto"/>
                    <w:bottom w:val="none" w:sz="0" w:space="0" w:color="auto"/>
                    <w:right w:val="none" w:sz="0" w:space="0" w:color="auto"/>
                  </w:divBdr>
                </w:div>
              </w:divsChild>
            </w:div>
            <w:div w:id="1208494345">
              <w:marLeft w:val="0"/>
              <w:marRight w:val="0"/>
              <w:marTop w:val="0"/>
              <w:marBottom w:val="0"/>
              <w:divBdr>
                <w:top w:val="none" w:sz="0" w:space="0" w:color="auto"/>
                <w:left w:val="none" w:sz="0" w:space="0" w:color="auto"/>
                <w:bottom w:val="none" w:sz="0" w:space="0" w:color="auto"/>
                <w:right w:val="none" w:sz="0" w:space="0" w:color="auto"/>
              </w:divBdr>
              <w:divsChild>
                <w:div w:id="1529904729">
                  <w:marLeft w:val="0"/>
                  <w:marRight w:val="0"/>
                  <w:marTop w:val="0"/>
                  <w:marBottom w:val="0"/>
                  <w:divBdr>
                    <w:top w:val="none" w:sz="0" w:space="0" w:color="auto"/>
                    <w:left w:val="none" w:sz="0" w:space="0" w:color="auto"/>
                    <w:bottom w:val="none" w:sz="0" w:space="0" w:color="auto"/>
                    <w:right w:val="none" w:sz="0" w:space="0" w:color="auto"/>
                  </w:divBdr>
                </w:div>
              </w:divsChild>
            </w:div>
            <w:div w:id="1208756382">
              <w:marLeft w:val="0"/>
              <w:marRight w:val="0"/>
              <w:marTop w:val="0"/>
              <w:marBottom w:val="0"/>
              <w:divBdr>
                <w:top w:val="none" w:sz="0" w:space="0" w:color="auto"/>
                <w:left w:val="none" w:sz="0" w:space="0" w:color="auto"/>
                <w:bottom w:val="none" w:sz="0" w:space="0" w:color="auto"/>
                <w:right w:val="none" w:sz="0" w:space="0" w:color="auto"/>
              </w:divBdr>
              <w:divsChild>
                <w:div w:id="83304298">
                  <w:marLeft w:val="0"/>
                  <w:marRight w:val="0"/>
                  <w:marTop w:val="0"/>
                  <w:marBottom w:val="0"/>
                  <w:divBdr>
                    <w:top w:val="none" w:sz="0" w:space="0" w:color="auto"/>
                    <w:left w:val="none" w:sz="0" w:space="0" w:color="auto"/>
                    <w:bottom w:val="none" w:sz="0" w:space="0" w:color="auto"/>
                    <w:right w:val="none" w:sz="0" w:space="0" w:color="auto"/>
                  </w:divBdr>
                </w:div>
              </w:divsChild>
            </w:div>
            <w:div w:id="1215434005">
              <w:marLeft w:val="0"/>
              <w:marRight w:val="0"/>
              <w:marTop w:val="0"/>
              <w:marBottom w:val="0"/>
              <w:divBdr>
                <w:top w:val="none" w:sz="0" w:space="0" w:color="auto"/>
                <w:left w:val="none" w:sz="0" w:space="0" w:color="auto"/>
                <w:bottom w:val="none" w:sz="0" w:space="0" w:color="auto"/>
                <w:right w:val="none" w:sz="0" w:space="0" w:color="auto"/>
              </w:divBdr>
              <w:divsChild>
                <w:div w:id="942490897">
                  <w:marLeft w:val="0"/>
                  <w:marRight w:val="0"/>
                  <w:marTop w:val="0"/>
                  <w:marBottom w:val="0"/>
                  <w:divBdr>
                    <w:top w:val="none" w:sz="0" w:space="0" w:color="auto"/>
                    <w:left w:val="none" w:sz="0" w:space="0" w:color="auto"/>
                    <w:bottom w:val="none" w:sz="0" w:space="0" w:color="auto"/>
                    <w:right w:val="none" w:sz="0" w:space="0" w:color="auto"/>
                  </w:divBdr>
                </w:div>
              </w:divsChild>
            </w:div>
            <w:div w:id="1226842546">
              <w:marLeft w:val="0"/>
              <w:marRight w:val="0"/>
              <w:marTop w:val="0"/>
              <w:marBottom w:val="0"/>
              <w:divBdr>
                <w:top w:val="none" w:sz="0" w:space="0" w:color="auto"/>
                <w:left w:val="none" w:sz="0" w:space="0" w:color="auto"/>
                <w:bottom w:val="none" w:sz="0" w:space="0" w:color="auto"/>
                <w:right w:val="none" w:sz="0" w:space="0" w:color="auto"/>
              </w:divBdr>
              <w:divsChild>
                <w:div w:id="148714948">
                  <w:marLeft w:val="0"/>
                  <w:marRight w:val="0"/>
                  <w:marTop w:val="0"/>
                  <w:marBottom w:val="0"/>
                  <w:divBdr>
                    <w:top w:val="none" w:sz="0" w:space="0" w:color="auto"/>
                    <w:left w:val="none" w:sz="0" w:space="0" w:color="auto"/>
                    <w:bottom w:val="none" w:sz="0" w:space="0" w:color="auto"/>
                    <w:right w:val="none" w:sz="0" w:space="0" w:color="auto"/>
                  </w:divBdr>
                </w:div>
              </w:divsChild>
            </w:div>
            <w:div w:id="1241521370">
              <w:marLeft w:val="0"/>
              <w:marRight w:val="0"/>
              <w:marTop w:val="0"/>
              <w:marBottom w:val="0"/>
              <w:divBdr>
                <w:top w:val="none" w:sz="0" w:space="0" w:color="auto"/>
                <w:left w:val="none" w:sz="0" w:space="0" w:color="auto"/>
                <w:bottom w:val="none" w:sz="0" w:space="0" w:color="auto"/>
                <w:right w:val="none" w:sz="0" w:space="0" w:color="auto"/>
              </w:divBdr>
              <w:divsChild>
                <w:div w:id="744298276">
                  <w:marLeft w:val="0"/>
                  <w:marRight w:val="0"/>
                  <w:marTop w:val="0"/>
                  <w:marBottom w:val="0"/>
                  <w:divBdr>
                    <w:top w:val="none" w:sz="0" w:space="0" w:color="auto"/>
                    <w:left w:val="none" w:sz="0" w:space="0" w:color="auto"/>
                    <w:bottom w:val="none" w:sz="0" w:space="0" w:color="auto"/>
                    <w:right w:val="none" w:sz="0" w:space="0" w:color="auto"/>
                  </w:divBdr>
                </w:div>
              </w:divsChild>
            </w:div>
            <w:div w:id="1283224126">
              <w:marLeft w:val="0"/>
              <w:marRight w:val="0"/>
              <w:marTop w:val="0"/>
              <w:marBottom w:val="0"/>
              <w:divBdr>
                <w:top w:val="none" w:sz="0" w:space="0" w:color="auto"/>
                <w:left w:val="none" w:sz="0" w:space="0" w:color="auto"/>
                <w:bottom w:val="none" w:sz="0" w:space="0" w:color="auto"/>
                <w:right w:val="none" w:sz="0" w:space="0" w:color="auto"/>
              </w:divBdr>
              <w:divsChild>
                <w:div w:id="15549230">
                  <w:marLeft w:val="0"/>
                  <w:marRight w:val="0"/>
                  <w:marTop w:val="0"/>
                  <w:marBottom w:val="0"/>
                  <w:divBdr>
                    <w:top w:val="none" w:sz="0" w:space="0" w:color="auto"/>
                    <w:left w:val="none" w:sz="0" w:space="0" w:color="auto"/>
                    <w:bottom w:val="none" w:sz="0" w:space="0" w:color="auto"/>
                    <w:right w:val="none" w:sz="0" w:space="0" w:color="auto"/>
                  </w:divBdr>
                </w:div>
              </w:divsChild>
            </w:div>
            <w:div w:id="1294746805">
              <w:marLeft w:val="0"/>
              <w:marRight w:val="0"/>
              <w:marTop w:val="0"/>
              <w:marBottom w:val="0"/>
              <w:divBdr>
                <w:top w:val="none" w:sz="0" w:space="0" w:color="auto"/>
                <w:left w:val="none" w:sz="0" w:space="0" w:color="auto"/>
                <w:bottom w:val="none" w:sz="0" w:space="0" w:color="auto"/>
                <w:right w:val="none" w:sz="0" w:space="0" w:color="auto"/>
              </w:divBdr>
              <w:divsChild>
                <w:div w:id="1604917545">
                  <w:marLeft w:val="0"/>
                  <w:marRight w:val="0"/>
                  <w:marTop w:val="0"/>
                  <w:marBottom w:val="0"/>
                  <w:divBdr>
                    <w:top w:val="none" w:sz="0" w:space="0" w:color="auto"/>
                    <w:left w:val="none" w:sz="0" w:space="0" w:color="auto"/>
                    <w:bottom w:val="none" w:sz="0" w:space="0" w:color="auto"/>
                    <w:right w:val="none" w:sz="0" w:space="0" w:color="auto"/>
                  </w:divBdr>
                </w:div>
              </w:divsChild>
            </w:div>
            <w:div w:id="1308120560">
              <w:marLeft w:val="0"/>
              <w:marRight w:val="0"/>
              <w:marTop w:val="0"/>
              <w:marBottom w:val="0"/>
              <w:divBdr>
                <w:top w:val="none" w:sz="0" w:space="0" w:color="auto"/>
                <w:left w:val="none" w:sz="0" w:space="0" w:color="auto"/>
                <w:bottom w:val="none" w:sz="0" w:space="0" w:color="auto"/>
                <w:right w:val="none" w:sz="0" w:space="0" w:color="auto"/>
              </w:divBdr>
              <w:divsChild>
                <w:div w:id="1476143139">
                  <w:marLeft w:val="0"/>
                  <w:marRight w:val="0"/>
                  <w:marTop w:val="0"/>
                  <w:marBottom w:val="0"/>
                  <w:divBdr>
                    <w:top w:val="none" w:sz="0" w:space="0" w:color="auto"/>
                    <w:left w:val="none" w:sz="0" w:space="0" w:color="auto"/>
                    <w:bottom w:val="none" w:sz="0" w:space="0" w:color="auto"/>
                    <w:right w:val="none" w:sz="0" w:space="0" w:color="auto"/>
                  </w:divBdr>
                </w:div>
              </w:divsChild>
            </w:div>
            <w:div w:id="1329209852">
              <w:marLeft w:val="0"/>
              <w:marRight w:val="0"/>
              <w:marTop w:val="0"/>
              <w:marBottom w:val="0"/>
              <w:divBdr>
                <w:top w:val="none" w:sz="0" w:space="0" w:color="auto"/>
                <w:left w:val="none" w:sz="0" w:space="0" w:color="auto"/>
                <w:bottom w:val="none" w:sz="0" w:space="0" w:color="auto"/>
                <w:right w:val="none" w:sz="0" w:space="0" w:color="auto"/>
              </w:divBdr>
              <w:divsChild>
                <w:div w:id="2009210904">
                  <w:marLeft w:val="0"/>
                  <w:marRight w:val="0"/>
                  <w:marTop w:val="0"/>
                  <w:marBottom w:val="0"/>
                  <w:divBdr>
                    <w:top w:val="none" w:sz="0" w:space="0" w:color="auto"/>
                    <w:left w:val="none" w:sz="0" w:space="0" w:color="auto"/>
                    <w:bottom w:val="none" w:sz="0" w:space="0" w:color="auto"/>
                    <w:right w:val="none" w:sz="0" w:space="0" w:color="auto"/>
                  </w:divBdr>
                </w:div>
              </w:divsChild>
            </w:div>
            <w:div w:id="1344094676">
              <w:marLeft w:val="0"/>
              <w:marRight w:val="0"/>
              <w:marTop w:val="0"/>
              <w:marBottom w:val="0"/>
              <w:divBdr>
                <w:top w:val="none" w:sz="0" w:space="0" w:color="auto"/>
                <w:left w:val="none" w:sz="0" w:space="0" w:color="auto"/>
                <w:bottom w:val="none" w:sz="0" w:space="0" w:color="auto"/>
                <w:right w:val="none" w:sz="0" w:space="0" w:color="auto"/>
              </w:divBdr>
              <w:divsChild>
                <w:div w:id="128479078">
                  <w:marLeft w:val="0"/>
                  <w:marRight w:val="0"/>
                  <w:marTop w:val="0"/>
                  <w:marBottom w:val="0"/>
                  <w:divBdr>
                    <w:top w:val="none" w:sz="0" w:space="0" w:color="auto"/>
                    <w:left w:val="none" w:sz="0" w:space="0" w:color="auto"/>
                    <w:bottom w:val="none" w:sz="0" w:space="0" w:color="auto"/>
                    <w:right w:val="none" w:sz="0" w:space="0" w:color="auto"/>
                  </w:divBdr>
                </w:div>
              </w:divsChild>
            </w:div>
            <w:div w:id="1344934009">
              <w:marLeft w:val="0"/>
              <w:marRight w:val="0"/>
              <w:marTop w:val="0"/>
              <w:marBottom w:val="0"/>
              <w:divBdr>
                <w:top w:val="none" w:sz="0" w:space="0" w:color="auto"/>
                <w:left w:val="none" w:sz="0" w:space="0" w:color="auto"/>
                <w:bottom w:val="none" w:sz="0" w:space="0" w:color="auto"/>
                <w:right w:val="none" w:sz="0" w:space="0" w:color="auto"/>
              </w:divBdr>
              <w:divsChild>
                <w:div w:id="1267614550">
                  <w:marLeft w:val="0"/>
                  <w:marRight w:val="0"/>
                  <w:marTop w:val="0"/>
                  <w:marBottom w:val="0"/>
                  <w:divBdr>
                    <w:top w:val="none" w:sz="0" w:space="0" w:color="auto"/>
                    <w:left w:val="none" w:sz="0" w:space="0" w:color="auto"/>
                    <w:bottom w:val="none" w:sz="0" w:space="0" w:color="auto"/>
                    <w:right w:val="none" w:sz="0" w:space="0" w:color="auto"/>
                  </w:divBdr>
                </w:div>
              </w:divsChild>
            </w:div>
            <w:div w:id="1346010808">
              <w:marLeft w:val="0"/>
              <w:marRight w:val="0"/>
              <w:marTop w:val="0"/>
              <w:marBottom w:val="0"/>
              <w:divBdr>
                <w:top w:val="none" w:sz="0" w:space="0" w:color="auto"/>
                <w:left w:val="none" w:sz="0" w:space="0" w:color="auto"/>
                <w:bottom w:val="none" w:sz="0" w:space="0" w:color="auto"/>
                <w:right w:val="none" w:sz="0" w:space="0" w:color="auto"/>
              </w:divBdr>
              <w:divsChild>
                <w:div w:id="1961838599">
                  <w:marLeft w:val="0"/>
                  <w:marRight w:val="0"/>
                  <w:marTop w:val="0"/>
                  <w:marBottom w:val="0"/>
                  <w:divBdr>
                    <w:top w:val="none" w:sz="0" w:space="0" w:color="auto"/>
                    <w:left w:val="none" w:sz="0" w:space="0" w:color="auto"/>
                    <w:bottom w:val="none" w:sz="0" w:space="0" w:color="auto"/>
                    <w:right w:val="none" w:sz="0" w:space="0" w:color="auto"/>
                  </w:divBdr>
                </w:div>
              </w:divsChild>
            </w:div>
            <w:div w:id="1352144244">
              <w:marLeft w:val="0"/>
              <w:marRight w:val="0"/>
              <w:marTop w:val="0"/>
              <w:marBottom w:val="0"/>
              <w:divBdr>
                <w:top w:val="none" w:sz="0" w:space="0" w:color="auto"/>
                <w:left w:val="none" w:sz="0" w:space="0" w:color="auto"/>
                <w:bottom w:val="none" w:sz="0" w:space="0" w:color="auto"/>
                <w:right w:val="none" w:sz="0" w:space="0" w:color="auto"/>
              </w:divBdr>
              <w:divsChild>
                <w:div w:id="1273438105">
                  <w:marLeft w:val="0"/>
                  <w:marRight w:val="0"/>
                  <w:marTop w:val="0"/>
                  <w:marBottom w:val="0"/>
                  <w:divBdr>
                    <w:top w:val="none" w:sz="0" w:space="0" w:color="auto"/>
                    <w:left w:val="none" w:sz="0" w:space="0" w:color="auto"/>
                    <w:bottom w:val="none" w:sz="0" w:space="0" w:color="auto"/>
                    <w:right w:val="none" w:sz="0" w:space="0" w:color="auto"/>
                  </w:divBdr>
                </w:div>
              </w:divsChild>
            </w:div>
            <w:div w:id="1353728802">
              <w:marLeft w:val="0"/>
              <w:marRight w:val="0"/>
              <w:marTop w:val="0"/>
              <w:marBottom w:val="0"/>
              <w:divBdr>
                <w:top w:val="none" w:sz="0" w:space="0" w:color="auto"/>
                <w:left w:val="none" w:sz="0" w:space="0" w:color="auto"/>
                <w:bottom w:val="none" w:sz="0" w:space="0" w:color="auto"/>
                <w:right w:val="none" w:sz="0" w:space="0" w:color="auto"/>
              </w:divBdr>
              <w:divsChild>
                <w:div w:id="1540316335">
                  <w:marLeft w:val="0"/>
                  <w:marRight w:val="0"/>
                  <w:marTop w:val="0"/>
                  <w:marBottom w:val="0"/>
                  <w:divBdr>
                    <w:top w:val="none" w:sz="0" w:space="0" w:color="auto"/>
                    <w:left w:val="none" w:sz="0" w:space="0" w:color="auto"/>
                    <w:bottom w:val="none" w:sz="0" w:space="0" w:color="auto"/>
                    <w:right w:val="none" w:sz="0" w:space="0" w:color="auto"/>
                  </w:divBdr>
                </w:div>
              </w:divsChild>
            </w:div>
            <w:div w:id="1355157223">
              <w:marLeft w:val="0"/>
              <w:marRight w:val="0"/>
              <w:marTop w:val="0"/>
              <w:marBottom w:val="0"/>
              <w:divBdr>
                <w:top w:val="none" w:sz="0" w:space="0" w:color="auto"/>
                <w:left w:val="none" w:sz="0" w:space="0" w:color="auto"/>
                <w:bottom w:val="none" w:sz="0" w:space="0" w:color="auto"/>
                <w:right w:val="none" w:sz="0" w:space="0" w:color="auto"/>
              </w:divBdr>
              <w:divsChild>
                <w:div w:id="2116945906">
                  <w:marLeft w:val="0"/>
                  <w:marRight w:val="0"/>
                  <w:marTop w:val="0"/>
                  <w:marBottom w:val="0"/>
                  <w:divBdr>
                    <w:top w:val="none" w:sz="0" w:space="0" w:color="auto"/>
                    <w:left w:val="none" w:sz="0" w:space="0" w:color="auto"/>
                    <w:bottom w:val="none" w:sz="0" w:space="0" w:color="auto"/>
                    <w:right w:val="none" w:sz="0" w:space="0" w:color="auto"/>
                  </w:divBdr>
                </w:div>
              </w:divsChild>
            </w:div>
            <w:div w:id="1358585156">
              <w:marLeft w:val="0"/>
              <w:marRight w:val="0"/>
              <w:marTop w:val="0"/>
              <w:marBottom w:val="0"/>
              <w:divBdr>
                <w:top w:val="none" w:sz="0" w:space="0" w:color="auto"/>
                <w:left w:val="none" w:sz="0" w:space="0" w:color="auto"/>
                <w:bottom w:val="none" w:sz="0" w:space="0" w:color="auto"/>
                <w:right w:val="none" w:sz="0" w:space="0" w:color="auto"/>
              </w:divBdr>
              <w:divsChild>
                <w:div w:id="353503692">
                  <w:marLeft w:val="0"/>
                  <w:marRight w:val="0"/>
                  <w:marTop w:val="0"/>
                  <w:marBottom w:val="0"/>
                  <w:divBdr>
                    <w:top w:val="none" w:sz="0" w:space="0" w:color="auto"/>
                    <w:left w:val="none" w:sz="0" w:space="0" w:color="auto"/>
                    <w:bottom w:val="none" w:sz="0" w:space="0" w:color="auto"/>
                    <w:right w:val="none" w:sz="0" w:space="0" w:color="auto"/>
                  </w:divBdr>
                </w:div>
              </w:divsChild>
            </w:div>
            <w:div w:id="1369256213">
              <w:marLeft w:val="0"/>
              <w:marRight w:val="0"/>
              <w:marTop w:val="0"/>
              <w:marBottom w:val="0"/>
              <w:divBdr>
                <w:top w:val="none" w:sz="0" w:space="0" w:color="auto"/>
                <w:left w:val="none" w:sz="0" w:space="0" w:color="auto"/>
                <w:bottom w:val="none" w:sz="0" w:space="0" w:color="auto"/>
                <w:right w:val="none" w:sz="0" w:space="0" w:color="auto"/>
              </w:divBdr>
              <w:divsChild>
                <w:div w:id="548224130">
                  <w:marLeft w:val="0"/>
                  <w:marRight w:val="0"/>
                  <w:marTop w:val="0"/>
                  <w:marBottom w:val="0"/>
                  <w:divBdr>
                    <w:top w:val="none" w:sz="0" w:space="0" w:color="auto"/>
                    <w:left w:val="none" w:sz="0" w:space="0" w:color="auto"/>
                    <w:bottom w:val="none" w:sz="0" w:space="0" w:color="auto"/>
                    <w:right w:val="none" w:sz="0" w:space="0" w:color="auto"/>
                  </w:divBdr>
                </w:div>
              </w:divsChild>
            </w:div>
            <w:div w:id="1371762160">
              <w:marLeft w:val="0"/>
              <w:marRight w:val="0"/>
              <w:marTop w:val="0"/>
              <w:marBottom w:val="0"/>
              <w:divBdr>
                <w:top w:val="none" w:sz="0" w:space="0" w:color="auto"/>
                <w:left w:val="none" w:sz="0" w:space="0" w:color="auto"/>
                <w:bottom w:val="none" w:sz="0" w:space="0" w:color="auto"/>
                <w:right w:val="none" w:sz="0" w:space="0" w:color="auto"/>
              </w:divBdr>
              <w:divsChild>
                <w:div w:id="219947226">
                  <w:marLeft w:val="0"/>
                  <w:marRight w:val="0"/>
                  <w:marTop w:val="0"/>
                  <w:marBottom w:val="0"/>
                  <w:divBdr>
                    <w:top w:val="none" w:sz="0" w:space="0" w:color="auto"/>
                    <w:left w:val="none" w:sz="0" w:space="0" w:color="auto"/>
                    <w:bottom w:val="none" w:sz="0" w:space="0" w:color="auto"/>
                    <w:right w:val="none" w:sz="0" w:space="0" w:color="auto"/>
                  </w:divBdr>
                </w:div>
              </w:divsChild>
            </w:div>
            <w:div w:id="1372268151">
              <w:marLeft w:val="0"/>
              <w:marRight w:val="0"/>
              <w:marTop w:val="0"/>
              <w:marBottom w:val="0"/>
              <w:divBdr>
                <w:top w:val="none" w:sz="0" w:space="0" w:color="auto"/>
                <w:left w:val="none" w:sz="0" w:space="0" w:color="auto"/>
                <w:bottom w:val="none" w:sz="0" w:space="0" w:color="auto"/>
                <w:right w:val="none" w:sz="0" w:space="0" w:color="auto"/>
              </w:divBdr>
              <w:divsChild>
                <w:div w:id="576323793">
                  <w:marLeft w:val="0"/>
                  <w:marRight w:val="0"/>
                  <w:marTop w:val="0"/>
                  <w:marBottom w:val="0"/>
                  <w:divBdr>
                    <w:top w:val="none" w:sz="0" w:space="0" w:color="auto"/>
                    <w:left w:val="none" w:sz="0" w:space="0" w:color="auto"/>
                    <w:bottom w:val="none" w:sz="0" w:space="0" w:color="auto"/>
                    <w:right w:val="none" w:sz="0" w:space="0" w:color="auto"/>
                  </w:divBdr>
                </w:div>
              </w:divsChild>
            </w:div>
            <w:div w:id="1396053167">
              <w:marLeft w:val="0"/>
              <w:marRight w:val="0"/>
              <w:marTop w:val="0"/>
              <w:marBottom w:val="0"/>
              <w:divBdr>
                <w:top w:val="none" w:sz="0" w:space="0" w:color="auto"/>
                <w:left w:val="none" w:sz="0" w:space="0" w:color="auto"/>
                <w:bottom w:val="none" w:sz="0" w:space="0" w:color="auto"/>
                <w:right w:val="none" w:sz="0" w:space="0" w:color="auto"/>
              </w:divBdr>
              <w:divsChild>
                <w:div w:id="2028629018">
                  <w:marLeft w:val="0"/>
                  <w:marRight w:val="0"/>
                  <w:marTop w:val="0"/>
                  <w:marBottom w:val="0"/>
                  <w:divBdr>
                    <w:top w:val="none" w:sz="0" w:space="0" w:color="auto"/>
                    <w:left w:val="none" w:sz="0" w:space="0" w:color="auto"/>
                    <w:bottom w:val="none" w:sz="0" w:space="0" w:color="auto"/>
                    <w:right w:val="none" w:sz="0" w:space="0" w:color="auto"/>
                  </w:divBdr>
                </w:div>
              </w:divsChild>
            </w:div>
            <w:div w:id="1416123681">
              <w:marLeft w:val="0"/>
              <w:marRight w:val="0"/>
              <w:marTop w:val="0"/>
              <w:marBottom w:val="0"/>
              <w:divBdr>
                <w:top w:val="none" w:sz="0" w:space="0" w:color="auto"/>
                <w:left w:val="none" w:sz="0" w:space="0" w:color="auto"/>
                <w:bottom w:val="none" w:sz="0" w:space="0" w:color="auto"/>
                <w:right w:val="none" w:sz="0" w:space="0" w:color="auto"/>
              </w:divBdr>
              <w:divsChild>
                <w:div w:id="87233216">
                  <w:marLeft w:val="0"/>
                  <w:marRight w:val="0"/>
                  <w:marTop w:val="0"/>
                  <w:marBottom w:val="0"/>
                  <w:divBdr>
                    <w:top w:val="none" w:sz="0" w:space="0" w:color="auto"/>
                    <w:left w:val="none" w:sz="0" w:space="0" w:color="auto"/>
                    <w:bottom w:val="none" w:sz="0" w:space="0" w:color="auto"/>
                    <w:right w:val="none" w:sz="0" w:space="0" w:color="auto"/>
                  </w:divBdr>
                </w:div>
              </w:divsChild>
            </w:div>
            <w:div w:id="1460293942">
              <w:marLeft w:val="0"/>
              <w:marRight w:val="0"/>
              <w:marTop w:val="0"/>
              <w:marBottom w:val="0"/>
              <w:divBdr>
                <w:top w:val="none" w:sz="0" w:space="0" w:color="auto"/>
                <w:left w:val="none" w:sz="0" w:space="0" w:color="auto"/>
                <w:bottom w:val="none" w:sz="0" w:space="0" w:color="auto"/>
                <w:right w:val="none" w:sz="0" w:space="0" w:color="auto"/>
              </w:divBdr>
              <w:divsChild>
                <w:div w:id="938679524">
                  <w:marLeft w:val="0"/>
                  <w:marRight w:val="0"/>
                  <w:marTop w:val="0"/>
                  <w:marBottom w:val="0"/>
                  <w:divBdr>
                    <w:top w:val="none" w:sz="0" w:space="0" w:color="auto"/>
                    <w:left w:val="none" w:sz="0" w:space="0" w:color="auto"/>
                    <w:bottom w:val="none" w:sz="0" w:space="0" w:color="auto"/>
                    <w:right w:val="none" w:sz="0" w:space="0" w:color="auto"/>
                  </w:divBdr>
                </w:div>
              </w:divsChild>
            </w:div>
            <w:div w:id="1460536743">
              <w:marLeft w:val="0"/>
              <w:marRight w:val="0"/>
              <w:marTop w:val="0"/>
              <w:marBottom w:val="0"/>
              <w:divBdr>
                <w:top w:val="none" w:sz="0" w:space="0" w:color="auto"/>
                <w:left w:val="none" w:sz="0" w:space="0" w:color="auto"/>
                <w:bottom w:val="none" w:sz="0" w:space="0" w:color="auto"/>
                <w:right w:val="none" w:sz="0" w:space="0" w:color="auto"/>
              </w:divBdr>
              <w:divsChild>
                <w:div w:id="1946619133">
                  <w:marLeft w:val="0"/>
                  <w:marRight w:val="0"/>
                  <w:marTop w:val="0"/>
                  <w:marBottom w:val="0"/>
                  <w:divBdr>
                    <w:top w:val="none" w:sz="0" w:space="0" w:color="auto"/>
                    <w:left w:val="none" w:sz="0" w:space="0" w:color="auto"/>
                    <w:bottom w:val="none" w:sz="0" w:space="0" w:color="auto"/>
                    <w:right w:val="none" w:sz="0" w:space="0" w:color="auto"/>
                  </w:divBdr>
                </w:div>
              </w:divsChild>
            </w:div>
            <w:div w:id="1463308265">
              <w:marLeft w:val="0"/>
              <w:marRight w:val="0"/>
              <w:marTop w:val="0"/>
              <w:marBottom w:val="0"/>
              <w:divBdr>
                <w:top w:val="none" w:sz="0" w:space="0" w:color="auto"/>
                <w:left w:val="none" w:sz="0" w:space="0" w:color="auto"/>
                <w:bottom w:val="none" w:sz="0" w:space="0" w:color="auto"/>
                <w:right w:val="none" w:sz="0" w:space="0" w:color="auto"/>
              </w:divBdr>
              <w:divsChild>
                <w:div w:id="928537105">
                  <w:marLeft w:val="0"/>
                  <w:marRight w:val="0"/>
                  <w:marTop w:val="0"/>
                  <w:marBottom w:val="0"/>
                  <w:divBdr>
                    <w:top w:val="none" w:sz="0" w:space="0" w:color="auto"/>
                    <w:left w:val="none" w:sz="0" w:space="0" w:color="auto"/>
                    <w:bottom w:val="none" w:sz="0" w:space="0" w:color="auto"/>
                    <w:right w:val="none" w:sz="0" w:space="0" w:color="auto"/>
                  </w:divBdr>
                </w:div>
              </w:divsChild>
            </w:div>
            <w:div w:id="1476799986">
              <w:marLeft w:val="0"/>
              <w:marRight w:val="0"/>
              <w:marTop w:val="0"/>
              <w:marBottom w:val="0"/>
              <w:divBdr>
                <w:top w:val="none" w:sz="0" w:space="0" w:color="auto"/>
                <w:left w:val="none" w:sz="0" w:space="0" w:color="auto"/>
                <w:bottom w:val="none" w:sz="0" w:space="0" w:color="auto"/>
                <w:right w:val="none" w:sz="0" w:space="0" w:color="auto"/>
              </w:divBdr>
              <w:divsChild>
                <w:div w:id="1011103833">
                  <w:marLeft w:val="0"/>
                  <w:marRight w:val="0"/>
                  <w:marTop w:val="0"/>
                  <w:marBottom w:val="0"/>
                  <w:divBdr>
                    <w:top w:val="none" w:sz="0" w:space="0" w:color="auto"/>
                    <w:left w:val="none" w:sz="0" w:space="0" w:color="auto"/>
                    <w:bottom w:val="none" w:sz="0" w:space="0" w:color="auto"/>
                    <w:right w:val="none" w:sz="0" w:space="0" w:color="auto"/>
                  </w:divBdr>
                </w:div>
              </w:divsChild>
            </w:div>
            <w:div w:id="1510605635">
              <w:marLeft w:val="0"/>
              <w:marRight w:val="0"/>
              <w:marTop w:val="0"/>
              <w:marBottom w:val="0"/>
              <w:divBdr>
                <w:top w:val="none" w:sz="0" w:space="0" w:color="auto"/>
                <w:left w:val="none" w:sz="0" w:space="0" w:color="auto"/>
                <w:bottom w:val="none" w:sz="0" w:space="0" w:color="auto"/>
                <w:right w:val="none" w:sz="0" w:space="0" w:color="auto"/>
              </w:divBdr>
              <w:divsChild>
                <w:div w:id="423263780">
                  <w:marLeft w:val="0"/>
                  <w:marRight w:val="0"/>
                  <w:marTop w:val="0"/>
                  <w:marBottom w:val="0"/>
                  <w:divBdr>
                    <w:top w:val="none" w:sz="0" w:space="0" w:color="auto"/>
                    <w:left w:val="none" w:sz="0" w:space="0" w:color="auto"/>
                    <w:bottom w:val="none" w:sz="0" w:space="0" w:color="auto"/>
                    <w:right w:val="none" w:sz="0" w:space="0" w:color="auto"/>
                  </w:divBdr>
                </w:div>
              </w:divsChild>
            </w:div>
            <w:div w:id="1555579535">
              <w:marLeft w:val="0"/>
              <w:marRight w:val="0"/>
              <w:marTop w:val="0"/>
              <w:marBottom w:val="0"/>
              <w:divBdr>
                <w:top w:val="none" w:sz="0" w:space="0" w:color="auto"/>
                <w:left w:val="none" w:sz="0" w:space="0" w:color="auto"/>
                <w:bottom w:val="none" w:sz="0" w:space="0" w:color="auto"/>
                <w:right w:val="none" w:sz="0" w:space="0" w:color="auto"/>
              </w:divBdr>
              <w:divsChild>
                <w:div w:id="62263636">
                  <w:marLeft w:val="0"/>
                  <w:marRight w:val="0"/>
                  <w:marTop w:val="0"/>
                  <w:marBottom w:val="0"/>
                  <w:divBdr>
                    <w:top w:val="none" w:sz="0" w:space="0" w:color="auto"/>
                    <w:left w:val="none" w:sz="0" w:space="0" w:color="auto"/>
                    <w:bottom w:val="none" w:sz="0" w:space="0" w:color="auto"/>
                    <w:right w:val="none" w:sz="0" w:space="0" w:color="auto"/>
                  </w:divBdr>
                </w:div>
              </w:divsChild>
            </w:div>
            <w:div w:id="1575582055">
              <w:marLeft w:val="0"/>
              <w:marRight w:val="0"/>
              <w:marTop w:val="0"/>
              <w:marBottom w:val="0"/>
              <w:divBdr>
                <w:top w:val="none" w:sz="0" w:space="0" w:color="auto"/>
                <w:left w:val="none" w:sz="0" w:space="0" w:color="auto"/>
                <w:bottom w:val="none" w:sz="0" w:space="0" w:color="auto"/>
                <w:right w:val="none" w:sz="0" w:space="0" w:color="auto"/>
              </w:divBdr>
              <w:divsChild>
                <w:div w:id="2058315198">
                  <w:marLeft w:val="0"/>
                  <w:marRight w:val="0"/>
                  <w:marTop w:val="0"/>
                  <w:marBottom w:val="0"/>
                  <w:divBdr>
                    <w:top w:val="none" w:sz="0" w:space="0" w:color="auto"/>
                    <w:left w:val="none" w:sz="0" w:space="0" w:color="auto"/>
                    <w:bottom w:val="none" w:sz="0" w:space="0" w:color="auto"/>
                    <w:right w:val="none" w:sz="0" w:space="0" w:color="auto"/>
                  </w:divBdr>
                </w:div>
              </w:divsChild>
            </w:div>
            <w:div w:id="1603411514">
              <w:marLeft w:val="0"/>
              <w:marRight w:val="0"/>
              <w:marTop w:val="0"/>
              <w:marBottom w:val="0"/>
              <w:divBdr>
                <w:top w:val="none" w:sz="0" w:space="0" w:color="auto"/>
                <w:left w:val="none" w:sz="0" w:space="0" w:color="auto"/>
                <w:bottom w:val="none" w:sz="0" w:space="0" w:color="auto"/>
                <w:right w:val="none" w:sz="0" w:space="0" w:color="auto"/>
              </w:divBdr>
              <w:divsChild>
                <w:div w:id="719523263">
                  <w:marLeft w:val="0"/>
                  <w:marRight w:val="0"/>
                  <w:marTop w:val="0"/>
                  <w:marBottom w:val="0"/>
                  <w:divBdr>
                    <w:top w:val="none" w:sz="0" w:space="0" w:color="auto"/>
                    <w:left w:val="none" w:sz="0" w:space="0" w:color="auto"/>
                    <w:bottom w:val="none" w:sz="0" w:space="0" w:color="auto"/>
                    <w:right w:val="none" w:sz="0" w:space="0" w:color="auto"/>
                  </w:divBdr>
                </w:div>
              </w:divsChild>
            </w:div>
            <w:div w:id="1605916633">
              <w:marLeft w:val="0"/>
              <w:marRight w:val="0"/>
              <w:marTop w:val="0"/>
              <w:marBottom w:val="0"/>
              <w:divBdr>
                <w:top w:val="none" w:sz="0" w:space="0" w:color="auto"/>
                <w:left w:val="none" w:sz="0" w:space="0" w:color="auto"/>
                <w:bottom w:val="none" w:sz="0" w:space="0" w:color="auto"/>
                <w:right w:val="none" w:sz="0" w:space="0" w:color="auto"/>
              </w:divBdr>
              <w:divsChild>
                <w:div w:id="1866598299">
                  <w:marLeft w:val="0"/>
                  <w:marRight w:val="0"/>
                  <w:marTop w:val="0"/>
                  <w:marBottom w:val="0"/>
                  <w:divBdr>
                    <w:top w:val="none" w:sz="0" w:space="0" w:color="auto"/>
                    <w:left w:val="none" w:sz="0" w:space="0" w:color="auto"/>
                    <w:bottom w:val="none" w:sz="0" w:space="0" w:color="auto"/>
                    <w:right w:val="none" w:sz="0" w:space="0" w:color="auto"/>
                  </w:divBdr>
                </w:div>
              </w:divsChild>
            </w:div>
            <w:div w:id="1637180793">
              <w:marLeft w:val="0"/>
              <w:marRight w:val="0"/>
              <w:marTop w:val="0"/>
              <w:marBottom w:val="0"/>
              <w:divBdr>
                <w:top w:val="none" w:sz="0" w:space="0" w:color="auto"/>
                <w:left w:val="none" w:sz="0" w:space="0" w:color="auto"/>
                <w:bottom w:val="none" w:sz="0" w:space="0" w:color="auto"/>
                <w:right w:val="none" w:sz="0" w:space="0" w:color="auto"/>
              </w:divBdr>
              <w:divsChild>
                <w:div w:id="1374229805">
                  <w:marLeft w:val="0"/>
                  <w:marRight w:val="0"/>
                  <w:marTop w:val="0"/>
                  <w:marBottom w:val="0"/>
                  <w:divBdr>
                    <w:top w:val="none" w:sz="0" w:space="0" w:color="auto"/>
                    <w:left w:val="none" w:sz="0" w:space="0" w:color="auto"/>
                    <w:bottom w:val="none" w:sz="0" w:space="0" w:color="auto"/>
                    <w:right w:val="none" w:sz="0" w:space="0" w:color="auto"/>
                  </w:divBdr>
                </w:div>
              </w:divsChild>
            </w:div>
            <w:div w:id="1691031822">
              <w:marLeft w:val="0"/>
              <w:marRight w:val="0"/>
              <w:marTop w:val="0"/>
              <w:marBottom w:val="0"/>
              <w:divBdr>
                <w:top w:val="none" w:sz="0" w:space="0" w:color="auto"/>
                <w:left w:val="none" w:sz="0" w:space="0" w:color="auto"/>
                <w:bottom w:val="none" w:sz="0" w:space="0" w:color="auto"/>
                <w:right w:val="none" w:sz="0" w:space="0" w:color="auto"/>
              </w:divBdr>
              <w:divsChild>
                <w:div w:id="325979002">
                  <w:marLeft w:val="0"/>
                  <w:marRight w:val="0"/>
                  <w:marTop w:val="0"/>
                  <w:marBottom w:val="0"/>
                  <w:divBdr>
                    <w:top w:val="none" w:sz="0" w:space="0" w:color="auto"/>
                    <w:left w:val="none" w:sz="0" w:space="0" w:color="auto"/>
                    <w:bottom w:val="none" w:sz="0" w:space="0" w:color="auto"/>
                    <w:right w:val="none" w:sz="0" w:space="0" w:color="auto"/>
                  </w:divBdr>
                </w:div>
              </w:divsChild>
            </w:div>
            <w:div w:id="1706297809">
              <w:marLeft w:val="0"/>
              <w:marRight w:val="0"/>
              <w:marTop w:val="0"/>
              <w:marBottom w:val="0"/>
              <w:divBdr>
                <w:top w:val="none" w:sz="0" w:space="0" w:color="auto"/>
                <w:left w:val="none" w:sz="0" w:space="0" w:color="auto"/>
                <w:bottom w:val="none" w:sz="0" w:space="0" w:color="auto"/>
                <w:right w:val="none" w:sz="0" w:space="0" w:color="auto"/>
              </w:divBdr>
              <w:divsChild>
                <w:div w:id="777258521">
                  <w:marLeft w:val="0"/>
                  <w:marRight w:val="0"/>
                  <w:marTop w:val="0"/>
                  <w:marBottom w:val="0"/>
                  <w:divBdr>
                    <w:top w:val="none" w:sz="0" w:space="0" w:color="auto"/>
                    <w:left w:val="none" w:sz="0" w:space="0" w:color="auto"/>
                    <w:bottom w:val="none" w:sz="0" w:space="0" w:color="auto"/>
                    <w:right w:val="none" w:sz="0" w:space="0" w:color="auto"/>
                  </w:divBdr>
                </w:div>
              </w:divsChild>
            </w:div>
            <w:div w:id="1747921261">
              <w:marLeft w:val="0"/>
              <w:marRight w:val="0"/>
              <w:marTop w:val="0"/>
              <w:marBottom w:val="0"/>
              <w:divBdr>
                <w:top w:val="none" w:sz="0" w:space="0" w:color="auto"/>
                <w:left w:val="none" w:sz="0" w:space="0" w:color="auto"/>
                <w:bottom w:val="none" w:sz="0" w:space="0" w:color="auto"/>
                <w:right w:val="none" w:sz="0" w:space="0" w:color="auto"/>
              </w:divBdr>
              <w:divsChild>
                <w:div w:id="1773740077">
                  <w:marLeft w:val="0"/>
                  <w:marRight w:val="0"/>
                  <w:marTop w:val="0"/>
                  <w:marBottom w:val="0"/>
                  <w:divBdr>
                    <w:top w:val="none" w:sz="0" w:space="0" w:color="auto"/>
                    <w:left w:val="none" w:sz="0" w:space="0" w:color="auto"/>
                    <w:bottom w:val="none" w:sz="0" w:space="0" w:color="auto"/>
                    <w:right w:val="none" w:sz="0" w:space="0" w:color="auto"/>
                  </w:divBdr>
                </w:div>
              </w:divsChild>
            </w:div>
            <w:div w:id="1749573270">
              <w:marLeft w:val="0"/>
              <w:marRight w:val="0"/>
              <w:marTop w:val="0"/>
              <w:marBottom w:val="0"/>
              <w:divBdr>
                <w:top w:val="none" w:sz="0" w:space="0" w:color="auto"/>
                <w:left w:val="none" w:sz="0" w:space="0" w:color="auto"/>
                <w:bottom w:val="none" w:sz="0" w:space="0" w:color="auto"/>
                <w:right w:val="none" w:sz="0" w:space="0" w:color="auto"/>
              </w:divBdr>
              <w:divsChild>
                <w:div w:id="1000232545">
                  <w:marLeft w:val="0"/>
                  <w:marRight w:val="0"/>
                  <w:marTop w:val="0"/>
                  <w:marBottom w:val="0"/>
                  <w:divBdr>
                    <w:top w:val="none" w:sz="0" w:space="0" w:color="auto"/>
                    <w:left w:val="none" w:sz="0" w:space="0" w:color="auto"/>
                    <w:bottom w:val="none" w:sz="0" w:space="0" w:color="auto"/>
                    <w:right w:val="none" w:sz="0" w:space="0" w:color="auto"/>
                  </w:divBdr>
                </w:div>
              </w:divsChild>
            </w:div>
            <w:div w:id="1789620363">
              <w:marLeft w:val="0"/>
              <w:marRight w:val="0"/>
              <w:marTop w:val="0"/>
              <w:marBottom w:val="0"/>
              <w:divBdr>
                <w:top w:val="none" w:sz="0" w:space="0" w:color="auto"/>
                <w:left w:val="none" w:sz="0" w:space="0" w:color="auto"/>
                <w:bottom w:val="none" w:sz="0" w:space="0" w:color="auto"/>
                <w:right w:val="none" w:sz="0" w:space="0" w:color="auto"/>
              </w:divBdr>
              <w:divsChild>
                <w:div w:id="1497039131">
                  <w:marLeft w:val="0"/>
                  <w:marRight w:val="0"/>
                  <w:marTop w:val="0"/>
                  <w:marBottom w:val="0"/>
                  <w:divBdr>
                    <w:top w:val="none" w:sz="0" w:space="0" w:color="auto"/>
                    <w:left w:val="none" w:sz="0" w:space="0" w:color="auto"/>
                    <w:bottom w:val="none" w:sz="0" w:space="0" w:color="auto"/>
                    <w:right w:val="none" w:sz="0" w:space="0" w:color="auto"/>
                  </w:divBdr>
                </w:div>
              </w:divsChild>
            </w:div>
            <w:div w:id="1798336462">
              <w:marLeft w:val="0"/>
              <w:marRight w:val="0"/>
              <w:marTop w:val="0"/>
              <w:marBottom w:val="0"/>
              <w:divBdr>
                <w:top w:val="none" w:sz="0" w:space="0" w:color="auto"/>
                <w:left w:val="none" w:sz="0" w:space="0" w:color="auto"/>
                <w:bottom w:val="none" w:sz="0" w:space="0" w:color="auto"/>
                <w:right w:val="none" w:sz="0" w:space="0" w:color="auto"/>
              </w:divBdr>
              <w:divsChild>
                <w:div w:id="1286887790">
                  <w:marLeft w:val="0"/>
                  <w:marRight w:val="0"/>
                  <w:marTop w:val="0"/>
                  <w:marBottom w:val="0"/>
                  <w:divBdr>
                    <w:top w:val="none" w:sz="0" w:space="0" w:color="auto"/>
                    <w:left w:val="none" w:sz="0" w:space="0" w:color="auto"/>
                    <w:bottom w:val="none" w:sz="0" w:space="0" w:color="auto"/>
                    <w:right w:val="none" w:sz="0" w:space="0" w:color="auto"/>
                  </w:divBdr>
                </w:div>
              </w:divsChild>
            </w:div>
            <w:div w:id="1830250232">
              <w:marLeft w:val="0"/>
              <w:marRight w:val="0"/>
              <w:marTop w:val="0"/>
              <w:marBottom w:val="0"/>
              <w:divBdr>
                <w:top w:val="none" w:sz="0" w:space="0" w:color="auto"/>
                <w:left w:val="none" w:sz="0" w:space="0" w:color="auto"/>
                <w:bottom w:val="none" w:sz="0" w:space="0" w:color="auto"/>
                <w:right w:val="none" w:sz="0" w:space="0" w:color="auto"/>
              </w:divBdr>
              <w:divsChild>
                <w:div w:id="1332757021">
                  <w:marLeft w:val="0"/>
                  <w:marRight w:val="0"/>
                  <w:marTop w:val="0"/>
                  <w:marBottom w:val="0"/>
                  <w:divBdr>
                    <w:top w:val="none" w:sz="0" w:space="0" w:color="auto"/>
                    <w:left w:val="none" w:sz="0" w:space="0" w:color="auto"/>
                    <w:bottom w:val="none" w:sz="0" w:space="0" w:color="auto"/>
                    <w:right w:val="none" w:sz="0" w:space="0" w:color="auto"/>
                  </w:divBdr>
                </w:div>
              </w:divsChild>
            </w:div>
            <w:div w:id="1832213032">
              <w:marLeft w:val="0"/>
              <w:marRight w:val="0"/>
              <w:marTop w:val="0"/>
              <w:marBottom w:val="0"/>
              <w:divBdr>
                <w:top w:val="none" w:sz="0" w:space="0" w:color="auto"/>
                <w:left w:val="none" w:sz="0" w:space="0" w:color="auto"/>
                <w:bottom w:val="none" w:sz="0" w:space="0" w:color="auto"/>
                <w:right w:val="none" w:sz="0" w:space="0" w:color="auto"/>
              </w:divBdr>
              <w:divsChild>
                <w:div w:id="869686121">
                  <w:marLeft w:val="0"/>
                  <w:marRight w:val="0"/>
                  <w:marTop w:val="0"/>
                  <w:marBottom w:val="0"/>
                  <w:divBdr>
                    <w:top w:val="none" w:sz="0" w:space="0" w:color="auto"/>
                    <w:left w:val="none" w:sz="0" w:space="0" w:color="auto"/>
                    <w:bottom w:val="none" w:sz="0" w:space="0" w:color="auto"/>
                    <w:right w:val="none" w:sz="0" w:space="0" w:color="auto"/>
                  </w:divBdr>
                </w:div>
              </w:divsChild>
            </w:div>
            <w:div w:id="1836143122">
              <w:marLeft w:val="0"/>
              <w:marRight w:val="0"/>
              <w:marTop w:val="0"/>
              <w:marBottom w:val="0"/>
              <w:divBdr>
                <w:top w:val="none" w:sz="0" w:space="0" w:color="auto"/>
                <w:left w:val="none" w:sz="0" w:space="0" w:color="auto"/>
                <w:bottom w:val="none" w:sz="0" w:space="0" w:color="auto"/>
                <w:right w:val="none" w:sz="0" w:space="0" w:color="auto"/>
              </w:divBdr>
              <w:divsChild>
                <w:div w:id="652442098">
                  <w:marLeft w:val="0"/>
                  <w:marRight w:val="0"/>
                  <w:marTop w:val="0"/>
                  <w:marBottom w:val="0"/>
                  <w:divBdr>
                    <w:top w:val="none" w:sz="0" w:space="0" w:color="auto"/>
                    <w:left w:val="none" w:sz="0" w:space="0" w:color="auto"/>
                    <w:bottom w:val="none" w:sz="0" w:space="0" w:color="auto"/>
                    <w:right w:val="none" w:sz="0" w:space="0" w:color="auto"/>
                  </w:divBdr>
                </w:div>
              </w:divsChild>
            </w:div>
            <w:div w:id="1853298689">
              <w:marLeft w:val="0"/>
              <w:marRight w:val="0"/>
              <w:marTop w:val="0"/>
              <w:marBottom w:val="0"/>
              <w:divBdr>
                <w:top w:val="none" w:sz="0" w:space="0" w:color="auto"/>
                <w:left w:val="none" w:sz="0" w:space="0" w:color="auto"/>
                <w:bottom w:val="none" w:sz="0" w:space="0" w:color="auto"/>
                <w:right w:val="none" w:sz="0" w:space="0" w:color="auto"/>
              </w:divBdr>
              <w:divsChild>
                <w:div w:id="1910387795">
                  <w:marLeft w:val="0"/>
                  <w:marRight w:val="0"/>
                  <w:marTop w:val="0"/>
                  <w:marBottom w:val="0"/>
                  <w:divBdr>
                    <w:top w:val="none" w:sz="0" w:space="0" w:color="auto"/>
                    <w:left w:val="none" w:sz="0" w:space="0" w:color="auto"/>
                    <w:bottom w:val="none" w:sz="0" w:space="0" w:color="auto"/>
                    <w:right w:val="none" w:sz="0" w:space="0" w:color="auto"/>
                  </w:divBdr>
                </w:div>
              </w:divsChild>
            </w:div>
            <w:div w:id="1863274543">
              <w:marLeft w:val="0"/>
              <w:marRight w:val="0"/>
              <w:marTop w:val="0"/>
              <w:marBottom w:val="0"/>
              <w:divBdr>
                <w:top w:val="none" w:sz="0" w:space="0" w:color="auto"/>
                <w:left w:val="none" w:sz="0" w:space="0" w:color="auto"/>
                <w:bottom w:val="none" w:sz="0" w:space="0" w:color="auto"/>
                <w:right w:val="none" w:sz="0" w:space="0" w:color="auto"/>
              </w:divBdr>
              <w:divsChild>
                <w:div w:id="1946686962">
                  <w:marLeft w:val="0"/>
                  <w:marRight w:val="0"/>
                  <w:marTop w:val="0"/>
                  <w:marBottom w:val="0"/>
                  <w:divBdr>
                    <w:top w:val="none" w:sz="0" w:space="0" w:color="auto"/>
                    <w:left w:val="none" w:sz="0" w:space="0" w:color="auto"/>
                    <w:bottom w:val="none" w:sz="0" w:space="0" w:color="auto"/>
                    <w:right w:val="none" w:sz="0" w:space="0" w:color="auto"/>
                  </w:divBdr>
                </w:div>
              </w:divsChild>
            </w:div>
            <w:div w:id="1876379837">
              <w:marLeft w:val="0"/>
              <w:marRight w:val="0"/>
              <w:marTop w:val="0"/>
              <w:marBottom w:val="0"/>
              <w:divBdr>
                <w:top w:val="none" w:sz="0" w:space="0" w:color="auto"/>
                <w:left w:val="none" w:sz="0" w:space="0" w:color="auto"/>
                <w:bottom w:val="none" w:sz="0" w:space="0" w:color="auto"/>
                <w:right w:val="none" w:sz="0" w:space="0" w:color="auto"/>
              </w:divBdr>
              <w:divsChild>
                <w:div w:id="553614454">
                  <w:marLeft w:val="0"/>
                  <w:marRight w:val="0"/>
                  <w:marTop w:val="0"/>
                  <w:marBottom w:val="0"/>
                  <w:divBdr>
                    <w:top w:val="none" w:sz="0" w:space="0" w:color="auto"/>
                    <w:left w:val="none" w:sz="0" w:space="0" w:color="auto"/>
                    <w:bottom w:val="none" w:sz="0" w:space="0" w:color="auto"/>
                    <w:right w:val="none" w:sz="0" w:space="0" w:color="auto"/>
                  </w:divBdr>
                </w:div>
              </w:divsChild>
            </w:div>
            <w:div w:id="1884445030">
              <w:marLeft w:val="0"/>
              <w:marRight w:val="0"/>
              <w:marTop w:val="0"/>
              <w:marBottom w:val="0"/>
              <w:divBdr>
                <w:top w:val="none" w:sz="0" w:space="0" w:color="auto"/>
                <w:left w:val="none" w:sz="0" w:space="0" w:color="auto"/>
                <w:bottom w:val="none" w:sz="0" w:space="0" w:color="auto"/>
                <w:right w:val="none" w:sz="0" w:space="0" w:color="auto"/>
              </w:divBdr>
              <w:divsChild>
                <w:div w:id="1019309964">
                  <w:marLeft w:val="0"/>
                  <w:marRight w:val="0"/>
                  <w:marTop w:val="0"/>
                  <w:marBottom w:val="0"/>
                  <w:divBdr>
                    <w:top w:val="none" w:sz="0" w:space="0" w:color="auto"/>
                    <w:left w:val="none" w:sz="0" w:space="0" w:color="auto"/>
                    <w:bottom w:val="none" w:sz="0" w:space="0" w:color="auto"/>
                    <w:right w:val="none" w:sz="0" w:space="0" w:color="auto"/>
                  </w:divBdr>
                </w:div>
              </w:divsChild>
            </w:div>
            <w:div w:id="1888296599">
              <w:marLeft w:val="0"/>
              <w:marRight w:val="0"/>
              <w:marTop w:val="0"/>
              <w:marBottom w:val="0"/>
              <w:divBdr>
                <w:top w:val="none" w:sz="0" w:space="0" w:color="auto"/>
                <w:left w:val="none" w:sz="0" w:space="0" w:color="auto"/>
                <w:bottom w:val="none" w:sz="0" w:space="0" w:color="auto"/>
                <w:right w:val="none" w:sz="0" w:space="0" w:color="auto"/>
              </w:divBdr>
              <w:divsChild>
                <w:div w:id="782847842">
                  <w:marLeft w:val="0"/>
                  <w:marRight w:val="0"/>
                  <w:marTop w:val="0"/>
                  <w:marBottom w:val="0"/>
                  <w:divBdr>
                    <w:top w:val="none" w:sz="0" w:space="0" w:color="auto"/>
                    <w:left w:val="none" w:sz="0" w:space="0" w:color="auto"/>
                    <w:bottom w:val="none" w:sz="0" w:space="0" w:color="auto"/>
                    <w:right w:val="none" w:sz="0" w:space="0" w:color="auto"/>
                  </w:divBdr>
                </w:div>
              </w:divsChild>
            </w:div>
            <w:div w:id="1904100730">
              <w:marLeft w:val="0"/>
              <w:marRight w:val="0"/>
              <w:marTop w:val="0"/>
              <w:marBottom w:val="0"/>
              <w:divBdr>
                <w:top w:val="none" w:sz="0" w:space="0" w:color="auto"/>
                <w:left w:val="none" w:sz="0" w:space="0" w:color="auto"/>
                <w:bottom w:val="none" w:sz="0" w:space="0" w:color="auto"/>
                <w:right w:val="none" w:sz="0" w:space="0" w:color="auto"/>
              </w:divBdr>
              <w:divsChild>
                <w:div w:id="417601757">
                  <w:marLeft w:val="0"/>
                  <w:marRight w:val="0"/>
                  <w:marTop w:val="0"/>
                  <w:marBottom w:val="0"/>
                  <w:divBdr>
                    <w:top w:val="none" w:sz="0" w:space="0" w:color="auto"/>
                    <w:left w:val="none" w:sz="0" w:space="0" w:color="auto"/>
                    <w:bottom w:val="none" w:sz="0" w:space="0" w:color="auto"/>
                    <w:right w:val="none" w:sz="0" w:space="0" w:color="auto"/>
                  </w:divBdr>
                </w:div>
              </w:divsChild>
            </w:div>
            <w:div w:id="1908029933">
              <w:marLeft w:val="0"/>
              <w:marRight w:val="0"/>
              <w:marTop w:val="0"/>
              <w:marBottom w:val="0"/>
              <w:divBdr>
                <w:top w:val="none" w:sz="0" w:space="0" w:color="auto"/>
                <w:left w:val="none" w:sz="0" w:space="0" w:color="auto"/>
                <w:bottom w:val="none" w:sz="0" w:space="0" w:color="auto"/>
                <w:right w:val="none" w:sz="0" w:space="0" w:color="auto"/>
              </w:divBdr>
              <w:divsChild>
                <w:div w:id="1438061412">
                  <w:marLeft w:val="0"/>
                  <w:marRight w:val="0"/>
                  <w:marTop w:val="0"/>
                  <w:marBottom w:val="0"/>
                  <w:divBdr>
                    <w:top w:val="none" w:sz="0" w:space="0" w:color="auto"/>
                    <w:left w:val="none" w:sz="0" w:space="0" w:color="auto"/>
                    <w:bottom w:val="none" w:sz="0" w:space="0" w:color="auto"/>
                    <w:right w:val="none" w:sz="0" w:space="0" w:color="auto"/>
                  </w:divBdr>
                </w:div>
              </w:divsChild>
            </w:div>
            <w:div w:id="1926379548">
              <w:marLeft w:val="0"/>
              <w:marRight w:val="0"/>
              <w:marTop w:val="0"/>
              <w:marBottom w:val="0"/>
              <w:divBdr>
                <w:top w:val="none" w:sz="0" w:space="0" w:color="auto"/>
                <w:left w:val="none" w:sz="0" w:space="0" w:color="auto"/>
                <w:bottom w:val="none" w:sz="0" w:space="0" w:color="auto"/>
                <w:right w:val="none" w:sz="0" w:space="0" w:color="auto"/>
              </w:divBdr>
              <w:divsChild>
                <w:div w:id="1425222098">
                  <w:marLeft w:val="0"/>
                  <w:marRight w:val="0"/>
                  <w:marTop w:val="0"/>
                  <w:marBottom w:val="0"/>
                  <w:divBdr>
                    <w:top w:val="none" w:sz="0" w:space="0" w:color="auto"/>
                    <w:left w:val="none" w:sz="0" w:space="0" w:color="auto"/>
                    <w:bottom w:val="none" w:sz="0" w:space="0" w:color="auto"/>
                    <w:right w:val="none" w:sz="0" w:space="0" w:color="auto"/>
                  </w:divBdr>
                </w:div>
              </w:divsChild>
            </w:div>
            <w:div w:id="1926647864">
              <w:marLeft w:val="0"/>
              <w:marRight w:val="0"/>
              <w:marTop w:val="0"/>
              <w:marBottom w:val="0"/>
              <w:divBdr>
                <w:top w:val="none" w:sz="0" w:space="0" w:color="auto"/>
                <w:left w:val="none" w:sz="0" w:space="0" w:color="auto"/>
                <w:bottom w:val="none" w:sz="0" w:space="0" w:color="auto"/>
                <w:right w:val="none" w:sz="0" w:space="0" w:color="auto"/>
              </w:divBdr>
              <w:divsChild>
                <w:div w:id="1067534574">
                  <w:marLeft w:val="0"/>
                  <w:marRight w:val="0"/>
                  <w:marTop w:val="0"/>
                  <w:marBottom w:val="0"/>
                  <w:divBdr>
                    <w:top w:val="none" w:sz="0" w:space="0" w:color="auto"/>
                    <w:left w:val="none" w:sz="0" w:space="0" w:color="auto"/>
                    <w:bottom w:val="none" w:sz="0" w:space="0" w:color="auto"/>
                    <w:right w:val="none" w:sz="0" w:space="0" w:color="auto"/>
                  </w:divBdr>
                </w:div>
              </w:divsChild>
            </w:div>
            <w:div w:id="1949894533">
              <w:marLeft w:val="0"/>
              <w:marRight w:val="0"/>
              <w:marTop w:val="0"/>
              <w:marBottom w:val="0"/>
              <w:divBdr>
                <w:top w:val="none" w:sz="0" w:space="0" w:color="auto"/>
                <w:left w:val="none" w:sz="0" w:space="0" w:color="auto"/>
                <w:bottom w:val="none" w:sz="0" w:space="0" w:color="auto"/>
                <w:right w:val="none" w:sz="0" w:space="0" w:color="auto"/>
              </w:divBdr>
              <w:divsChild>
                <w:div w:id="1749689496">
                  <w:marLeft w:val="0"/>
                  <w:marRight w:val="0"/>
                  <w:marTop w:val="0"/>
                  <w:marBottom w:val="0"/>
                  <w:divBdr>
                    <w:top w:val="none" w:sz="0" w:space="0" w:color="auto"/>
                    <w:left w:val="none" w:sz="0" w:space="0" w:color="auto"/>
                    <w:bottom w:val="none" w:sz="0" w:space="0" w:color="auto"/>
                    <w:right w:val="none" w:sz="0" w:space="0" w:color="auto"/>
                  </w:divBdr>
                </w:div>
              </w:divsChild>
            </w:div>
            <w:div w:id="1988706896">
              <w:marLeft w:val="0"/>
              <w:marRight w:val="0"/>
              <w:marTop w:val="0"/>
              <w:marBottom w:val="0"/>
              <w:divBdr>
                <w:top w:val="none" w:sz="0" w:space="0" w:color="auto"/>
                <w:left w:val="none" w:sz="0" w:space="0" w:color="auto"/>
                <w:bottom w:val="none" w:sz="0" w:space="0" w:color="auto"/>
                <w:right w:val="none" w:sz="0" w:space="0" w:color="auto"/>
              </w:divBdr>
              <w:divsChild>
                <w:div w:id="1079668924">
                  <w:marLeft w:val="0"/>
                  <w:marRight w:val="0"/>
                  <w:marTop w:val="0"/>
                  <w:marBottom w:val="0"/>
                  <w:divBdr>
                    <w:top w:val="none" w:sz="0" w:space="0" w:color="auto"/>
                    <w:left w:val="none" w:sz="0" w:space="0" w:color="auto"/>
                    <w:bottom w:val="none" w:sz="0" w:space="0" w:color="auto"/>
                    <w:right w:val="none" w:sz="0" w:space="0" w:color="auto"/>
                  </w:divBdr>
                </w:div>
              </w:divsChild>
            </w:div>
            <w:div w:id="2008316841">
              <w:marLeft w:val="0"/>
              <w:marRight w:val="0"/>
              <w:marTop w:val="0"/>
              <w:marBottom w:val="0"/>
              <w:divBdr>
                <w:top w:val="none" w:sz="0" w:space="0" w:color="auto"/>
                <w:left w:val="none" w:sz="0" w:space="0" w:color="auto"/>
                <w:bottom w:val="none" w:sz="0" w:space="0" w:color="auto"/>
                <w:right w:val="none" w:sz="0" w:space="0" w:color="auto"/>
              </w:divBdr>
              <w:divsChild>
                <w:div w:id="837383623">
                  <w:marLeft w:val="0"/>
                  <w:marRight w:val="0"/>
                  <w:marTop w:val="0"/>
                  <w:marBottom w:val="0"/>
                  <w:divBdr>
                    <w:top w:val="none" w:sz="0" w:space="0" w:color="auto"/>
                    <w:left w:val="none" w:sz="0" w:space="0" w:color="auto"/>
                    <w:bottom w:val="none" w:sz="0" w:space="0" w:color="auto"/>
                    <w:right w:val="none" w:sz="0" w:space="0" w:color="auto"/>
                  </w:divBdr>
                </w:div>
              </w:divsChild>
            </w:div>
            <w:div w:id="2026205482">
              <w:marLeft w:val="0"/>
              <w:marRight w:val="0"/>
              <w:marTop w:val="0"/>
              <w:marBottom w:val="0"/>
              <w:divBdr>
                <w:top w:val="none" w:sz="0" w:space="0" w:color="auto"/>
                <w:left w:val="none" w:sz="0" w:space="0" w:color="auto"/>
                <w:bottom w:val="none" w:sz="0" w:space="0" w:color="auto"/>
                <w:right w:val="none" w:sz="0" w:space="0" w:color="auto"/>
              </w:divBdr>
              <w:divsChild>
                <w:div w:id="246040240">
                  <w:marLeft w:val="0"/>
                  <w:marRight w:val="0"/>
                  <w:marTop w:val="0"/>
                  <w:marBottom w:val="0"/>
                  <w:divBdr>
                    <w:top w:val="none" w:sz="0" w:space="0" w:color="auto"/>
                    <w:left w:val="none" w:sz="0" w:space="0" w:color="auto"/>
                    <w:bottom w:val="none" w:sz="0" w:space="0" w:color="auto"/>
                    <w:right w:val="none" w:sz="0" w:space="0" w:color="auto"/>
                  </w:divBdr>
                </w:div>
              </w:divsChild>
            </w:div>
            <w:div w:id="2041977835">
              <w:marLeft w:val="0"/>
              <w:marRight w:val="0"/>
              <w:marTop w:val="0"/>
              <w:marBottom w:val="0"/>
              <w:divBdr>
                <w:top w:val="none" w:sz="0" w:space="0" w:color="auto"/>
                <w:left w:val="none" w:sz="0" w:space="0" w:color="auto"/>
                <w:bottom w:val="none" w:sz="0" w:space="0" w:color="auto"/>
                <w:right w:val="none" w:sz="0" w:space="0" w:color="auto"/>
              </w:divBdr>
              <w:divsChild>
                <w:div w:id="344941485">
                  <w:marLeft w:val="0"/>
                  <w:marRight w:val="0"/>
                  <w:marTop w:val="0"/>
                  <w:marBottom w:val="0"/>
                  <w:divBdr>
                    <w:top w:val="none" w:sz="0" w:space="0" w:color="auto"/>
                    <w:left w:val="none" w:sz="0" w:space="0" w:color="auto"/>
                    <w:bottom w:val="none" w:sz="0" w:space="0" w:color="auto"/>
                    <w:right w:val="none" w:sz="0" w:space="0" w:color="auto"/>
                  </w:divBdr>
                </w:div>
              </w:divsChild>
            </w:div>
            <w:div w:id="2049449958">
              <w:marLeft w:val="0"/>
              <w:marRight w:val="0"/>
              <w:marTop w:val="0"/>
              <w:marBottom w:val="0"/>
              <w:divBdr>
                <w:top w:val="none" w:sz="0" w:space="0" w:color="auto"/>
                <w:left w:val="none" w:sz="0" w:space="0" w:color="auto"/>
                <w:bottom w:val="none" w:sz="0" w:space="0" w:color="auto"/>
                <w:right w:val="none" w:sz="0" w:space="0" w:color="auto"/>
              </w:divBdr>
              <w:divsChild>
                <w:div w:id="38819572">
                  <w:marLeft w:val="0"/>
                  <w:marRight w:val="0"/>
                  <w:marTop w:val="0"/>
                  <w:marBottom w:val="0"/>
                  <w:divBdr>
                    <w:top w:val="none" w:sz="0" w:space="0" w:color="auto"/>
                    <w:left w:val="none" w:sz="0" w:space="0" w:color="auto"/>
                    <w:bottom w:val="none" w:sz="0" w:space="0" w:color="auto"/>
                    <w:right w:val="none" w:sz="0" w:space="0" w:color="auto"/>
                  </w:divBdr>
                </w:div>
                <w:div w:id="1922526362">
                  <w:marLeft w:val="0"/>
                  <w:marRight w:val="0"/>
                  <w:marTop w:val="0"/>
                  <w:marBottom w:val="0"/>
                  <w:divBdr>
                    <w:top w:val="none" w:sz="0" w:space="0" w:color="auto"/>
                    <w:left w:val="none" w:sz="0" w:space="0" w:color="auto"/>
                    <w:bottom w:val="none" w:sz="0" w:space="0" w:color="auto"/>
                    <w:right w:val="none" w:sz="0" w:space="0" w:color="auto"/>
                  </w:divBdr>
                </w:div>
              </w:divsChild>
            </w:div>
            <w:div w:id="2087455730">
              <w:marLeft w:val="0"/>
              <w:marRight w:val="0"/>
              <w:marTop w:val="0"/>
              <w:marBottom w:val="0"/>
              <w:divBdr>
                <w:top w:val="none" w:sz="0" w:space="0" w:color="auto"/>
                <w:left w:val="none" w:sz="0" w:space="0" w:color="auto"/>
                <w:bottom w:val="none" w:sz="0" w:space="0" w:color="auto"/>
                <w:right w:val="none" w:sz="0" w:space="0" w:color="auto"/>
              </w:divBdr>
              <w:divsChild>
                <w:div w:id="1514682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440871">
      <w:marLeft w:val="0"/>
      <w:marRight w:val="0"/>
      <w:marTop w:val="0"/>
      <w:marBottom w:val="0"/>
      <w:divBdr>
        <w:top w:val="none" w:sz="0" w:space="0" w:color="auto"/>
        <w:left w:val="none" w:sz="0" w:space="0" w:color="auto"/>
        <w:bottom w:val="none" w:sz="0" w:space="0" w:color="auto"/>
        <w:right w:val="none" w:sz="0" w:space="0" w:color="auto"/>
      </w:divBdr>
      <w:divsChild>
        <w:div w:id="995886714">
          <w:marLeft w:val="0"/>
          <w:marRight w:val="0"/>
          <w:marTop w:val="0"/>
          <w:marBottom w:val="0"/>
          <w:divBdr>
            <w:top w:val="none" w:sz="0" w:space="0" w:color="auto"/>
            <w:left w:val="none" w:sz="0" w:space="0" w:color="auto"/>
            <w:bottom w:val="none" w:sz="0" w:space="0" w:color="auto"/>
            <w:right w:val="none" w:sz="0" w:space="0" w:color="auto"/>
          </w:divBdr>
        </w:div>
      </w:divsChild>
    </w:div>
    <w:div w:id="2054578730">
      <w:bodyDiv w:val="1"/>
      <w:marLeft w:val="0"/>
      <w:marRight w:val="0"/>
      <w:marTop w:val="0"/>
      <w:marBottom w:val="0"/>
      <w:divBdr>
        <w:top w:val="none" w:sz="0" w:space="0" w:color="auto"/>
        <w:left w:val="none" w:sz="0" w:space="0" w:color="auto"/>
        <w:bottom w:val="none" w:sz="0" w:space="0" w:color="auto"/>
        <w:right w:val="none" w:sz="0" w:space="0" w:color="auto"/>
      </w:divBdr>
      <w:divsChild>
        <w:div w:id="1188300499">
          <w:marLeft w:val="0"/>
          <w:marRight w:val="0"/>
          <w:marTop w:val="0"/>
          <w:marBottom w:val="0"/>
          <w:divBdr>
            <w:top w:val="none" w:sz="0" w:space="0" w:color="auto"/>
            <w:left w:val="none" w:sz="0" w:space="0" w:color="auto"/>
            <w:bottom w:val="none" w:sz="0" w:space="0" w:color="auto"/>
            <w:right w:val="none" w:sz="0" w:space="0" w:color="auto"/>
          </w:divBdr>
        </w:div>
        <w:div w:id="1224872707">
          <w:marLeft w:val="0"/>
          <w:marRight w:val="0"/>
          <w:marTop w:val="0"/>
          <w:marBottom w:val="0"/>
          <w:divBdr>
            <w:top w:val="none" w:sz="0" w:space="0" w:color="auto"/>
            <w:left w:val="none" w:sz="0" w:space="0" w:color="auto"/>
            <w:bottom w:val="none" w:sz="0" w:space="0" w:color="auto"/>
            <w:right w:val="none" w:sz="0" w:space="0" w:color="auto"/>
          </w:divBdr>
        </w:div>
        <w:div w:id="2001273668">
          <w:marLeft w:val="0"/>
          <w:marRight w:val="0"/>
          <w:marTop w:val="0"/>
          <w:marBottom w:val="0"/>
          <w:divBdr>
            <w:top w:val="none" w:sz="0" w:space="0" w:color="auto"/>
            <w:left w:val="none" w:sz="0" w:space="0" w:color="auto"/>
            <w:bottom w:val="none" w:sz="0" w:space="0" w:color="auto"/>
            <w:right w:val="none" w:sz="0" w:space="0" w:color="auto"/>
          </w:divBdr>
        </w:div>
      </w:divsChild>
    </w:div>
    <w:div w:id="2060279565">
      <w:marLeft w:val="0"/>
      <w:marRight w:val="0"/>
      <w:marTop w:val="0"/>
      <w:marBottom w:val="0"/>
      <w:divBdr>
        <w:top w:val="none" w:sz="0" w:space="0" w:color="auto"/>
        <w:left w:val="none" w:sz="0" w:space="0" w:color="auto"/>
        <w:bottom w:val="none" w:sz="0" w:space="0" w:color="auto"/>
        <w:right w:val="none" w:sz="0" w:space="0" w:color="auto"/>
      </w:divBdr>
      <w:divsChild>
        <w:div w:id="2002269841">
          <w:marLeft w:val="0"/>
          <w:marRight w:val="0"/>
          <w:marTop w:val="0"/>
          <w:marBottom w:val="0"/>
          <w:divBdr>
            <w:top w:val="none" w:sz="0" w:space="0" w:color="auto"/>
            <w:left w:val="none" w:sz="0" w:space="0" w:color="auto"/>
            <w:bottom w:val="none" w:sz="0" w:space="0" w:color="auto"/>
            <w:right w:val="none" w:sz="0" w:space="0" w:color="auto"/>
          </w:divBdr>
        </w:div>
      </w:divsChild>
    </w:div>
    <w:div w:id="2107381762">
      <w:bodyDiv w:val="1"/>
      <w:marLeft w:val="0"/>
      <w:marRight w:val="0"/>
      <w:marTop w:val="0"/>
      <w:marBottom w:val="0"/>
      <w:divBdr>
        <w:top w:val="none" w:sz="0" w:space="0" w:color="auto"/>
        <w:left w:val="none" w:sz="0" w:space="0" w:color="auto"/>
        <w:bottom w:val="none" w:sz="0" w:space="0" w:color="auto"/>
        <w:right w:val="none" w:sz="0" w:space="0" w:color="auto"/>
      </w:divBdr>
    </w:div>
    <w:div w:id="2138183022">
      <w:marLeft w:val="0"/>
      <w:marRight w:val="0"/>
      <w:marTop w:val="0"/>
      <w:marBottom w:val="0"/>
      <w:divBdr>
        <w:top w:val="none" w:sz="0" w:space="0" w:color="auto"/>
        <w:left w:val="none" w:sz="0" w:space="0" w:color="auto"/>
        <w:bottom w:val="none" w:sz="0" w:space="0" w:color="auto"/>
        <w:right w:val="none" w:sz="0" w:space="0" w:color="auto"/>
      </w:divBdr>
      <w:divsChild>
        <w:div w:id="100285291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42" Type="http://schemas.openxmlformats.org/officeDocument/2006/relationships/image" Target="media/image32.png"/><Relationship Id="rId47" Type="http://schemas.openxmlformats.org/officeDocument/2006/relationships/image" Target="media/image37.emf"/><Relationship Id="rId63" Type="http://schemas.openxmlformats.org/officeDocument/2006/relationships/image" Target="media/image53.png"/><Relationship Id="rId68" Type="http://schemas.openxmlformats.org/officeDocument/2006/relationships/image" Target="media/image58.png"/><Relationship Id="rId7" Type="http://schemas.openxmlformats.org/officeDocument/2006/relationships/settings" Target="setting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emf"/><Relationship Id="rId11" Type="http://schemas.openxmlformats.org/officeDocument/2006/relationships/image" Target="media/image1.png"/><Relationship Id="rId24" Type="http://schemas.openxmlformats.org/officeDocument/2006/relationships/image" Target="media/image14.emf"/><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emf"/><Relationship Id="rId5" Type="http://schemas.openxmlformats.org/officeDocument/2006/relationships/numbering" Target="numbering.xml"/><Relationship Id="rId61" Type="http://schemas.openxmlformats.org/officeDocument/2006/relationships/image" Target="media/image51.png"/><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emf"/><Relationship Id="rId48" Type="http://schemas.openxmlformats.org/officeDocument/2006/relationships/image" Target="media/image38.emf"/><Relationship Id="rId56" Type="http://schemas.openxmlformats.org/officeDocument/2006/relationships/image" Target="media/image46.png"/><Relationship Id="rId64" Type="http://schemas.openxmlformats.org/officeDocument/2006/relationships/image" Target="media/image54.emf"/><Relationship Id="rId69" Type="http://schemas.openxmlformats.org/officeDocument/2006/relationships/hyperlink" Target="https://www.corteconstitucional.gov.co/relatoria/2018/c-130-18.htm" TargetMode="External"/><Relationship Id="rId8" Type="http://schemas.openxmlformats.org/officeDocument/2006/relationships/webSettings" Target="webSettings.xml"/><Relationship Id="rId51" Type="http://schemas.openxmlformats.org/officeDocument/2006/relationships/image" Target="media/image41.jpeg"/><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emf"/><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emf"/><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4.emf"/><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emf"/><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emf"/><Relationship Id="rId18" Type="http://schemas.openxmlformats.org/officeDocument/2006/relationships/image" Target="media/image8.png"/><Relationship Id="rId39" Type="http://schemas.openxmlformats.org/officeDocument/2006/relationships/image" Target="media/image29.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s>
</file>

<file path=word/_rels/footnotes.xml.rels><?xml version="1.0" encoding="UTF-8" standalone="yes"?>
<Relationships xmlns="http://schemas.openxmlformats.org/package/2006/relationships"><Relationship Id="rId3" Type="http://schemas.openxmlformats.org/officeDocument/2006/relationships/hyperlink" Target="https://es.investinbogota.org/por-que-bogota-iib/ied-bogota-region/" TargetMode="External"/><Relationship Id="rId2" Type="http://schemas.openxmlformats.org/officeDocument/2006/relationships/hyperlink" Target="https://unctad.org/es/publication/informe-sobre-las-inversiones-en-el-mundo-2025" TargetMode="External"/><Relationship Id="rId1" Type="http://schemas.openxmlformats.org/officeDocument/2006/relationships/hyperlink" Target="https://observatorio.desarrolloeconomico.gov.co/publicaciones/notas-editoriales/la-industria-bogotana-desindustrializacion-o-desverticalizacion/" TargetMode="External"/><Relationship Id="rId6" Type="http://schemas.openxmlformats.org/officeDocument/2006/relationships/hyperlink" Target="https://ideas.repec.org/s/rei/ecoins.html" TargetMode="External"/><Relationship Id="rId5" Type="http://schemas.openxmlformats.org/officeDocument/2006/relationships/hyperlink" Target="https://ideas.repec.org/a/rei/ecoins/v16y2014i31p157-194.html" TargetMode="External"/><Relationship Id="rId4" Type="http://schemas.openxmlformats.org/officeDocument/2006/relationships/hyperlink" Target="https://www.oecd.org/content/dam/oecd/en/topics/policy-sub-issues/global-tax-revenues/folleto-estadisticas-tributarias-en-america-latina-y-el-caribe.pdf"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26E1D47E67F5143AF39AE55B3A9A040" ma:contentTypeVersion="19" ma:contentTypeDescription="Crear nuevo documento." ma:contentTypeScope="" ma:versionID="18cfd71c311dcb0f0405a8e51b7c625c">
  <xsd:schema xmlns:xsd="http://www.w3.org/2001/XMLSchema" xmlns:xs="http://www.w3.org/2001/XMLSchema" xmlns:p="http://schemas.microsoft.com/office/2006/metadata/properties" xmlns:ns3="998b675a-ba89-49dc-a631-ba4e0e4a08aa" xmlns:ns4="d5d354fb-4de2-4b09-aadf-818439b670a6" targetNamespace="http://schemas.microsoft.com/office/2006/metadata/properties" ma:root="true" ma:fieldsID="ca46c56612dc28a088c844a5492481f9" ns3:_="" ns4:_="">
    <xsd:import namespace="998b675a-ba89-49dc-a631-ba4e0e4a08aa"/>
    <xsd:import namespace="d5d354fb-4de2-4b09-aadf-818439b670a6"/>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4:SharedWithUsers" minOccurs="0"/>
                <xsd:element ref="ns4:SharedWithDetails" minOccurs="0"/>
                <xsd:element ref="ns4:SharingHintHash" minOccurs="0"/>
                <xsd:element ref="ns3:MediaServiceAutoKeyPoints" minOccurs="0"/>
                <xsd:element ref="ns3:MediaServiceKeyPoints" minOccurs="0"/>
                <xsd:element ref="ns3:MediaLengthInSeconds" minOccurs="0"/>
                <xsd:element ref="ns3:MediaServiceGenerationTime" minOccurs="0"/>
                <xsd:element ref="ns3:MediaServiceEventHashCode" minOccurs="0"/>
                <xsd:element ref="ns3:MediaServiceLocation" minOccurs="0"/>
                <xsd:element ref="ns3:_activity" minOccurs="0"/>
                <xsd:element ref="ns3:MediaServiceObjectDetectorVersions" minOccurs="0"/>
                <xsd:element ref="ns3:MediaServiceSystemTag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98b675a-ba89-49dc-a631-ba4e0e4a08a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Location" ma:index="21" nillable="true" ma:displayName="Location" ma:internalName="MediaServiceLocation" ma:readOnly="true">
      <xsd:simpleType>
        <xsd:restriction base="dms:Text"/>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ystemTags" ma:index="24" nillable="true" ma:displayName="MediaServiceSystemTags" ma:hidden="true" ma:internalName="MediaServiceSystemTags" ma:readOnly="true">
      <xsd:simpleType>
        <xsd:restriction base="dms:Note"/>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5d354fb-4de2-4b09-aadf-818439b670a6" elementFormDefault="qualified">
    <xsd:import namespace="http://schemas.microsoft.com/office/2006/documentManagement/types"/>
    <xsd:import namespace="http://schemas.microsoft.com/office/infopath/2007/PartnerControls"/>
    <xsd:element name="SharedWithUsers" ma:index="13"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Detalles de uso compartido" ma:internalName="SharedWithDetails" ma:readOnly="true">
      <xsd:simpleType>
        <xsd:restriction base="dms:Note">
          <xsd:maxLength value="255"/>
        </xsd:restriction>
      </xsd:simpleType>
    </xsd:element>
    <xsd:element name="SharingHintHash" ma:index="15" nillable="true" ma:displayName="Hash de la sugerencia para comparti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998b675a-ba89-49dc-a631-ba4e0e4a08aa"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2A64A9-BC89-4A86-AE67-B070AAE39A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98b675a-ba89-49dc-a631-ba4e0e4a08aa"/>
    <ds:schemaRef ds:uri="d5d354fb-4de2-4b09-aadf-818439b670a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8C46C5F-5636-4111-A4EE-67BA44DEDC67}">
  <ds:schemaRefs>
    <ds:schemaRef ds:uri="http://schemas.microsoft.com/sharepoint/v3/contenttype/forms"/>
  </ds:schemaRefs>
</ds:datastoreItem>
</file>

<file path=customXml/itemProps3.xml><?xml version="1.0" encoding="utf-8"?>
<ds:datastoreItem xmlns:ds="http://schemas.openxmlformats.org/officeDocument/2006/customXml" ds:itemID="{DC1428D6-EC58-4453-BD76-A8C2868A2593}">
  <ds:schemaRefs>
    <ds:schemaRef ds:uri="d5d354fb-4de2-4b09-aadf-818439b670a6"/>
    <ds:schemaRef ds:uri="http://schemas.microsoft.com/office/infopath/2007/PartnerControls"/>
    <ds:schemaRef ds:uri="http://purl.org/dc/terms/"/>
    <ds:schemaRef ds:uri="http://schemas.microsoft.com/office/2006/documentManagement/types"/>
    <ds:schemaRef ds:uri="http://purl.org/dc/elements/1.1/"/>
    <ds:schemaRef ds:uri="998b675a-ba89-49dc-a631-ba4e0e4a08aa"/>
    <ds:schemaRef ds:uri="http://schemas.openxmlformats.org/package/2006/metadata/core-properties"/>
    <ds:schemaRef ds:uri="http://www.w3.org/XML/1998/namespace"/>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8BFEF174-7086-4BAD-BDE1-CEA9AA8F8F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27642</Words>
  <Characters>152034</Characters>
  <Application>Microsoft Office Word</Application>
  <DocSecurity>0</DocSecurity>
  <Lines>1266</Lines>
  <Paragraphs>358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179318</CharactersWithSpaces>
  <SharedDoc>false</SharedDoc>
  <HLinks>
    <vt:vector size="54" baseType="variant">
      <vt:variant>
        <vt:i4>6225972</vt:i4>
      </vt:variant>
      <vt:variant>
        <vt:i4>6</vt:i4>
      </vt:variant>
      <vt:variant>
        <vt:i4>0</vt:i4>
      </vt:variant>
      <vt:variant>
        <vt:i4>5</vt:i4>
      </vt:variant>
      <vt:variant>
        <vt:lpwstr>https://www.corteconstitucional.gov.co/relatoria/2020/C-448-20.htm</vt:lpwstr>
      </vt:variant>
      <vt:variant>
        <vt:lpwstr>_ftn73</vt:lpwstr>
      </vt:variant>
      <vt:variant>
        <vt:i4>6160436</vt:i4>
      </vt:variant>
      <vt:variant>
        <vt:i4>3</vt:i4>
      </vt:variant>
      <vt:variant>
        <vt:i4>0</vt:i4>
      </vt:variant>
      <vt:variant>
        <vt:i4>5</vt:i4>
      </vt:variant>
      <vt:variant>
        <vt:lpwstr>https://www.corteconstitucional.gov.co/relatoria/2020/C-448-20.htm</vt:lpwstr>
      </vt:variant>
      <vt:variant>
        <vt:lpwstr>_ftn72</vt:lpwstr>
      </vt:variant>
      <vt:variant>
        <vt:i4>5505074</vt:i4>
      </vt:variant>
      <vt:variant>
        <vt:i4>0</vt:i4>
      </vt:variant>
      <vt:variant>
        <vt:i4>0</vt:i4>
      </vt:variant>
      <vt:variant>
        <vt:i4>5</vt:i4>
      </vt:variant>
      <vt:variant>
        <vt:lpwstr>https://www.corteconstitucional.gov.co/relatoria/2018/c-130-18.htm</vt:lpwstr>
      </vt:variant>
      <vt:variant>
        <vt:lpwstr>_ftn74</vt:lpwstr>
      </vt:variant>
      <vt:variant>
        <vt:i4>5242880</vt:i4>
      </vt:variant>
      <vt:variant>
        <vt:i4>15</vt:i4>
      </vt:variant>
      <vt:variant>
        <vt:i4>0</vt:i4>
      </vt:variant>
      <vt:variant>
        <vt:i4>5</vt:i4>
      </vt:variant>
      <vt:variant>
        <vt:lpwstr>https://ideas.repec.org/s/rei/ecoins.html</vt:lpwstr>
      </vt:variant>
      <vt:variant>
        <vt:lpwstr/>
      </vt:variant>
      <vt:variant>
        <vt:i4>4718611</vt:i4>
      </vt:variant>
      <vt:variant>
        <vt:i4>12</vt:i4>
      </vt:variant>
      <vt:variant>
        <vt:i4>0</vt:i4>
      </vt:variant>
      <vt:variant>
        <vt:i4>5</vt:i4>
      </vt:variant>
      <vt:variant>
        <vt:lpwstr>https://ideas.repec.org/a/rei/ecoins/v16y2014i31p157-194.html</vt:lpwstr>
      </vt:variant>
      <vt:variant>
        <vt:lpwstr/>
      </vt:variant>
      <vt:variant>
        <vt:i4>5046364</vt:i4>
      </vt:variant>
      <vt:variant>
        <vt:i4>9</vt:i4>
      </vt:variant>
      <vt:variant>
        <vt:i4>0</vt:i4>
      </vt:variant>
      <vt:variant>
        <vt:i4>5</vt:i4>
      </vt:variant>
      <vt:variant>
        <vt:lpwstr>https://www.oecd.org/content/dam/oecd/en/topics/policy-sub-issues/global-tax-revenues/folleto-estadisticas-tributarias-en-america-latina-y-el-caribe.pdf</vt:lpwstr>
      </vt:variant>
      <vt:variant>
        <vt:lpwstr/>
      </vt:variant>
      <vt:variant>
        <vt:i4>2490412</vt:i4>
      </vt:variant>
      <vt:variant>
        <vt:i4>6</vt:i4>
      </vt:variant>
      <vt:variant>
        <vt:i4>0</vt:i4>
      </vt:variant>
      <vt:variant>
        <vt:i4>5</vt:i4>
      </vt:variant>
      <vt:variant>
        <vt:lpwstr>https://es.investinbogota.org/por-que-bogota-iib/ied-bogota-region/</vt:lpwstr>
      </vt:variant>
      <vt:variant>
        <vt:lpwstr/>
      </vt:variant>
      <vt:variant>
        <vt:i4>1966088</vt:i4>
      </vt:variant>
      <vt:variant>
        <vt:i4>3</vt:i4>
      </vt:variant>
      <vt:variant>
        <vt:i4>0</vt:i4>
      </vt:variant>
      <vt:variant>
        <vt:i4>5</vt:i4>
      </vt:variant>
      <vt:variant>
        <vt:lpwstr>https://unctad.org/es/publication/informe-sobre-las-inversiones-en-el-mundo-2025</vt:lpwstr>
      </vt:variant>
      <vt:variant>
        <vt:lpwstr/>
      </vt:variant>
      <vt:variant>
        <vt:i4>65540</vt:i4>
      </vt:variant>
      <vt:variant>
        <vt:i4>0</vt:i4>
      </vt:variant>
      <vt:variant>
        <vt:i4>0</vt:i4>
      </vt:variant>
      <vt:variant>
        <vt:i4>5</vt:i4>
      </vt:variant>
      <vt:variant>
        <vt:lpwstr>https://observatorio.desarrolloeconomico.gov.co/publicaciones/notas-editoriales/la-industria-bogotana-desindustrializacion-o-desverticalizacion/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Katherine Paola Aragon Castiblanco</dc:creator>
  <cp:keywords/>
  <dc:description/>
  <cp:lastModifiedBy>MORRISON TARQUINO DAZA</cp:lastModifiedBy>
  <cp:revision>2</cp:revision>
  <dcterms:created xsi:type="dcterms:W3CDTF">2025-08-05T17:19:00Z</dcterms:created>
  <dcterms:modified xsi:type="dcterms:W3CDTF">2025-08-05T17:19:00Z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0x010100F26E1D47E67F5143AF39AE55B3A9A040</vt:lpwstr>
  </property>
</Properties>
</file>